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39649F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39649F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="00491E49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8B3B22">
              <w:rPr>
                <w:rFonts w:asciiTheme="minorHAnsi" w:hAnsiTheme="minorHAnsi" w:cs="Arial"/>
                <w:b/>
                <w:lang w:val="es-CO"/>
              </w:rPr>
              <w:t>DES0402</w:t>
            </w:r>
            <w:r w:rsidR="00491E49" w:rsidRPr="0039649F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9801D8" w:rsidRPr="0039649F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39649F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="00491E49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894AC1" w:rsidRPr="00894AC1">
              <w:rPr>
                <w:rFonts w:asciiTheme="minorHAnsi" w:hAnsiTheme="minorHAnsi" w:cs="Arial"/>
                <w:lang w:val="es-CO"/>
              </w:rPr>
              <w:t>Cumplimiento en el aporte a la investigación y Bienestar establecido en el Estatuto General (AI&amp;B)</w:t>
            </w:r>
            <w:r w:rsidR="00EA59D3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39649F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39649F" w:rsidRDefault="009801D8" w:rsidP="00184C76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="00491E49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CF6E1F" w:rsidRPr="00CF6E1F">
              <w:rPr>
                <w:rFonts w:asciiTheme="minorHAnsi" w:hAnsiTheme="minorHAnsi" w:cs="Arial"/>
                <w:lang w:val="es-CO"/>
              </w:rPr>
              <w:t xml:space="preserve">Contempla los aportes del presupuesto base de funcionamiento de cada vigencia otorgados para Investigación y Bienestar establecidos en la Ley 30 de 1992 y en </w:t>
            </w:r>
            <w:r w:rsidR="00367063">
              <w:rPr>
                <w:rFonts w:asciiTheme="minorHAnsi" w:hAnsiTheme="minorHAnsi" w:cs="Arial"/>
                <w:lang w:val="es-CO"/>
              </w:rPr>
              <w:t xml:space="preserve"> </w:t>
            </w:r>
            <w:r w:rsidR="00CF6E1F" w:rsidRPr="00CF6E1F">
              <w:rPr>
                <w:rFonts w:asciiTheme="minorHAnsi" w:hAnsiTheme="minorHAnsi" w:cs="Arial"/>
                <w:lang w:val="es-CO"/>
              </w:rPr>
              <w:t>el</w:t>
            </w:r>
            <w:r w:rsidR="00367063">
              <w:rPr>
                <w:rFonts w:asciiTheme="minorHAnsi" w:hAnsiTheme="minorHAnsi" w:cs="Arial"/>
                <w:lang w:val="es-CO"/>
              </w:rPr>
              <w:t xml:space="preserve"> Acuerdo No. 014 por medio del cual se establece el</w:t>
            </w:r>
            <w:r w:rsidR="00CF6E1F" w:rsidRPr="00CF6E1F">
              <w:rPr>
                <w:rFonts w:asciiTheme="minorHAnsi" w:hAnsiTheme="minorHAnsi" w:cs="Arial"/>
                <w:lang w:val="es-CO"/>
              </w:rPr>
              <w:t xml:space="preserve"> Estatuto </w:t>
            </w:r>
            <w:r w:rsidR="00184C76">
              <w:rPr>
                <w:rFonts w:asciiTheme="minorHAnsi" w:hAnsiTheme="minorHAnsi" w:cs="Arial"/>
                <w:lang w:val="es-CO"/>
              </w:rPr>
              <w:t>General</w:t>
            </w:r>
            <w:r w:rsidR="00CF6E1F" w:rsidRPr="00CF6E1F">
              <w:rPr>
                <w:rFonts w:asciiTheme="minorHAnsi" w:hAnsiTheme="minorHAnsi" w:cs="Arial"/>
                <w:lang w:val="es-CO"/>
              </w:rPr>
              <w:t xml:space="preserve"> de la Universidad Tecnológica de Pereira</w:t>
            </w:r>
            <w:r w:rsidR="00367063">
              <w:rPr>
                <w:rFonts w:asciiTheme="minorHAnsi" w:hAnsiTheme="minorHAnsi" w:cs="Arial"/>
                <w:lang w:val="es-CO"/>
              </w:rPr>
              <w:t xml:space="preserve"> artículo 12.</w:t>
            </w:r>
          </w:p>
        </w:tc>
      </w:tr>
      <w:tr w:rsidR="009801D8" w:rsidRPr="0039649F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DB5287" w:rsidRPr="0039649F" w:rsidRDefault="009801D8" w:rsidP="00184C76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 w:rsidRPr="0039649F">
              <w:rPr>
                <w:rFonts w:asciiTheme="minorHAnsi" w:hAnsiTheme="minorHAnsi" w:cs="Arial"/>
                <w:b/>
                <w:lang w:val="es-CO"/>
              </w:rPr>
              <w:t xml:space="preserve"> del indicador</w:t>
            </w:r>
            <w:r w:rsidRPr="0039649F">
              <w:rPr>
                <w:rFonts w:asciiTheme="minorHAnsi" w:hAnsiTheme="minorHAnsi" w:cs="Arial"/>
                <w:b/>
                <w:lang w:val="es-CO"/>
              </w:rPr>
              <w:t>:</w:t>
            </w:r>
            <w:r w:rsidR="00491E49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843B65">
              <w:rPr>
                <w:rFonts w:asciiTheme="minorHAnsi" w:hAnsiTheme="minorHAnsi" w:cs="Arial"/>
                <w:lang w:val="es-CO"/>
              </w:rPr>
              <w:t>Cumplir con los aportes</w:t>
            </w:r>
            <w:r w:rsidR="00DB5287" w:rsidRPr="00DB5287">
              <w:rPr>
                <w:rFonts w:asciiTheme="minorHAnsi" w:hAnsiTheme="minorHAnsi" w:cs="Arial"/>
                <w:lang w:val="es-CO"/>
              </w:rPr>
              <w:t xml:space="preserve"> </w:t>
            </w:r>
            <w:r w:rsidR="00DB5287">
              <w:rPr>
                <w:rFonts w:asciiTheme="minorHAnsi" w:hAnsiTheme="minorHAnsi" w:cs="Arial"/>
                <w:lang w:val="es-CO"/>
              </w:rPr>
              <w:t xml:space="preserve">para </w:t>
            </w:r>
            <w:r w:rsidR="00DB5287" w:rsidRPr="00CF6E1F">
              <w:rPr>
                <w:rFonts w:asciiTheme="minorHAnsi" w:hAnsiTheme="minorHAnsi" w:cs="Arial"/>
                <w:lang w:val="es-CO"/>
              </w:rPr>
              <w:t xml:space="preserve">Investigación y Bienestar establecidos en la Ley 30 de 1992 y en el Estatuto </w:t>
            </w:r>
            <w:r w:rsidR="00184C76">
              <w:rPr>
                <w:rFonts w:asciiTheme="minorHAnsi" w:hAnsiTheme="minorHAnsi" w:cs="Arial"/>
                <w:lang w:val="es-CO"/>
              </w:rPr>
              <w:t>General</w:t>
            </w:r>
            <w:r w:rsidR="00DB5287" w:rsidRPr="00CF6E1F">
              <w:rPr>
                <w:rFonts w:asciiTheme="minorHAnsi" w:hAnsiTheme="minorHAnsi" w:cs="Arial"/>
                <w:lang w:val="es-CO"/>
              </w:rPr>
              <w:t xml:space="preserve"> de la Universidad Tecnológica de Pereira</w:t>
            </w:r>
            <w:r w:rsidR="00843B65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39649F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39649F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39649F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39649F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4D62CF" w:rsidRPr="0039649F">
              <w:rPr>
                <w:rFonts w:asciiTheme="minorHAnsi" w:hAnsiTheme="minorHAnsi" w:cs="Arial"/>
                <w:lang w:val="es-CO"/>
              </w:rPr>
              <w:t>Desarrollo Institucional</w:t>
            </w:r>
            <w:r w:rsidR="00961A54">
              <w:rPr>
                <w:rFonts w:asciiTheme="minorHAnsi" w:hAnsiTheme="minorHAnsi" w:cs="Arial"/>
                <w:b/>
                <w:lang w:val="es-CO"/>
              </w:rPr>
              <w:t>.</w:t>
            </w:r>
          </w:p>
        </w:tc>
      </w:tr>
      <w:tr w:rsidR="009801D8" w:rsidRPr="0039649F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Pr="0039649F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 w:rsidRPr="0039649F">
              <w:rPr>
                <w:rFonts w:asciiTheme="minorHAnsi" w:hAnsiTheme="minorHAnsi" w:cs="Arial"/>
                <w:b/>
                <w:lang w:val="es-CO"/>
              </w:rPr>
              <w:t xml:space="preserve"> de Gestión</w:t>
            </w:r>
            <w:r w:rsidRPr="0039649F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RPr="0039649F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39649F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Pr="0039649F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Pr="0039649F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Pr="0039649F" w:rsidRDefault="00491E49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39649F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39649F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39649F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39649F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491E49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282FB0" w:rsidRPr="00282FB0">
              <w:rPr>
                <w:rFonts w:asciiTheme="minorHAnsi" w:hAnsiTheme="minorHAnsi" w:cs="Arial"/>
                <w:lang w:val="es-CO"/>
              </w:rPr>
              <w:t>Administración  Institucional</w:t>
            </w:r>
          </w:p>
        </w:tc>
      </w:tr>
      <w:tr w:rsidR="00F43A75" w:rsidRPr="0039649F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DD4BD8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39649F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39649F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39649F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39649F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39649F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F43A75" w:rsidRDefault="001F412E" w:rsidP="00DD4BD8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1</w:t>
            </w:r>
            <w:r w:rsidRPr="0015463C">
              <w:rPr>
                <w:rFonts w:asciiTheme="minorHAnsi" w:hAnsiTheme="minorHAnsi" w:cs="Arial"/>
                <w:b/>
                <w:lang w:val="es-CO"/>
              </w:rPr>
              <w:t>.</w:t>
            </w:r>
            <w:r>
              <w:rPr>
                <w:rFonts w:asciiTheme="minorHAnsi" w:hAnsiTheme="minorHAnsi" w:cs="Arial"/>
                <w:u w:val="single"/>
                <w:lang w:val="es-CO"/>
              </w:rPr>
              <w:t xml:space="preserve"> </w:t>
            </w:r>
            <w:r w:rsidR="00DD4BD8" w:rsidRPr="00DD4BD8">
              <w:rPr>
                <w:rFonts w:asciiTheme="minorHAnsi" w:hAnsiTheme="minorHAnsi" w:cs="Arial"/>
                <w:u w:val="single"/>
                <w:lang w:val="es-CO"/>
              </w:rPr>
              <w:t xml:space="preserve">Factor </w:t>
            </w:r>
            <w:r w:rsidR="006D1FC4">
              <w:rPr>
                <w:rFonts w:asciiTheme="minorHAnsi" w:hAnsiTheme="minorHAnsi" w:cs="Arial"/>
                <w:u w:val="single"/>
                <w:lang w:val="es-CO"/>
              </w:rPr>
              <w:t>6:</w:t>
            </w:r>
            <w:r w:rsidR="006D1FC4" w:rsidRPr="006D1FC4">
              <w:rPr>
                <w:rFonts w:asciiTheme="minorHAnsi" w:hAnsiTheme="minorHAnsi" w:cs="Arial"/>
                <w:lang w:val="es-CO"/>
              </w:rPr>
              <w:t xml:space="preserve"> Investigación y creación artística</w:t>
            </w:r>
            <w:r w:rsidR="006A7A19">
              <w:rPr>
                <w:rFonts w:asciiTheme="minorHAnsi" w:hAnsiTheme="minorHAnsi" w:cs="Arial"/>
                <w:lang w:val="es-CO"/>
              </w:rPr>
              <w:t>.</w:t>
            </w:r>
          </w:p>
          <w:p w:rsidR="00DD4BD8" w:rsidRPr="00DD4BD8" w:rsidRDefault="00DD4BD8" w:rsidP="001F412E">
            <w:pPr>
              <w:spacing w:line="0" w:lineRule="atLeast"/>
              <w:ind w:left="708"/>
              <w:rPr>
                <w:rFonts w:asciiTheme="minorHAnsi" w:hAnsiTheme="minorHAnsi" w:cs="Arial"/>
              </w:rPr>
            </w:pPr>
            <w:r w:rsidRPr="00DD4BD8">
              <w:rPr>
                <w:rFonts w:asciiTheme="minorHAnsi" w:hAnsiTheme="minorHAnsi" w:cs="Arial"/>
                <w:u w:val="single"/>
                <w:lang w:val="es-CO"/>
              </w:rPr>
              <w:t xml:space="preserve">Característica </w:t>
            </w:r>
            <w:r w:rsidR="006D1FC4" w:rsidRPr="006D1FC4">
              <w:rPr>
                <w:rFonts w:asciiTheme="minorHAnsi" w:hAnsiTheme="minorHAnsi" w:cs="Arial"/>
                <w:u w:val="single"/>
                <w:lang w:val="es-CO"/>
              </w:rPr>
              <w:t>1</w:t>
            </w:r>
            <w:r w:rsidR="006D1FC4">
              <w:rPr>
                <w:rFonts w:asciiTheme="minorHAnsi" w:hAnsiTheme="minorHAnsi" w:cs="Arial"/>
                <w:u w:val="single"/>
                <w:lang w:val="es-CO"/>
              </w:rPr>
              <w:t>8:</w:t>
            </w:r>
            <w:r w:rsidR="006D1FC4" w:rsidRPr="006D1FC4">
              <w:rPr>
                <w:rFonts w:asciiTheme="minorHAnsi" w:hAnsiTheme="minorHAnsi" w:cs="Arial"/>
                <w:lang w:val="es-CO"/>
              </w:rPr>
              <w:t xml:space="preserve"> Investigación</w:t>
            </w:r>
            <w:r w:rsidR="006A7A19">
              <w:rPr>
                <w:rFonts w:asciiTheme="minorHAnsi" w:hAnsiTheme="minorHAnsi" w:cs="Arial"/>
                <w:lang w:val="es-CO"/>
              </w:rPr>
              <w:t>.</w:t>
            </w:r>
          </w:p>
          <w:p w:rsidR="00DD4BD8" w:rsidRDefault="00DD4BD8" w:rsidP="001F412E">
            <w:pPr>
              <w:spacing w:line="0" w:lineRule="atLeast"/>
              <w:ind w:left="1416"/>
              <w:rPr>
                <w:rFonts w:asciiTheme="minorHAnsi" w:hAnsiTheme="minorHAnsi" w:cs="Arial"/>
                <w:b/>
                <w:lang w:val="es-CO"/>
              </w:rPr>
            </w:pPr>
            <w:r w:rsidRPr="00DD4BD8">
              <w:rPr>
                <w:rFonts w:asciiTheme="minorHAnsi" w:hAnsiTheme="minorHAnsi" w:cs="Arial"/>
                <w:u w:val="single"/>
                <w:lang w:val="es-CO"/>
              </w:rPr>
              <w:t xml:space="preserve">Aspecto </w:t>
            </w:r>
            <w:r w:rsidR="006D1FC4">
              <w:rPr>
                <w:rFonts w:asciiTheme="minorHAnsi" w:hAnsiTheme="minorHAnsi" w:cs="Arial"/>
                <w:u w:val="single"/>
                <w:lang w:val="es-CO"/>
              </w:rPr>
              <w:t>I:</w:t>
            </w:r>
            <w:r w:rsidR="006D1FC4" w:rsidRPr="006D1FC4">
              <w:rPr>
                <w:rFonts w:asciiTheme="minorHAnsi" w:hAnsiTheme="minorHAnsi" w:cs="Arial"/>
                <w:lang w:val="es-CO"/>
              </w:rPr>
              <w:t xml:space="preserve"> </w:t>
            </w:r>
            <w:r w:rsidR="006D1FC4" w:rsidRPr="006D1FC4">
              <w:rPr>
                <w:rFonts w:asciiTheme="minorHAnsi" w:hAnsiTheme="minorHAnsi" w:cs="Arial"/>
                <w:b/>
                <w:lang w:val="es-CO"/>
              </w:rPr>
              <w:t>Apoyo</w:t>
            </w:r>
            <w:r w:rsidR="006D1FC4" w:rsidRPr="006D1FC4">
              <w:rPr>
                <w:rFonts w:asciiTheme="minorHAnsi" w:hAnsiTheme="minorHAnsi" w:cs="Arial"/>
                <w:lang w:val="es-CO"/>
              </w:rPr>
              <w:t xml:space="preserve"> administrativo y </w:t>
            </w:r>
            <w:r w:rsidR="006D1FC4" w:rsidRPr="006D1FC4">
              <w:rPr>
                <w:rFonts w:asciiTheme="minorHAnsi" w:hAnsiTheme="minorHAnsi" w:cs="Arial"/>
                <w:b/>
                <w:lang w:val="es-CO"/>
              </w:rPr>
              <w:t>financiero para el desarrollo</w:t>
            </w:r>
            <w:r w:rsidR="006D1FC4" w:rsidRPr="006D1FC4">
              <w:rPr>
                <w:rFonts w:asciiTheme="minorHAnsi" w:hAnsiTheme="minorHAnsi" w:cs="Arial"/>
                <w:lang w:val="es-CO"/>
              </w:rPr>
              <w:t xml:space="preserve"> </w:t>
            </w:r>
            <w:r w:rsidR="006D1FC4" w:rsidRPr="006D1FC4">
              <w:rPr>
                <w:rFonts w:asciiTheme="minorHAnsi" w:hAnsiTheme="minorHAnsi" w:cs="Arial"/>
                <w:b/>
                <w:lang w:val="es-CO"/>
              </w:rPr>
              <w:t>y gestión de la investigación</w:t>
            </w:r>
            <w:r w:rsidR="006D1FC4" w:rsidRPr="006D1FC4">
              <w:rPr>
                <w:rFonts w:asciiTheme="minorHAnsi" w:hAnsiTheme="minorHAnsi" w:cs="Arial"/>
                <w:lang w:val="es-CO"/>
              </w:rPr>
              <w:t xml:space="preserve">, la creación de empresas y de planes de negocios (como los centros </w:t>
            </w:r>
            <w:r w:rsidR="00DD412B" w:rsidRPr="006D1FC4">
              <w:rPr>
                <w:rFonts w:asciiTheme="minorHAnsi" w:hAnsiTheme="minorHAnsi" w:cs="Arial"/>
                <w:lang w:val="es-CO"/>
              </w:rPr>
              <w:t>de incubación</w:t>
            </w:r>
            <w:r w:rsidR="006D1FC4" w:rsidRPr="006D1FC4">
              <w:rPr>
                <w:rFonts w:asciiTheme="minorHAnsi" w:hAnsiTheme="minorHAnsi" w:cs="Arial"/>
                <w:lang w:val="es-CO"/>
              </w:rPr>
              <w:t xml:space="preserve"> y financiación empresarial o como los centros de investigación y desarrollo tecnológico, entre otros) </w:t>
            </w:r>
            <w:r w:rsidR="006D1FC4" w:rsidRPr="006D1FC4">
              <w:rPr>
                <w:rFonts w:asciiTheme="minorHAnsi" w:hAnsiTheme="minorHAnsi" w:cs="Arial"/>
                <w:b/>
                <w:lang w:val="es-CO"/>
              </w:rPr>
              <w:t>y la creación artística y cultural.</w:t>
            </w:r>
          </w:p>
          <w:p w:rsidR="001F412E" w:rsidRDefault="001F412E" w:rsidP="00DD4BD8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1F412E" w:rsidRDefault="001F412E" w:rsidP="001F412E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463C">
              <w:rPr>
                <w:rFonts w:asciiTheme="minorHAnsi" w:hAnsiTheme="minorHAnsi" w:cs="Arial"/>
                <w:b/>
                <w:lang w:val="es-CO"/>
              </w:rPr>
              <w:t>2.</w:t>
            </w:r>
            <w:r>
              <w:rPr>
                <w:rFonts w:asciiTheme="minorHAnsi" w:hAnsiTheme="minorHAnsi" w:cs="Arial"/>
                <w:u w:val="single"/>
                <w:lang w:val="es-CO"/>
              </w:rPr>
              <w:t xml:space="preserve"> </w:t>
            </w:r>
            <w:r w:rsidRPr="00B81CDB">
              <w:rPr>
                <w:rFonts w:asciiTheme="minorHAnsi" w:hAnsiTheme="minorHAnsi" w:cs="Arial"/>
                <w:u w:val="single"/>
                <w:lang w:val="es-CO"/>
              </w:rPr>
              <w:t>Factor 9.</w:t>
            </w:r>
            <w:r w:rsidRPr="00B81CDB">
              <w:rPr>
                <w:rFonts w:asciiTheme="minorHAnsi" w:hAnsiTheme="minorHAnsi" w:cs="Arial"/>
                <w:lang w:val="es-CO"/>
              </w:rPr>
              <w:t xml:space="preserve"> Bienestar Institucional</w:t>
            </w:r>
          </w:p>
          <w:p w:rsidR="001F412E" w:rsidRPr="00B81CDB" w:rsidRDefault="001F412E" w:rsidP="001F412E">
            <w:pPr>
              <w:spacing w:line="0" w:lineRule="atLeast"/>
              <w:ind w:left="708"/>
              <w:rPr>
                <w:rFonts w:asciiTheme="minorHAnsi" w:hAnsiTheme="minorHAnsi" w:cs="Arial"/>
                <w:u w:val="single"/>
                <w:lang w:val="es-CO"/>
              </w:rPr>
            </w:pPr>
            <w:r w:rsidRPr="00B81CDB">
              <w:rPr>
                <w:rFonts w:asciiTheme="minorHAnsi" w:hAnsiTheme="minorHAnsi" w:cs="Arial"/>
                <w:u w:val="single"/>
                <w:lang w:val="es-CO"/>
              </w:rPr>
              <w:t>Característica 24.</w:t>
            </w:r>
            <w:r>
              <w:rPr>
                <w:rFonts w:asciiTheme="minorHAnsi" w:hAnsiTheme="minorHAnsi" w:cs="Arial"/>
                <w:u w:val="single"/>
                <w:lang w:val="es-CO"/>
              </w:rPr>
              <w:t xml:space="preserve"> </w:t>
            </w:r>
            <w:r w:rsidRPr="00B81CDB">
              <w:rPr>
                <w:rFonts w:asciiTheme="minorHAnsi" w:hAnsiTheme="minorHAnsi" w:cs="Arial"/>
                <w:lang w:val="es-CO"/>
              </w:rPr>
              <w:t>Estructura y funcionamiento del bienestar institucional</w:t>
            </w:r>
          </w:p>
          <w:p w:rsidR="001F412E" w:rsidRPr="00B81CDB" w:rsidRDefault="001F412E" w:rsidP="001F412E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  <w:r w:rsidRPr="00B81CDB">
              <w:rPr>
                <w:rFonts w:asciiTheme="minorHAnsi" w:hAnsiTheme="minorHAnsi" w:cs="Arial"/>
                <w:u w:val="single"/>
                <w:lang w:val="es-CO"/>
              </w:rPr>
              <w:t>Aspecto C:</w:t>
            </w:r>
            <w:r w:rsidRPr="00B81CDB">
              <w:rPr>
                <w:rFonts w:asciiTheme="minorHAnsi" w:hAnsiTheme="minorHAnsi" w:cs="Arial"/>
                <w:lang w:val="es-CO"/>
              </w:rPr>
              <w:t xml:space="preserve"> </w:t>
            </w:r>
            <w:r w:rsidRPr="00A853E7">
              <w:rPr>
                <w:rFonts w:asciiTheme="minorHAnsi" w:hAnsiTheme="minorHAnsi" w:cs="Arial"/>
                <w:b/>
                <w:lang w:val="es-CO"/>
              </w:rPr>
              <w:t>Recursos</w:t>
            </w:r>
            <w:r w:rsidRPr="00B81CDB">
              <w:rPr>
                <w:rFonts w:asciiTheme="minorHAnsi" w:hAnsiTheme="minorHAnsi" w:cs="Arial"/>
                <w:lang w:val="es-CO"/>
              </w:rPr>
              <w:t xml:space="preserve"> humanos provistos y </w:t>
            </w:r>
            <w:r w:rsidRPr="00A853E7">
              <w:rPr>
                <w:rFonts w:asciiTheme="minorHAnsi" w:hAnsiTheme="minorHAnsi" w:cs="Arial"/>
                <w:b/>
                <w:lang w:val="es-CO"/>
              </w:rPr>
              <w:t>financieros</w:t>
            </w:r>
            <w:r w:rsidRPr="00B81CDB">
              <w:rPr>
                <w:rFonts w:asciiTheme="minorHAnsi" w:hAnsiTheme="minorHAnsi" w:cs="Arial"/>
                <w:lang w:val="es-CO"/>
              </w:rPr>
              <w:t xml:space="preserve"> </w:t>
            </w:r>
            <w:r w:rsidRPr="00A853E7">
              <w:rPr>
                <w:rFonts w:asciiTheme="minorHAnsi" w:hAnsiTheme="minorHAnsi" w:cs="Arial"/>
                <w:b/>
                <w:lang w:val="es-CO"/>
              </w:rPr>
              <w:t>ejecutados por la institución para garantizar un óptimo desarrollo de los programas de bienestar universitario</w:t>
            </w:r>
            <w:r w:rsidRPr="00B81CDB">
              <w:rPr>
                <w:rFonts w:asciiTheme="minorHAnsi" w:hAnsiTheme="minorHAnsi" w:cs="Arial"/>
                <w:lang w:val="es-CO"/>
              </w:rPr>
              <w:t>.</w:t>
            </w:r>
          </w:p>
          <w:p w:rsidR="001F412E" w:rsidRPr="001F412E" w:rsidRDefault="001F412E" w:rsidP="00DD4BD8">
            <w:pPr>
              <w:spacing w:line="0" w:lineRule="atLeast"/>
              <w:rPr>
                <w:rFonts w:asciiTheme="minorHAnsi" w:hAnsiTheme="minorHAnsi" w:cs="Arial"/>
                <w:highlight w:val="green"/>
                <w:lang w:val="es-CO"/>
              </w:rPr>
            </w:pPr>
          </w:p>
        </w:tc>
      </w:tr>
      <w:tr w:rsidR="009801D8" w:rsidRPr="0039649F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Pr="0039649F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39649F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39649F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Pr="0039649F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RPr="0039649F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39649F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Pr="0039649F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Pr="0039649F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Pr="0039649F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Pr="0039649F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Pr="0039649F" w:rsidRDefault="00177A02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39649F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39649F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E914D1" w:rsidRDefault="00E914D1" w:rsidP="00E914D1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9801D8" w:rsidRDefault="009801D8" w:rsidP="00E914D1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 w:rsidRPr="0039649F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39649F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39649F">
              <w:rPr>
                <w:rFonts w:asciiTheme="minorHAnsi" w:hAnsiTheme="minorHAnsi" w:cs="Arial"/>
                <w:lang w:val="es-CO"/>
              </w:rPr>
              <w:t xml:space="preserve"> </w:t>
            </w:r>
            <w:r w:rsidR="000B60F3">
              <w:rPr>
                <w:rFonts w:asciiTheme="minorHAnsi" w:hAnsiTheme="minorHAnsi" w:cs="Arial"/>
                <w:lang w:val="es-CO"/>
              </w:rPr>
              <w:t xml:space="preserve">Anteproyecto de presupuesto </w:t>
            </w:r>
          </w:p>
          <w:p w:rsidR="00E914D1" w:rsidRPr="0039649F" w:rsidRDefault="00E914D1" w:rsidP="00E914D1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39649F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DD4BD8" w:rsidRPr="0039649F" w:rsidRDefault="00DD4BD8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7B4CB6" w:rsidRPr="0039649F" w:rsidRDefault="002C27E2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177A02" w:rsidRPr="0039649F">
              <w:rPr>
                <w:rFonts w:asciiTheme="minorHAnsi" w:hAnsiTheme="minorHAnsi" w:cs="Arial"/>
                <w:lang w:val="es-CO"/>
              </w:rPr>
              <w:t>Vicerrectoría Administrativa</w:t>
            </w:r>
            <w:r>
              <w:rPr>
                <w:rFonts w:asciiTheme="minorHAnsi" w:hAnsiTheme="minorHAnsi" w:cs="Arial"/>
                <w:lang w:val="es-CO"/>
              </w:rPr>
              <w:t xml:space="preserve"> y Financiera</w:t>
            </w:r>
            <w:r w:rsidR="006A7A19">
              <w:rPr>
                <w:rFonts w:asciiTheme="minorHAnsi" w:hAnsiTheme="minorHAnsi" w:cs="Arial"/>
                <w:lang w:val="es-CO"/>
              </w:rPr>
              <w:t>.</w:t>
            </w:r>
          </w:p>
          <w:p w:rsidR="00DD4BD8" w:rsidRPr="0039649F" w:rsidRDefault="002C27E2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177A02" w:rsidRPr="0039649F">
              <w:rPr>
                <w:rFonts w:asciiTheme="minorHAnsi" w:hAnsiTheme="minorHAnsi" w:cs="Arial"/>
                <w:lang w:val="es-CO"/>
              </w:rPr>
              <w:t>Vicerrectoría Administrativa</w:t>
            </w:r>
            <w:r>
              <w:rPr>
                <w:rFonts w:asciiTheme="minorHAnsi" w:hAnsiTheme="minorHAnsi" w:cs="Arial"/>
                <w:lang w:val="es-CO"/>
              </w:rPr>
              <w:t xml:space="preserve"> y Financiera</w:t>
            </w:r>
            <w:r w:rsidR="006A7A19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39649F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39649F" w:rsidRDefault="00C01AC4" w:rsidP="00AC0A9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AC0A97" w:rsidRPr="00AC0A97">
              <w:rPr>
                <w:rFonts w:asciiTheme="minorHAnsi" w:hAnsiTheme="minorHAnsi" w:cs="Arial"/>
                <w:lang w:val="es-CO"/>
              </w:rPr>
              <w:t>1</w:t>
            </w:r>
            <w:r w:rsidR="001877D7" w:rsidRPr="0039649F">
              <w:rPr>
                <w:rFonts w:asciiTheme="minorHAnsi" w:hAnsiTheme="minorHAnsi" w:cs="Arial"/>
                <w:lang w:val="es-CO"/>
              </w:rPr>
              <w:t xml:space="preserve">1 </w:t>
            </w:r>
            <w:r w:rsidR="00B80876" w:rsidRPr="0039649F">
              <w:rPr>
                <w:rFonts w:asciiTheme="minorHAnsi" w:hAnsiTheme="minorHAnsi" w:cs="Arial"/>
                <w:lang w:val="es-CO"/>
              </w:rPr>
              <w:t>de Septiembre del 2015</w:t>
            </w:r>
            <w:r w:rsidR="006A7A19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39649F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39649F" w:rsidRDefault="00C01AC4" w:rsidP="00282FB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282FB0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3C6DAD" w:rsidRDefault="003C6DAD" w:rsidP="00863D8B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</w:rPr>
            </w:pPr>
          </w:p>
          <w:p w:rsidR="00863D8B" w:rsidRDefault="00444B44" w:rsidP="00863D8B">
            <w:pPr>
              <w:spacing w:line="0" w:lineRule="atLeast"/>
              <w:rPr>
                <w:rFonts w:asciiTheme="minorHAnsi" w:hAnsiTheme="minorHAnsi" w:cs="Arial"/>
                <w:bCs/>
                <w:noProof/>
                <w:sz w:val="20"/>
              </w:rPr>
            </w:pPr>
            <w:r>
              <w:rPr>
                <w:rFonts w:asciiTheme="minorHAnsi" w:hAnsiTheme="minorHAnsi" w:cs="Arial"/>
                <w:b/>
                <w:bCs/>
                <w:noProof/>
              </w:rPr>
              <w:t xml:space="preserve">Presupuesto de funcionamiento: </w:t>
            </w:r>
            <w:r w:rsidR="00863D8B">
              <w:rPr>
                <w:rFonts w:asciiTheme="minorHAnsi" w:hAnsiTheme="minorHAnsi" w:cs="Arial"/>
                <w:bCs/>
                <w:noProof/>
              </w:rPr>
              <w:t xml:space="preserve">Son los egresos que se originan en el normal desarrollo de las actividades de las diferentes áreas de la universidad y estan conformados por: gastos de personal, gastos generales, transferencias corrientes y gastos de operación comercial </w:t>
            </w:r>
            <w:r w:rsidR="00863D8B" w:rsidRPr="00863D8B">
              <w:rPr>
                <w:rFonts w:asciiTheme="minorHAnsi" w:hAnsiTheme="minorHAnsi" w:cs="Arial"/>
                <w:bCs/>
                <w:noProof/>
                <w:sz w:val="20"/>
              </w:rPr>
              <w:t>(Acuerdo No. 22 del 2/11/2004)</w:t>
            </w:r>
            <w:r w:rsidR="00544001">
              <w:rPr>
                <w:rFonts w:asciiTheme="minorHAnsi" w:hAnsiTheme="minorHAnsi" w:cs="Arial"/>
                <w:bCs/>
                <w:noProof/>
                <w:sz w:val="20"/>
              </w:rPr>
              <w:t>.</w:t>
            </w:r>
          </w:p>
          <w:p w:rsidR="00177A4C" w:rsidRDefault="00177A4C" w:rsidP="00863D8B">
            <w:pPr>
              <w:spacing w:line="0" w:lineRule="atLeast"/>
              <w:rPr>
                <w:rFonts w:asciiTheme="minorHAnsi" w:hAnsiTheme="minorHAnsi" w:cs="Arial"/>
                <w:bCs/>
                <w:noProof/>
                <w:sz w:val="20"/>
              </w:rPr>
            </w:pPr>
          </w:p>
          <w:p w:rsidR="00177A4C" w:rsidRDefault="00177A4C" w:rsidP="00177A4C">
            <w:pPr>
              <w:spacing w:line="0" w:lineRule="atLeast"/>
              <w:rPr>
                <w:rFonts w:asciiTheme="minorHAnsi" w:hAnsiTheme="minorHAnsi" w:cs="Arial"/>
                <w:bCs/>
                <w:noProof/>
                <w:sz w:val="20"/>
              </w:rPr>
            </w:pPr>
            <w:r>
              <w:rPr>
                <w:rFonts w:asciiTheme="minorHAnsi" w:hAnsiTheme="minorHAnsi" w:cs="Arial"/>
                <w:b/>
                <w:bCs/>
                <w:noProof/>
              </w:rPr>
              <w:t xml:space="preserve">Investigación: </w:t>
            </w:r>
            <w:r>
              <w:rPr>
                <w:rFonts w:asciiTheme="minorHAnsi" w:hAnsiTheme="minorHAnsi" w:cs="Arial"/>
                <w:bCs/>
                <w:noProof/>
              </w:rPr>
              <w:t xml:space="preserve">Procesos sistemático y crítico de creación del conocimiento </w:t>
            </w:r>
            <w:r w:rsidRPr="00863D8B">
              <w:rPr>
                <w:rFonts w:asciiTheme="minorHAnsi" w:hAnsiTheme="minorHAnsi" w:cs="Arial"/>
                <w:bCs/>
                <w:noProof/>
                <w:sz w:val="20"/>
              </w:rPr>
              <w:t>(</w:t>
            </w:r>
            <w:r w:rsidR="004619AE">
              <w:rPr>
                <w:rFonts w:asciiTheme="minorHAnsi" w:hAnsiTheme="minorHAnsi" w:cs="Arial"/>
                <w:bCs/>
                <w:noProof/>
                <w:sz w:val="20"/>
              </w:rPr>
              <w:t>Direccionamiento estratégico 2016-2019</w:t>
            </w:r>
            <w:r w:rsidRPr="00863D8B">
              <w:rPr>
                <w:rFonts w:asciiTheme="minorHAnsi" w:hAnsiTheme="minorHAnsi" w:cs="Arial"/>
                <w:bCs/>
                <w:noProof/>
                <w:sz w:val="20"/>
              </w:rPr>
              <w:t>)</w:t>
            </w:r>
            <w:r>
              <w:rPr>
                <w:rFonts w:asciiTheme="minorHAnsi" w:hAnsiTheme="minorHAnsi" w:cs="Arial"/>
                <w:bCs/>
                <w:noProof/>
                <w:sz w:val="20"/>
              </w:rPr>
              <w:t>.</w:t>
            </w:r>
          </w:p>
          <w:p w:rsidR="00C42D79" w:rsidRDefault="00C42D79" w:rsidP="00177A4C">
            <w:pPr>
              <w:spacing w:line="0" w:lineRule="atLeast"/>
              <w:rPr>
                <w:rFonts w:asciiTheme="minorHAnsi" w:hAnsiTheme="minorHAnsi" w:cs="Arial"/>
                <w:bCs/>
                <w:noProof/>
                <w:sz w:val="20"/>
              </w:rPr>
            </w:pPr>
          </w:p>
          <w:p w:rsidR="00C42D79" w:rsidRPr="00C42D79" w:rsidRDefault="00C42D79" w:rsidP="00C42D79">
            <w:pPr>
              <w:spacing w:line="0" w:lineRule="atLeast"/>
              <w:rPr>
                <w:rFonts w:asciiTheme="minorHAnsi" w:hAnsiTheme="minorHAnsi" w:cs="Arial"/>
                <w:bCs/>
                <w:noProof/>
              </w:rPr>
            </w:pPr>
            <w:r>
              <w:rPr>
                <w:rFonts w:asciiTheme="minorHAnsi" w:hAnsiTheme="minorHAnsi" w:cs="Arial"/>
                <w:b/>
                <w:bCs/>
                <w:noProof/>
              </w:rPr>
              <w:t xml:space="preserve">Bienestar Institucional: </w:t>
            </w:r>
            <w:r>
              <w:rPr>
                <w:rFonts w:asciiTheme="minorHAnsi" w:hAnsiTheme="minorHAnsi" w:cs="Arial"/>
                <w:bCs/>
                <w:noProof/>
              </w:rPr>
              <w:t xml:space="preserve">Facilitar la formación </w:t>
            </w:r>
            <w:r w:rsidRPr="00C42D79">
              <w:rPr>
                <w:rFonts w:asciiTheme="minorHAnsi" w:hAnsiTheme="minorHAnsi" w:cs="Arial"/>
                <w:bCs/>
                <w:noProof/>
              </w:rPr>
              <w:t>la formación integral, el desarrollo humano,</w:t>
            </w:r>
            <w:r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Pr="00C42D79">
              <w:rPr>
                <w:rFonts w:asciiTheme="minorHAnsi" w:hAnsiTheme="minorHAnsi" w:cs="Arial"/>
                <w:bCs/>
                <w:noProof/>
              </w:rPr>
              <w:t>social e intercultural y el acompañamiento institucional, en un ambiente de</w:t>
            </w:r>
            <w:r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Pr="00C42D79">
              <w:rPr>
                <w:rFonts w:asciiTheme="minorHAnsi" w:hAnsiTheme="minorHAnsi" w:cs="Arial"/>
                <w:bCs/>
                <w:noProof/>
              </w:rPr>
              <w:t>participación, diálogo, ética y sentido crítico, contribuyendo a la formación para la</w:t>
            </w:r>
            <w:r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Pr="00C42D79">
              <w:rPr>
                <w:rFonts w:asciiTheme="minorHAnsi" w:hAnsiTheme="minorHAnsi" w:cs="Arial"/>
                <w:bCs/>
                <w:noProof/>
              </w:rPr>
              <w:t>transformación social, el crecimiento y el desarrollo de la región y la nación. Promover</w:t>
            </w:r>
            <w:r>
              <w:rPr>
                <w:rFonts w:asciiTheme="minorHAnsi" w:hAnsiTheme="minorHAnsi" w:cs="Arial"/>
                <w:bCs/>
                <w:noProof/>
              </w:rPr>
              <w:t xml:space="preserve"> el ejercicio </w:t>
            </w:r>
            <w:r w:rsidRPr="00C42D79">
              <w:rPr>
                <w:rFonts w:asciiTheme="minorHAnsi" w:hAnsiTheme="minorHAnsi" w:cs="Arial"/>
                <w:bCs/>
                <w:noProof/>
              </w:rPr>
              <w:t>colectivo de la responsabilidad social con perspectiva de desarrollo humano</w:t>
            </w:r>
            <w:r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Pr="00C42D79">
              <w:rPr>
                <w:rFonts w:asciiTheme="minorHAnsi" w:hAnsiTheme="minorHAnsi" w:cs="Arial"/>
                <w:bCs/>
                <w:noProof/>
              </w:rPr>
              <w:t>sostenible, en donde los grupos involucrados trabajen en red permanentemente.</w:t>
            </w:r>
            <w:r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Pr="00C42D79">
              <w:rPr>
                <w:rFonts w:asciiTheme="minorHAnsi" w:hAnsiTheme="minorHAnsi" w:cs="Arial"/>
                <w:bCs/>
                <w:noProof/>
              </w:rPr>
              <w:t>Consolidar un sistema de comunicación receptivo que atienda efectivamente las</w:t>
            </w:r>
            <w:r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Pr="00C42D79">
              <w:rPr>
                <w:rFonts w:asciiTheme="minorHAnsi" w:hAnsiTheme="minorHAnsi" w:cs="Arial"/>
                <w:bCs/>
                <w:noProof/>
              </w:rPr>
              <w:t>necesidades de comunicación de los grupos de interés.</w:t>
            </w:r>
            <w:r w:rsidRPr="00C42D79">
              <w:rPr>
                <w:rFonts w:asciiTheme="minorHAnsi" w:hAnsiTheme="minorHAnsi" w:cs="Arial"/>
                <w:bCs/>
                <w:noProof/>
                <w:sz w:val="20"/>
              </w:rPr>
              <w:t xml:space="preserve"> </w:t>
            </w:r>
            <w:r w:rsidRPr="00863D8B">
              <w:rPr>
                <w:rFonts w:asciiTheme="minorHAnsi" w:hAnsiTheme="minorHAnsi" w:cs="Arial"/>
                <w:bCs/>
                <w:noProof/>
                <w:sz w:val="20"/>
              </w:rPr>
              <w:t>(</w:t>
            </w:r>
            <w:r>
              <w:rPr>
                <w:rFonts w:asciiTheme="minorHAnsi" w:hAnsiTheme="minorHAnsi" w:cs="Arial"/>
                <w:bCs/>
                <w:noProof/>
                <w:sz w:val="20"/>
              </w:rPr>
              <w:t>Direccionamiento estratégico 2016-2019</w:t>
            </w:r>
            <w:r w:rsidRPr="00863D8B">
              <w:rPr>
                <w:rFonts w:asciiTheme="minorHAnsi" w:hAnsiTheme="minorHAnsi" w:cs="Arial"/>
                <w:bCs/>
                <w:noProof/>
                <w:sz w:val="20"/>
              </w:rPr>
              <w:t>)</w:t>
            </w:r>
            <w:r>
              <w:rPr>
                <w:rFonts w:asciiTheme="minorHAnsi" w:hAnsiTheme="minorHAnsi" w:cs="Arial"/>
                <w:bCs/>
                <w:noProof/>
                <w:sz w:val="20"/>
              </w:rPr>
              <w:t>.</w:t>
            </w:r>
          </w:p>
          <w:p w:rsidR="004C7478" w:rsidRPr="00A8600C" w:rsidRDefault="004C7478" w:rsidP="00A8600C">
            <w:pPr>
              <w:spacing w:line="0" w:lineRule="atLeast"/>
              <w:rPr>
                <w:rFonts w:asciiTheme="minorHAnsi" w:hAnsiTheme="minorHAnsi" w:cs="Arial"/>
                <w:bCs/>
                <w:noProof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lastRenderedPageBreak/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177A02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87004" w:rsidRPr="00D037B1" w:rsidRDefault="00887004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4C7478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8988" w:type="dxa"/>
            <w:vAlign w:val="center"/>
          </w:tcPr>
          <w:p w:rsidR="009801D8" w:rsidRPr="0013374D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13374D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1877D7" w:rsidRPr="0092763A" w:rsidRDefault="0013374D" w:rsidP="00D241CD">
            <w:pPr>
              <w:spacing w:line="0" w:lineRule="atLeast"/>
              <w:rPr>
                <w:rFonts w:asciiTheme="minorHAnsi" w:hAnsiTheme="minorHAnsi" w:cs="Arial"/>
                <w:sz w:val="30"/>
                <w:szCs w:val="3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AI&amp;B=50%*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30"/>
                    <w:szCs w:val="30"/>
                  </w:rPr>
                  <m:t>AI+50%*AB</m:t>
                </m:r>
              </m:oMath>
            </m:oMathPara>
          </w:p>
          <w:p w:rsidR="001877D7" w:rsidRDefault="001877D7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154B3E" w:rsidRDefault="00154B3E" w:rsidP="00154B3E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%</w:t>
            </w:r>
            <w:r w:rsidR="004C7478" w:rsidRPr="004C7478">
              <w:rPr>
                <w:rFonts w:asciiTheme="minorHAnsi" w:hAnsiTheme="minorHAnsi" w:cs="Arial"/>
                <w:b/>
                <w:szCs w:val="20"/>
              </w:rPr>
              <w:t xml:space="preserve">AI: </w:t>
            </w:r>
            <w:r w:rsidR="004C7478" w:rsidRPr="004C7478">
              <w:rPr>
                <w:rFonts w:asciiTheme="minorHAnsi" w:hAnsiTheme="minorHAnsi" w:cs="Arial"/>
                <w:szCs w:val="20"/>
              </w:rPr>
              <w:t xml:space="preserve">Aporte Investigación </w:t>
            </w:r>
            <w:r>
              <w:rPr>
                <w:rFonts w:asciiTheme="minorHAnsi" w:hAnsiTheme="minorHAnsi" w:cs="Arial"/>
                <w:szCs w:val="20"/>
              </w:rPr>
              <w:t>/ Presupuesto base de funcionamiento</w:t>
            </w:r>
            <w:r w:rsidR="006A7A19">
              <w:rPr>
                <w:rFonts w:asciiTheme="minorHAnsi" w:hAnsiTheme="minorHAnsi" w:cs="Arial"/>
                <w:szCs w:val="20"/>
              </w:rPr>
              <w:t>.</w:t>
            </w:r>
          </w:p>
          <w:p w:rsidR="0092763A" w:rsidRPr="00154B3E" w:rsidRDefault="00154B3E" w:rsidP="00154B3E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%</w:t>
            </w:r>
            <w:r w:rsidR="004C7478" w:rsidRPr="004C7478">
              <w:rPr>
                <w:rFonts w:asciiTheme="minorHAnsi" w:hAnsiTheme="minorHAnsi" w:cs="Arial"/>
                <w:b/>
                <w:szCs w:val="20"/>
              </w:rPr>
              <w:t>AB:</w:t>
            </w:r>
            <w:r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 w:rsidR="004C7478" w:rsidRPr="004C7478">
              <w:rPr>
                <w:rFonts w:asciiTheme="minorHAnsi" w:hAnsiTheme="minorHAnsi" w:cs="Arial"/>
                <w:szCs w:val="20"/>
              </w:rPr>
              <w:t xml:space="preserve">Aporte Bienestar </w:t>
            </w:r>
            <w:r>
              <w:rPr>
                <w:rFonts w:asciiTheme="minorHAnsi" w:hAnsiTheme="minorHAnsi" w:cs="Arial"/>
                <w:szCs w:val="20"/>
              </w:rPr>
              <w:t>/ Presupuesto base de funcionamiento</w:t>
            </w:r>
            <w:r w:rsidR="006A7A19">
              <w:rPr>
                <w:rFonts w:asciiTheme="minorHAnsi" w:hAnsiTheme="minorHAnsi" w:cs="Arial"/>
                <w:szCs w:val="20"/>
              </w:rPr>
              <w:t>.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D3DE4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:rsidR="002924F3" w:rsidRDefault="002924F3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2924F3" w:rsidRDefault="002924F3" w:rsidP="002924F3">
            <w:pPr>
              <w:spacing w:line="0" w:lineRule="atLeast"/>
              <w:rPr>
                <w:rFonts w:asciiTheme="minorHAnsi" w:hAnsiTheme="minorHAnsi" w:cs="Arial"/>
                <w:szCs w:val="20"/>
                <w:lang w:val="es-CO"/>
              </w:rPr>
            </w:pPr>
            <w:r w:rsidRPr="002924F3">
              <w:rPr>
                <w:rFonts w:asciiTheme="minorHAnsi" w:hAnsiTheme="minorHAnsi" w:cs="Arial"/>
                <w:b/>
                <w:bCs/>
                <w:szCs w:val="20"/>
                <w:lang w:val="es-CO"/>
              </w:rPr>
              <w:t>Presupu</w:t>
            </w:r>
            <w:r w:rsidR="00103483">
              <w:rPr>
                <w:rFonts w:asciiTheme="minorHAnsi" w:hAnsiTheme="minorHAnsi" w:cs="Arial"/>
                <w:b/>
                <w:bCs/>
                <w:szCs w:val="20"/>
                <w:lang w:val="es-CO"/>
              </w:rPr>
              <w:t xml:space="preserve">esto base de funcionamiento UTP: </w:t>
            </w:r>
            <w:r w:rsidR="00103483">
              <w:rPr>
                <w:rFonts w:asciiTheme="minorHAnsi" w:hAnsiTheme="minorHAnsi" w:cs="Arial"/>
                <w:bCs/>
                <w:szCs w:val="20"/>
                <w:lang w:val="es-CO"/>
              </w:rPr>
              <w:t>Se debe contempla el t</w:t>
            </w:r>
            <w:r w:rsidRPr="0032291B">
              <w:rPr>
                <w:rFonts w:asciiTheme="minorHAnsi" w:hAnsiTheme="minorHAnsi" w:cs="Arial"/>
                <w:szCs w:val="20"/>
                <w:lang w:val="es-CO"/>
              </w:rPr>
              <w:t xml:space="preserve">otal </w:t>
            </w:r>
            <w:r w:rsidR="00103483">
              <w:rPr>
                <w:rFonts w:asciiTheme="minorHAnsi" w:hAnsiTheme="minorHAnsi" w:cs="Arial"/>
                <w:szCs w:val="20"/>
                <w:lang w:val="es-CO"/>
              </w:rPr>
              <w:t>del presupuesto de funcionamiento menos: Operación Comercial,</w:t>
            </w:r>
            <w:r w:rsidRPr="0032291B">
              <w:rPr>
                <w:rFonts w:asciiTheme="minorHAnsi" w:hAnsiTheme="minorHAnsi" w:cs="Arial"/>
                <w:szCs w:val="20"/>
                <w:lang w:val="es-CO"/>
              </w:rPr>
              <w:t xml:space="preserve"> T</w:t>
            </w:r>
            <w:r w:rsidR="00103483">
              <w:rPr>
                <w:rFonts w:asciiTheme="minorHAnsi" w:hAnsiTheme="minorHAnsi" w:cs="Arial"/>
                <w:szCs w:val="20"/>
                <w:lang w:val="es-CO"/>
              </w:rPr>
              <w:t>ransferencias B.U, Pensiones y</w:t>
            </w:r>
            <w:r w:rsidRPr="0032291B">
              <w:rPr>
                <w:rFonts w:asciiTheme="minorHAnsi" w:hAnsiTheme="minorHAnsi" w:cs="Arial"/>
                <w:szCs w:val="20"/>
                <w:lang w:val="es-CO"/>
              </w:rPr>
              <w:t xml:space="preserve"> Cuota Auditaje</w:t>
            </w:r>
            <w:r w:rsidR="0032291B">
              <w:rPr>
                <w:rFonts w:asciiTheme="minorHAnsi" w:hAnsiTheme="minorHAnsi" w:cs="Arial"/>
                <w:szCs w:val="20"/>
                <w:lang w:val="es-CO"/>
              </w:rPr>
              <w:t>.</w:t>
            </w:r>
          </w:p>
          <w:p w:rsidR="00326746" w:rsidRDefault="00326746" w:rsidP="002924F3">
            <w:pPr>
              <w:spacing w:line="0" w:lineRule="atLeast"/>
              <w:rPr>
                <w:rFonts w:asciiTheme="minorHAnsi" w:hAnsiTheme="minorHAnsi" w:cs="Arial"/>
                <w:szCs w:val="20"/>
                <w:lang w:val="es-CO"/>
              </w:rPr>
            </w:pPr>
          </w:p>
          <w:p w:rsidR="00326746" w:rsidRDefault="00326746" w:rsidP="002924F3">
            <w:pPr>
              <w:spacing w:line="0" w:lineRule="atLeast"/>
              <w:rPr>
                <w:rFonts w:asciiTheme="minorHAnsi" w:hAnsiTheme="minorHAnsi" w:cs="Arial"/>
                <w:szCs w:val="20"/>
                <w:lang w:val="es-CO"/>
              </w:rPr>
            </w:pPr>
            <w:r>
              <w:rPr>
                <w:rFonts w:asciiTheme="minorHAnsi" w:hAnsiTheme="minorHAnsi" w:cs="Arial"/>
                <w:b/>
                <w:szCs w:val="20"/>
                <w:lang w:val="es-CO"/>
              </w:rPr>
              <w:t xml:space="preserve">Aporte Investigación = </w:t>
            </w:r>
            <w:r w:rsidR="00103483">
              <w:rPr>
                <w:rFonts w:asciiTheme="minorHAnsi" w:hAnsiTheme="minorHAnsi" w:cs="Arial"/>
                <w:szCs w:val="20"/>
                <w:lang w:val="es-CO"/>
              </w:rPr>
              <w:t xml:space="preserve">Se debe contemplar el total del presupuesto asignado en </w:t>
            </w:r>
            <w:r>
              <w:rPr>
                <w:rFonts w:asciiTheme="minorHAnsi" w:hAnsiTheme="minorHAnsi" w:cs="Arial"/>
                <w:szCs w:val="20"/>
                <w:lang w:val="es-CO"/>
              </w:rPr>
              <w:t xml:space="preserve">Funcionamiento </w:t>
            </w:r>
            <w:r w:rsidR="00103483">
              <w:rPr>
                <w:rFonts w:asciiTheme="minorHAnsi" w:hAnsiTheme="minorHAnsi" w:cs="Arial"/>
                <w:szCs w:val="20"/>
                <w:lang w:val="es-CO"/>
              </w:rPr>
              <w:t xml:space="preserve">e </w:t>
            </w:r>
            <w:r>
              <w:rPr>
                <w:rFonts w:asciiTheme="minorHAnsi" w:hAnsiTheme="minorHAnsi" w:cs="Arial"/>
                <w:szCs w:val="20"/>
                <w:lang w:val="es-CO"/>
              </w:rPr>
              <w:t>Inversión</w:t>
            </w:r>
            <w:r w:rsidR="00103483">
              <w:rPr>
                <w:rFonts w:asciiTheme="minorHAnsi" w:hAnsiTheme="minorHAnsi" w:cs="Arial"/>
                <w:szCs w:val="20"/>
                <w:lang w:val="es-CO"/>
              </w:rPr>
              <w:t xml:space="preserve"> para la investigación.</w:t>
            </w:r>
          </w:p>
          <w:p w:rsidR="00103483" w:rsidRDefault="00103483" w:rsidP="002924F3">
            <w:pPr>
              <w:spacing w:line="0" w:lineRule="atLeast"/>
              <w:rPr>
                <w:rFonts w:asciiTheme="minorHAnsi" w:hAnsiTheme="minorHAnsi" w:cs="Arial"/>
                <w:szCs w:val="20"/>
                <w:lang w:val="es-CO"/>
              </w:rPr>
            </w:pPr>
          </w:p>
          <w:p w:rsidR="00103483" w:rsidRDefault="00103483" w:rsidP="00103483">
            <w:pPr>
              <w:spacing w:line="0" w:lineRule="atLeast"/>
              <w:rPr>
                <w:rFonts w:asciiTheme="minorHAnsi" w:hAnsiTheme="minorHAnsi" w:cs="Arial"/>
                <w:szCs w:val="20"/>
                <w:lang w:val="es-CO"/>
              </w:rPr>
            </w:pPr>
            <w:r>
              <w:rPr>
                <w:rFonts w:asciiTheme="minorHAnsi" w:hAnsiTheme="minorHAnsi" w:cs="Arial"/>
                <w:b/>
                <w:szCs w:val="20"/>
                <w:lang w:val="es-CO"/>
              </w:rPr>
              <w:t xml:space="preserve">Aporte Bienestar = </w:t>
            </w:r>
            <w:r>
              <w:rPr>
                <w:rFonts w:asciiTheme="minorHAnsi" w:hAnsiTheme="minorHAnsi" w:cs="Arial"/>
                <w:szCs w:val="20"/>
                <w:lang w:val="es-CO"/>
              </w:rPr>
              <w:t>Se debe contemplar el total del presupuesto asignado en Funcionamiento e Inversión para la Bienestar.</w:t>
            </w:r>
          </w:p>
          <w:p w:rsidR="001F412E" w:rsidRDefault="001F412E" w:rsidP="00103483">
            <w:pPr>
              <w:spacing w:line="0" w:lineRule="atLeast"/>
              <w:rPr>
                <w:rFonts w:asciiTheme="minorHAnsi" w:hAnsiTheme="minorHAnsi" w:cs="Arial"/>
                <w:szCs w:val="20"/>
                <w:lang w:val="es-CO"/>
              </w:rPr>
            </w:pPr>
          </w:p>
          <w:p w:rsidR="00154B3E" w:rsidRDefault="00154B3E" w:rsidP="00103483">
            <w:pPr>
              <w:spacing w:line="0" w:lineRule="atLeast"/>
              <w:rPr>
                <w:rFonts w:asciiTheme="minorHAnsi" w:hAnsiTheme="minorHAnsi" w:cs="Arial"/>
                <w:szCs w:val="20"/>
                <w:lang w:val="es-CO"/>
              </w:rPr>
            </w:pPr>
          </w:p>
          <w:tbl>
            <w:tblPr>
              <w:tblStyle w:val="Tabladecuadrcula4-nfasis41"/>
              <w:tblW w:w="0" w:type="auto"/>
              <w:tblInd w:w="2434" w:type="dxa"/>
              <w:tblLook w:val="04A0" w:firstRow="1" w:lastRow="0" w:firstColumn="1" w:lastColumn="0" w:noHBand="0" w:noVBand="1"/>
            </w:tblPr>
            <w:tblGrid>
              <w:gridCol w:w="2576"/>
              <w:gridCol w:w="992"/>
            </w:tblGrid>
            <w:tr w:rsidR="00120B5D" w:rsidTr="00120B5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3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68" w:type="dxa"/>
                  <w:gridSpan w:val="2"/>
                </w:tcPr>
                <w:p w:rsidR="00120B5D" w:rsidRPr="00120B5D" w:rsidRDefault="00120B5D" w:rsidP="00120B5D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szCs w:val="20"/>
                      <w:lang w:val="es-CO"/>
                    </w:rPr>
                  </w:pPr>
                  <w:r w:rsidRPr="00120B5D">
                    <w:rPr>
                      <w:rFonts w:asciiTheme="minorHAnsi" w:hAnsiTheme="minorHAnsi" w:cs="Arial"/>
                      <w:szCs w:val="20"/>
                      <w:lang w:val="es-CO"/>
                    </w:rPr>
                    <w:t>Tabla para Investigación</w:t>
                  </w:r>
                </w:p>
              </w:tc>
            </w:tr>
            <w:tr w:rsidR="00120B5D" w:rsidRPr="00120B5D" w:rsidTr="00120B5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1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76" w:type="dxa"/>
                </w:tcPr>
                <w:p w:rsidR="00120B5D" w:rsidRPr="00120B5D" w:rsidRDefault="00120B5D" w:rsidP="00120B5D">
                  <w:pPr>
                    <w:spacing w:line="0" w:lineRule="atLeast"/>
                    <w:rPr>
                      <w:rFonts w:asciiTheme="minorHAnsi" w:hAnsiTheme="minorHAnsi" w:cs="Arial"/>
                      <w:szCs w:val="20"/>
                      <w:lang w:val="es-CO"/>
                    </w:rPr>
                  </w:pPr>
                  <w:r w:rsidRPr="00120B5D">
                    <w:rPr>
                      <w:rFonts w:asciiTheme="minorHAnsi" w:hAnsiTheme="minorHAnsi" w:cs="Arial"/>
                      <w:szCs w:val="20"/>
                      <w:lang w:val="es-CO"/>
                    </w:rPr>
                    <w:t>Rango</w:t>
                  </w:r>
                </w:p>
              </w:tc>
              <w:tc>
                <w:tcPr>
                  <w:tcW w:w="992" w:type="dxa"/>
                </w:tcPr>
                <w:p w:rsidR="00120B5D" w:rsidRPr="00120B5D" w:rsidRDefault="00120B5D" w:rsidP="00120B5D">
                  <w:pPr>
                    <w:spacing w:line="0" w:lineRule="atLeas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  <w:r w:rsidRPr="00120B5D"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  <w:t>% AI</w:t>
                  </w:r>
                </w:p>
              </w:tc>
            </w:tr>
            <w:tr w:rsidR="00120B5D" w:rsidTr="00120B5D">
              <w:trPr>
                <w:trHeight w:val="40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76" w:type="dxa"/>
                </w:tcPr>
                <w:p w:rsidR="00120B5D" w:rsidRPr="00120B5D" w:rsidRDefault="00120B5D" w:rsidP="00120B5D">
                  <w:pPr>
                    <w:spacing w:line="0" w:lineRule="atLeast"/>
                    <w:rPr>
                      <w:rFonts w:asciiTheme="minorHAnsi" w:hAnsiTheme="minorHAnsi" w:cs="Arial"/>
                      <w:b w:val="0"/>
                      <w:szCs w:val="20"/>
                      <w:lang w:val="es-CO"/>
                    </w:rPr>
                  </w:pPr>
                  <w:r w:rsidRPr="00120B5D">
                    <w:rPr>
                      <w:rFonts w:asciiTheme="minorHAnsi" w:hAnsiTheme="minorHAnsi" w:cs="Arial"/>
                      <w:b w:val="0"/>
                      <w:szCs w:val="20"/>
                      <w:lang w:val="es-CO"/>
                    </w:rPr>
                    <w:t>0 % - 2%</w:t>
                  </w:r>
                </w:p>
              </w:tc>
              <w:tc>
                <w:tcPr>
                  <w:tcW w:w="992" w:type="dxa"/>
                </w:tcPr>
                <w:p w:rsidR="00120B5D" w:rsidRDefault="00120B5D" w:rsidP="00120B5D">
                  <w:pPr>
                    <w:spacing w:line="0" w:lineRule="atLeas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szCs w:val="20"/>
                      <w:lang w:val="es-CO"/>
                    </w:rPr>
                  </w:pPr>
                  <w:r>
                    <w:rPr>
                      <w:rFonts w:asciiTheme="minorHAnsi" w:hAnsiTheme="minorHAnsi" w:cs="Arial"/>
                      <w:szCs w:val="20"/>
                      <w:lang w:val="es-CO"/>
                    </w:rPr>
                    <w:t>0%</w:t>
                  </w:r>
                </w:p>
              </w:tc>
            </w:tr>
            <w:tr w:rsidR="00120B5D" w:rsidTr="00120B5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1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76" w:type="dxa"/>
                </w:tcPr>
                <w:p w:rsidR="00120B5D" w:rsidRPr="00120B5D" w:rsidRDefault="00120B5D" w:rsidP="00120B5D">
                  <w:pPr>
                    <w:spacing w:line="0" w:lineRule="atLeast"/>
                    <w:rPr>
                      <w:rFonts w:asciiTheme="minorHAnsi" w:hAnsiTheme="minorHAnsi" w:cs="Arial"/>
                      <w:b w:val="0"/>
                      <w:szCs w:val="20"/>
                      <w:lang w:val="es-CO"/>
                    </w:rPr>
                  </w:pPr>
                  <w:r w:rsidRPr="00120B5D">
                    <w:rPr>
                      <w:rFonts w:asciiTheme="minorHAnsi" w:hAnsiTheme="minorHAnsi" w:cs="Arial"/>
                      <w:b w:val="0"/>
                      <w:szCs w:val="20"/>
                      <w:lang w:val="es-CO"/>
                    </w:rPr>
                    <w:t>2.1% - 4.9%</w:t>
                  </w:r>
                </w:p>
              </w:tc>
              <w:tc>
                <w:tcPr>
                  <w:tcW w:w="992" w:type="dxa"/>
                </w:tcPr>
                <w:p w:rsidR="00120B5D" w:rsidRDefault="00120B5D" w:rsidP="00120B5D">
                  <w:pPr>
                    <w:spacing w:line="0" w:lineRule="atLeas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szCs w:val="20"/>
                      <w:lang w:val="es-CO"/>
                    </w:rPr>
                  </w:pPr>
                  <w:r>
                    <w:rPr>
                      <w:rFonts w:asciiTheme="minorHAnsi" w:hAnsiTheme="minorHAnsi" w:cs="Arial"/>
                      <w:szCs w:val="20"/>
                      <w:lang w:val="es-CO"/>
                    </w:rPr>
                    <w:t>25%</w:t>
                  </w:r>
                </w:p>
              </w:tc>
            </w:tr>
            <w:tr w:rsidR="00120B5D" w:rsidTr="00120B5D">
              <w:trPr>
                <w:trHeight w:val="41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76" w:type="dxa"/>
                </w:tcPr>
                <w:p w:rsidR="00120B5D" w:rsidRPr="00120B5D" w:rsidRDefault="00120B5D" w:rsidP="00120B5D">
                  <w:pPr>
                    <w:spacing w:line="0" w:lineRule="atLeast"/>
                    <w:rPr>
                      <w:rFonts w:asciiTheme="minorHAnsi" w:hAnsiTheme="minorHAnsi" w:cs="Arial"/>
                      <w:b w:val="0"/>
                      <w:szCs w:val="20"/>
                      <w:lang w:val="es-CO"/>
                    </w:rPr>
                  </w:pPr>
                  <w:r w:rsidRPr="00120B5D">
                    <w:rPr>
                      <w:rFonts w:asciiTheme="minorHAnsi" w:hAnsiTheme="minorHAnsi" w:cs="Arial"/>
                      <w:b w:val="0"/>
                      <w:szCs w:val="20"/>
                      <w:lang w:val="es-CO"/>
                    </w:rPr>
                    <w:t>5% en adelante</w:t>
                  </w:r>
                </w:p>
              </w:tc>
              <w:tc>
                <w:tcPr>
                  <w:tcW w:w="992" w:type="dxa"/>
                </w:tcPr>
                <w:p w:rsidR="00120B5D" w:rsidRDefault="00120B5D" w:rsidP="00120B5D">
                  <w:pPr>
                    <w:spacing w:line="0" w:lineRule="atLeas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szCs w:val="20"/>
                      <w:lang w:val="es-CO"/>
                    </w:rPr>
                  </w:pPr>
                  <w:r>
                    <w:rPr>
                      <w:rFonts w:asciiTheme="minorHAnsi" w:hAnsiTheme="minorHAnsi" w:cs="Arial"/>
                      <w:szCs w:val="20"/>
                      <w:lang w:val="es-CO"/>
                    </w:rPr>
                    <w:t>50%</w:t>
                  </w:r>
                </w:p>
              </w:tc>
            </w:tr>
          </w:tbl>
          <w:p w:rsidR="00E465CC" w:rsidRDefault="00E465CC" w:rsidP="00103483">
            <w:pPr>
              <w:spacing w:line="0" w:lineRule="atLeast"/>
              <w:rPr>
                <w:rFonts w:asciiTheme="minorHAnsi" w:hAnsiTheme="minorHAnsi" w:cs="Arial"/>
                <w:szCs w:val="20"/>
                <w:lang w:val="es-CO"/>
              </w:rPr>
            </w:pPr>
          </w:p>
          <w:p w:rsidR="00E465CC" w:rsidRDefault="00E465CC" w:rsidP="00103483">
            <w:pPr>
              <w:spacing w:line="0" w:lineRule="atLeast"/>
              <w:rPr>
                <w:rFonts w:asciiTheme="minorHAnsi" w:hAnsiTheme="minorHAnsi" w:cs="Arial"/>
                <w:szCs w:val="20"/>
                <w:lang w:val="es-CO"/>
              </w:rPr>
            </w:pPr>
          </w:p>
          <w:p w:rsidR="001F412E" w:rsidRDefault="001F412E" w:rsidP="00103483">
            <w:pPr>
              <w:spacing w:line="0" w:lineRule="atLeast"/>
              <w:rPr>
                <w:rFonts w:asciiTheme="minorHAnsi" w:hAnsiTheme="minorHAnsi" w:cs="Arial"/>
                <w:szCs w:val="20"/>
                <w:lang w:val="es-CO"/>
              </w:rPr>
            </w:pPr>
          </w:p>
          <w:p w:rsidR="001F412E" w:rsidRDefault="001F412E" w:rsidP="00103483">
            <w:pPr>
              <w:spacing w:line="0" w:lineRule="atLeast"/>
              <w:rPr>
                <w:rFonts w:asciiTheme="minorHAnsi" w:hAnsiTheme="minorHAnsi" w:cs="Arial"/>
                <w:szCs w:val="20"/>
                <w:lang w:val="es-CO"/>
              </w:rPr>
            </w:pPr>
          </w:p>
          <w:p w:rsidR="001F412E" w:rsidRDefault="001F412E" w:rsidP="00103483">
            <w:pPr>
              <w:spacing w:line="0" w:lineRule="atLeast"/>
              <w:rPr>
                <w:rFonts w:asciiTheme="minorHAnsi" w:hAnsiTheme="minorHAnsi" w:cs="Arial"/>
                <w:szCs w:val="20"/>
                <w:lang w:val="es-CO"/>
              </w:rPr>
            </w:pPr>
          </w:p>
          <w:p w:rsidR="001F412E" w:rsidRDefault="001F412E" w:rsidP="00103483">
            <w:pPr>
              <w:spacing w:line="0" w:lineRule="atLeast"/>
              <w:rPr>
                <w:rFonts w:asciiTheme="minorHAnsi" w:hAnsiTheme="minorHAnsi" w:cs="Arial"/>
                <w:szCs w:val="20"/>
                <w:lang w:val="es-CO"/>
              </w:rPr>
            </w:pPr>
          </w:p>
          <w:p w:rsidR="001F412E" w:rsidRDefault="001F412E" w:rsidP="00103483">
            <w:pPr>
              <w:spacing w:line="0" w:lineRule="atLeast"/>
              <w:rPr>
                <w:rFonts w:asciiTheme="minorHAnsi" w:hAnsiTheme="minorHAnsi" w:cs="Arial"/>
                <w:szCs w:val="20"/>
                <w:lang w:val="es-CO"/>
              </w:rPr>
            </w:pPr>
          </w:p>
          <w:tbl>
            <w:tblPr>
              <w:tblStyle w:val="Tabladecuadrcula4-nfasis41"/>
              <w:tblW w:w="0" w:type="auto"/>
              <w:tblInd w:w="2434" w:type="dxa"/>
              <w:tblLook w:val="04A0" w:firstRow="1" w:lastRow="0" w:firstColumn="1" w:lastColumn="0" w:noHBand="0" w:noVBand="1"/>
            </w:tblPr>
            <w:tblGrid>
              <w:gridCol w:w="2576"/>
              <w:gridCol w:w="992"/>
            </w:tblGrid>
            <w:tr w:rsidR="00CC5D29" w:rsidTr="000C19B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3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68" w:type="dxa"/>
                  <w:gridSpan w:val="2"/>
                </w:tcPr>
                <w:p w:rsidR="00CC5D29" w:rsidRPr="00120B5D" w:rsidRDefault="00CC5D29" w:rsidP="00CC5D29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szCs w:val="20"/>
                      <w:lang w:val="es-CO"/>
                    </w:rPr>
                  </w:pPr>
                  <w:r w:rsidRPr="00120B5D">
                    <w:rPr>
                      <w:rFonts w:asciiTheme="minorHAnsi" w:hAnsiTheme="minorHAnsi" w:cs="Arial"/>
                      <w:szCs w:val="20"/>
                      <w:lang w:val="es-CO"/>
                    </w:rPr>
                    <w:t xml:space="preserve">Tabla para </w:t>
                  </w:r>
                  <w:r>
                    <w:rPr>
                      <w:rFonts w:asciiTheme="minorHAnsi" w:hAnsiTheme="minorHAnsi" w:cs="Arial"/>
                      <w:szCs w:val="20"/>
                      <w:lang w:val="es-CO"/>
                    </w:rPr>
                    <w:t>Bienestar</w:t>
                  </w:r>
                </w:p>
              </w:tc>
            </w:tr>
            <w:tr w:rsidR="00CC5D29" w:rsidRPr="00120B5D" w:rsidTr="000C19B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1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76" w:type="dxa"/>
                </w:tcPr>
                <w:p w:rsidR="00CC5D29" w:rsidRPr="00120B5D" w:rsidRDefault="00CC5D29" w:rsidP="00CC5D29">
                  <w:pPr>
                    <w:spacing w:line="0" w:lineRule="atLeast"/>
                    <w:rPr>
                      <w:rFonts w:asciiTheme="minorHAnsi" w:hAnsiTheme="minorHAnsi" w:cs="Arial"/>
                      <w:szCs w:val="20"/>
                      <w:lang w:val="es-CO"/>
                    </w:rPr>
                  </w:pPr>
                  <w:r w:rsidRPr="00120B5D">
                    <w:rPr>
                      <w:rFonts w:asciiTheme="minorHAnsi" w:hAnsiTheme="minorHAnsi" w:cs="Arial"/>
                      <w:szCs w:val="20"/>
                      <w:lang w:val="es-CO"/>
                    </w:rPr>
                    <w:t>Rango</w:t>
                  </w:r>
                </w:p>
              </w:tc>
              <w:tc>
                <w:tcPr>
                  <w:tcW w:w="992" w:type="dxa"/>
                </w:tcPr>
                <w:p w:rsidR="00CC5D29" w:rsidRPr="00120B5D" w:rsidRDefault="00CC5D29" w:rsidP="00CC5D29">
                  <w:pPr>
                    <w:spacing w:line="0" w:lineRule="atLeas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</w:pPr>
                  <w:r w:rsidRPr="00120B5D"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  <w:t xml:space="preserve">% </w:t>
                  </w:r>
                  <w:r>
                    <w:rPr>
                      <w:rFonts w:asciiTheme="minorHAnsi" w:hAnsiTheme="minorHAnsi" w:cs="Arial"/>
                      <w:b/>
                      <w:szCs w:val="20"/>
                      <w:lang w:val="es-CO"/>
                    </w:rPr>
                    <w:t>AB</w:t>
                  </w:r>
                </w:p>
              </w:tc>
            </w:tr>
            <w:tr w:rsidR="00CC5D29" w:rsidTr="000C19BA">
              <w:trPr>
                <w:trHeight w:val="40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76" w:type="dxa"/>
                </w:tcPr>
                <w:p w:rsidR="00CC5D29" w:rsidRPr="00120B5D" w:rsidRDefault="0081701E" w:rsidP="00CC5D29">
                  <w:pPr>
                    <w:spacing w:line="0" w:lineRule="atLeast"/>
                    <w:rPr>
                      <w:rFonts w:asciiTheme="minorHAnsi" w:hAnsiTheme="minorHAnsi" w:cs="Arial"/>
                      <w:b w:val="0"/>
                      <w:szCs w:val="20"/>
                      <w:lang w:val="es-CO"/>
                    </w:rPr>
                  </w:pPr>
                  <w:r>
                    <w:rPr>
                      <w:rFonts w:asciiTheme="minorHAnsi" w:hAnsiTheme="minorHAnsi" w:cs="Arial"/>
                      <w:b w:val="0"/>
                      <w:szCs w:val="20"/>
                      <w:lang w:val="es-CO"/>
                    </w:rPr>
                    <w:lastRenderedPageBreak/>
                    <w:t>0 % - 1</w:t>
                  </w:r>
                  <w:r w:rsidR="00CC5D29" w:rsidRPr="00120B5D">
                    <w:rPr>
                      <w:rFonts w:asciiTheme="minorHAnsi" w:hAnsiTheme="minorHAnsi" w:cs="Arial"/>
                      <w:b w:val="0"/>
                      <w:szCs w:val="20"/>
                      <w:lang w:val="es-CO"/>
                    </w:rPr>
                    <w:t>%</w:t>
                  </w:r>
                </w:p>
              </w:tc>
              <w:tc>
                <w:tcPr>
                  <w:tcW w:w="992" w:type="dxa"/>
                </w:tcPr>
                <w:p w:rsidR="00CC5D29" w:rsidRDefault="00CC5D29" w:rsidP="00CC5D29">
                  <w:pPr>
                    <w:spacing w:line="0" w:lineRule="atLeas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szCs w:val="20"/>
                      <w:lang w:val="es-CO"/>
                    </w:rPr>
                  </w:pPr>
                  <w:r>
                    <w:rPr>
                      <w:rFonts w:asciiTheme="minorHAnsi" w:hAnsiTheme="minorHAnsi" w:cs="Arial"/>
                      <w:szCs w:val="20"/>
                      <w:lang w:val="es-CO"/>
                    </w:rPr>
                    <w:t>0%</w:t>
                  </w:r>
                </w:p>
              </w:tc>
            </w:tr>
            <w:tr w:rsidR="00CC5D29" w:rsidTr="000C19B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1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76" w:type="dxa"/>
                </w:tcPr>
                <w:p w:rsidR="00CC5D29" w:rsidRPr="00120B5D" w:rsidRDefault="0081701E" w:rsidP="00CC5D29">
                  <w:pPr>
                    <w:spacing w:line="0" w:lineRule="atLeast"/>
                    <w:rPr>
                      <w:rFonts w:asciiTheme="minorHAnsi" w:hAnsiTheme="minorHAnsi" w:cs="Arial"/>
                      <w:b w:val="0"/>
                      <w:szCs w:val="20"/>
                      <w:lang w:val="es-CO"/>
                    </w:rPr>
                  </w:pPr>
                  <w:r>
                    <w:rPr>
                      <w:rFonts w:asciiTheme="minorHAnsi" w:hAnsiTheme="minorHAnsi" w:cs="Arial"/>
                      <w:b w:val="0"/>
                      <w:szCs w:val="20"/>
                      <w:lang w:val="es-CO"/>
                    </w:rPr>
                    <w:t>1.1% - 1.99</w:t>
                  </w:r>
                  <w:r w:rsidR="00CC5D29" w:rsidRPr="00120B5D">
                    <w:rPr>
                      <w:rFonts w:asciiTheme="minorHAnsi" w:hAnsiTheme="minorHAnsi" w:cs="Arial"/>
                      <w:b w:val="0"/>
                      <w:szCs w:val="20"/>
                      <w:lang w:val="es-CO"/>
                    </w:rPr>
                    <w:t>%</w:t>
                  </w:r>
                </w:p>
              </w:tc>
              <w:tc>
                <w:tcPr>
                  <w:tcW w:w="992" w:type="dxa"/>
                </w:tcPr>
                <w:p w:rsidR="00CC5D29" w:rsidRDefault="00CC5D29" w:rsidP="00CC5D29">
                  <w:pPr>
                    <w:spacing w:line="0" w:lineRule="atLeas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szCs w:val="20"/>
                      <w:lang w:val="es-CO"/>
                    </w:rPr>
                  </w:pPr>
                  <w:r>
                    <w:rPr>
                      <w:rFonts w:asciiTheme="minorHAnsi" w:hAnsiTheme="minorHAnsi" w:cs="Arial"/>
                      <w:szCs w:val="20"/>
                      <w:lang w:val="es-CO"/>
                    </w:rPr>
                    <w:t>25%</w:t>
                  </w:r>
                </w:p>
              </w:tc>
            </w:tr>
            <w:tr w:rsidR="00CC5D29" w:rsidTr="000C19BA">
              <w:trPr>
                <w:trHeight w:val="41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76" w:type="dxa"/>
                </w:tcPr>
                <w:p w:rsidR="00CC5D29" w:rsidRPr="00120B5D" w:rsidRDefault="0081701E" w:rsidP="00CC5D29">
                  <w:pPr>
                    <w:spacing w:line="0" w:lineRule="atLeast"/>
                    <w:rPr>
                      <w:rFonts w:asciiTheme="minorHAnsi" w:hAnsiTheme="minorHAnsi" w:cs="Arial"/>
                      <w:b w:val="0"/>
                      <w:szCs w:val="20"/>
                      <w:lang w:val="es-CO"/>
                    </w:rPr>
                  </w:pPr>
                  <w:r>
                    <w:rPr>
                      <w:rFonts w:asciiTheme="minorHAnsi" w:hAnsiTheme="minorHAnsi" w:cs="Arial"/>
                      <w:b w:val="0"/>
                      <w:szCs w:val="20"/>
                      <w:lang w:val="es-CO"/>
                    </w:rPr>
                    <w:t>2</w:t>
                  </w:r>
                  <w:r w:rsidR="00CC5D29" w:rsidRPr="00120B5D">
                    <w:rPr>
                      <w:rFonts w:asciiTheme="minorHAnsi" w:hAnsiTheme="minorHAnsi" w:cs="Arial"/>
                      <w:b w:val="0"/>
                      <w:szCs w:val="20"/>
                      <w:lang w:val="es-CO"/>
                    </w:rPr>
                    <w:t>% en adelante</w:t>
                  </w:r>
                </w:p>
              </w:tc>
              <w:tc>
                <w:tcPr>
                  <w:tcW w:w="992" w:type="dxa"/>
                </w:tcPr>
                <w:p w:rsidR="00CC5D29" w:rsidRDefault="00CC5D29" w:rsidP="00CC5D29">
                  <w:pPr>
                    <w:spacing w:line="0" w:lineRule="atLeas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szCs w:val="20"/>
                      <w:lang w:val="es-CO"/>
                    </w:rPr>
                  </w:pPr>
                  <w:r>
                    <w:rPr>
                      <w:rFonts w:asciiTheme="minorHAnsi" w:hAnsiTheme="minorHAnsi" w:cs="Arial"/>
                      <w:szCs w:val="20"/>
                      <w:lang w:val="es-CO"/>
                    </w:rPr>
                    <w:t>50%</w:t>
                  </w:r>
                </w:p>
              </w:tc>
            </w:tr>
          </w:tbl>
          <w:p w:rsidR="002B2665" w:rsidRPr="002924F3" w:rsidRDefault="002B2665" w:rsidP="004B04A2">
            <w:pPr>
              <w:rPr>
                <w:rFonts w:asciiTheme="minorHAnsi" w:hAnsiTheme="minorHAnsi" w:cs="Arial"/>
                <w:sz w:val="20"/>
                <w:szCs w:val="20"/>
                <w:lang w:val="es-CO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  <w:r w:rsidR="006B2376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</w:p>
          <w:p w:rsidR="00684A39" w:rsidRDefault="00684A39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p w:rsidR="0038756A" w:rsidRPr="00D404F8" w:rsidRDefault="00BE4531" w:rsidP="000B5392">
            <w:pPr>
              <w:pStyle w:val="Prrafodelista"/>
              <w:numPr>
                <w:ilvl w:val="0"/>
                <w:numId w:val="19"/>
              </w:num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>
              <w:rPr>
                <w:rFonts w:asciiTheme="minorHAnsi" w:hAnsiTheme="minorHAnsi" w:cs="Arial"/>
                <w:noProof/>
                <w:szCs w:val="20"/>
              </w:rPr>
              <w:t>Resolución de Rectoría por medio de la cual se distribuye el presupuesto de rentas y gastos de la Universidad Tecnológica de Pereira para la vigencia.</w:t>
            </w:r>
          </w:p>
          <w:p w:rsidR="00D404F8" w:rsidRPr="00D404F8" w:rsidRDefault="00D404F8" w:rsidP="00D404F8">
            <w:pPr>
              <w:pStyle w:val="Prrafodelista"/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p w:rsidR="00C01AC4" w:rsidRPr="00F97992" w:rsidRDefault="00F97992" w:rsidP="000B5392">
            <w:pPr>
              <w:pStyle w:val="Prrafodelista"/>
              <w:numPr>
                <w:ilvl w:val="0"/>
                <w:numId w:val="19"/>
              </w:num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>
              <w:rPr>
                <w:rFonts w:asciiTheme="minorHAnsi" w:hAnsiTheme="minorHAnsi" w:cs="Arial"/>
                <w:noProof/>
                <w:szCs w:val="20"/>
              </w:rPr>
              <w:t>Presentación</w:t>
            </w:r>
            <w:r w:rsidR="00A87D4E">
              <w:rPr>
                <w:rFonts w:asciiTheme="minorHAnsi" w:hAnsiTheme="minorHAnsi" w:cs="Arial"/>
                <w:noProof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noProof/>
                <w:szCs w:val="20"/>
              </w:rPr>
              <w:t xml:space="preserve">al Consejo Superior </w:t>
            </w:r>
            <w:r w:rsidR="00A87D4E">
              <w:rPr>
                <w:rFonts w:asciiTheme="minorHAnsi" w:hAnsiTheme="minorHAnsi" w:cs="Arial"/>
                <w:noProof/>
                <w:szCs w:val="20"/>
              </w:rPr>
              <w:t xml:space="preserve">del anteproyecto de presupuesto </w:t>
            </w:r>
            <w:r>
              <w:rPr>
                <w:rFonts w:asciiTheme="minorHAnsi" w:hAnsiTheme="minorHAnsi" w:cs="Arial"/>
                <w:noProof/>
                <w:szCs w:val="20"/>
              </w:rPr>
              <w:t>de gastos correspondiente al aporte a investigación y bienestar.</w:t>
            </w:r>
          </w:p>
        </w:tc>
      </w:tr>
    </w:tbl>
    <w:p w:rsidR="00E53A15" w:rsidRPr="00D037B1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06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0F49D3" w:rsidRDefault="000F49D3" w:rsidP="002114F6">
            <w:pPr>
              <w:spacing w:line="0" w:lineRule="atLeast"/>
              <w:rPr>
                <w:noProof/>
                <w:lang w:val="es-CO" w:eastAsia="es-CO"/>
              </w:rPr>
            </w:pPr>
          </w:p>
          <w:p w:rsidR="00470E97" w:rsidRDefault="00FD7C6E" w:rsidP="002114F6">
            <w:pPr>
              <w:spacing w:line="0" w:lineRule="atLeast"/>
              <w:rPr>
                <w:noProof/>
                <w:lang w:val="es-CO" w:eastAsia="es-CO"/>
              </w:rPr>
            </w:pPr>
            <w:r w:rsidRPr="00FD7C6E">
              <w:rPr>
                <w:noProof/>
                <w:lang w:val="es-CO" w:eastAsia="es-CO"/>
              </w:rPr>
              <w:drawing>
                <wp:inline distT="0" distB="0" distL="0" distR="0">
                  <wp:extent cx="5581305" cy="1838325"/>
                  <wp:effectExtent l="0" t="0" r="635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7959" cy="1843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25CC" w:rsidRPr="00D037B1" w:rsidRDefault="00CB25CC" w:rsidP="007002F4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Pr="00182ED9" w:rsidRDefault="000118BB" w:rsidP="00D80394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182ED9">
              <w:rPr>
                <w:rFonts w:asciiTheme="minorHAnsi" w:hAnsiTheme="minorHAnsi" w:cs="Arial"/>
                <w:szCs w:val="20"/>
              </w:rPr>
              <w:t>Estructura del reporte cualitativo:</w:t>
            </w:r>
          </w:p>
          <w:p w:rsidR="00E054D3" w:rsidRPr="00182ED9" w:rsidRDefault="00E054D3" w:rsidP="00D80394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AC0A97" w:rsidRPr="00182ED9" w:rsidRDefault="00AC0A97" w:rsidP="00AC0A97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182ED9">
              <w:rPr>
                <w:rFonts w:asciiTheme="minorHAnsi" w:hAnsiTheme="minorHAnsi" w:cs="Arial"/>
                <w:szCs w:val="20"/>
              </w:rPr>
              <w:t>Aspectos requeridos desde el sistema de gerencia:</w:t>
            </w:r>
          </w:p>
          <w:p w:rsidR="00AC0A97" w:rsidRPr="00977CD9" w:rsidRDefault="00AC0A97" w:rsidP="00AC0A97">
            <w:pPr>
              <w:spacing w:line="0" w:lineRule="atLeast"/>
              <w:rPr>
                <w:rFonts w:asciiTheme="minorHAnsi" w:hAnsiTheme="minorHAnsi" w:cs="Arial"/>
                <w:b/>
                <w:color w:val="FF0000"/>
                <w:szCs w:val="20"/>
              </w:rPr>
            </w:pPr>
          </w:p>
          <w:p w:rsidR="00AC0A97" w:rsidRPr="00853C04" w:rsidRDefault="00AC0A97" w:rsidP="00AC0A97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EA04DD">
              <w:rPr>
                <w:rFonts w:asciiTheme="minorHAnsi" w:hAnsiTheme="minorHAnsi" w:cs="Arial"/>
                <w:szCs w:val="20"/>
              </w:rPr>
              <w:t xml:space="preserve">Descripción breve del indicador: </w:t>
            </w:r>
            <w:r w:rsidR="00853C04" w:rsidRPr="00853C04">
              <w:rPr>
                <w:rFonts w:asciiTheme="minorHAnsi" w:hAnsiTheme="minorHAnsi" w:cs="Arial"/>
                <w:lang w:val="es-CO"/>
              </w:rPr>
              <w:t xml:space="preserve">Con este indicador se pretende medir </w:t>
            </w:r>
            <w:r w:rsidR="00B613CB">
              <w:rPr>
                <w:rFonts w:asciiTheme="minorHAnsi" w:hAnsiTheme="minorHAnsi" w:cs="Arial"/>
                <w:lang w:val="es-CO"/>
              </w:rPr>
              <w:t xml:space="preserve">si en la elaboración de presupuesto de cada vigencia se cumple con los aportes a </w:t>
            </w:r>
            <w:r w:rsidR="00B613CB" w:rsidRPr="00853C04">
              <w:rPr>
                <w:rFonts w:asciiTheme="minorHAnsi" w:hAnsiTheme="minorHAnsi" w:cs="Arial"/>
                <w:lang w:val="es-CO"/>
              </w:rPr>
              <w:t>Investigación</w:t>
            </w:r>
            <w:r w:rsidR="00B613CB">
              <w:rPr>
                <w:rFonts w:asciiTheme="minorHAnsi" w:hAnsiTheme="minorHAnsi" w:cs="Arial"/>
                <w:lang w:val="es-CO"/>
              </w:rPr>
              <w:t xml:space="preserve"> y Bienestar estipulados en el Estatuto General.</w:t>
            </w:r>
          </w:p>
          <w:p w:rsidR="00AC0A97" w:rsidRPr="00716677" w:rsidRDefault="00AC0A97" w:rsidP="00AC0A97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EA04DD">
              <w:rPr>
                <w:rFonts w:asciiTheme="minorHAnsi" w:hAnsiTheme="minorHAnsi" w:cs="Arial"/>
                <w:szCs w:val="20"/>
              </w:rPr>
              <w:t xml:space="preserve">Período de medición: </w:t>
            </w:r>
            <w:r w:rsidR="00716677" w:rsidRPr="00716677">
              <w:rPr>
                <w:rFonts w:asciiTheme="minorHAnsi" w:hAnsiTheme="minorHAnsi" w:cs="Arial"/>
                <w:szCs w:val="20"/>
              </w:rPr>
              <w:t>desde el 01 de enero</w:t>
            </w:r>
            <w:r w:rsidRPr="00716677">
              <w:rPr>
                <w:rFonts w:asciiTheme="minorHAnsi" w:hAnsiTheme="minorHAnsi" w:cs="Arial"/>
                <w:szCs w:val="20"/>
              </w:rPr>
              <w:t xml:space="preserve"> – </w:t>
            </w:r>
            <w:r w:rsidR="00716677" w:rsidRPr="00716677">
              <w:rPr>
                <w:rFonts w:asciiTheme="minorHAnsi" w:hAnsiTheme="minorHAnsi" w:cs="Arial"/>
                <w:szCs w:val="20"/>
              </w:rPr>
              <w:t>hasta el 31 de marzo</w:t>
            </w:r>
          </w:p>
          <w:p w:rsidR="00D80394" w:rsidRPr="005561A4" w:rsidRDefault="00AC0A97" w:rsidP="005561A4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color w:val="FF0000"/>
                <w:szCs w:val="20"/>
              </w:rPr>
            </w:pPr>
            <w:r w:rsidRPr="00C74C93">
              <w:rPr>
                <w:rFonts w:asciiTheme="minorHAnsi" w:hAnsiTheme="minorHAnsi" w:cs="Arial"/>
                <w:szCs w:val="20"/>
              </w:rPr>
              <w:t xml:space="preserve">Localización del soporte del indicador (Físico o cargado en el sistema): </w:t>
            </w:r>
            <w:r w:rsidR="00E65F86">
              <w:rPr>
                <w:rFonts w:asciiTheme="minorHAnsi" w:hAnsiTheme="minorHAnsi" w:cs="Arial"/>
                <w:szCs w:val="20"/>
              </w:rPr>
              <w:t xml:space="preserve">Archivos </w:t>
            </w:r>
            <w:r w:rsidR="00E65F86">
              <w:rPr>
                <w:rFonts w:asciiTheme="minorHAnsi" w:hAnsiTheme="minorHAnsi" w:cs="Arial"/>
                <w:szCs w:val="20"/>
              </w:rPr>
              <w:lastRenderedPageBreak/>
              <w:t>adjuntos dentro del sistema de seguimiento al PDI.</w:t>
            </w:r>
          </w:p>
        </w:tc>
      </w:tr>
    </w:tbl>
    <w:p w:rsidR="0091462A" w:rsidRPr="00D037B1" w:rsidRDefault="0091462A" w:rsidP="00F56736">
      <w:pPr>
        <w:spacing w:line="0" w:lineRule="atLeast"/>
        <w:rPr>
          <w:rFonts w:asciiTheme="minorHAnsi" w:hAnsiTheme="minorHAnsi"/>
        </w:rPr>
      </w:pPr>
    </w:p>
    <w:p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8"/>
      <w:footerReference w:type="default" r:id="rId9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0CB" w:rsidRDefault="008630CB">
      <w:r>
        <w:separator/>
      </w:r>
    </w:p>
  </w:endnote>
  <w:endnote w:type="continuationSeparator" w:id="0">
    <w:p w:rsidR="008630CB" w:rsidRDefault="00863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0CB" w:rsidRDefault="008630CB">
      <w:r>
        <w:separator/>
      </w:r>
    </w:p>
  </w:footnote>
  <w:footnote w:type="continuationSeparator" w:id="0">
    <w:p w:rsidR="008630CB" w:rsidRDefault="008630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D3D9957" wp14:editId="6F308268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977CD9" w:rsidRDefault="00977CD9" w:rsidP="00977CD9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  <w:sz w:val="22"/>
            </w:rPr>
          </w:pPr>
          <w:r w:rsidRPr="000811A0">
            <w:rPr>
              <w:rFonts w:asciiTheme="minorHAnsi" w:hAnsiTheme="minorHAnsi" w:cs="Arial"/>
              <w:b/>
              <w:sz w:val="22"/>
            </w:rPr>
            <w:t>Plan de Desarrollo Institucional 20</w:t>
          </w:r>
          <w:r>
            <w:rPr>
              <w:rFonts w:asciiTheme="minorHAnsi" w:hAnsiTheme="minorHAnsi" w:cs="Arial"/>
              <w:b/>
              <w:sz w:val="22"/>
            </w:rPr>
            <w:t>16</w:t>
          </w:r>
          <w:r w:rsidRPr="000811A0">
            <w:rPr>
              <w:rFonts w:asciiTheme="minorHAnsi" w:hAnsiTheme="minorHAnsi" w:cs="Arial"/>
              <w:b/>
              <w:sz w:val="22"/>
            </w:rPr>
            <w:t xml:space="preserve"> </w:t>
          </w:r>
          <w:r>
            <w:rPr>
              <w:rFonts w:asciiTheme="minorHAnsi" w:hAnsiTheme="minorHAnsi" w:cs="Arial"/>
              <w:b/>
              <w:sz w:val="22"/>
            </w:rPr>
            <w:t>–</w:t>
          </w:r>
          <w:r w:rsidRPr="000811A0">
            <w:rPr>
              <w:rFonts w:asciiTheme="minorHAnsi" w:hAnsiTheme="minorHAnsi" w:cs="Arial"/>
              <w:b/>
              <w:sz w:val="22"/>
            </w:rPr>
            <w:t xml:space="preserve"> 201</w:t>
          </w:r>
          <w:r>
            <w:rPr>
              <w:rFonts w:asciiTheme="minorHAnsi" w:hAnsiTheme="minorHAnsi" w:cs="Arial"/>
              <w:b/>
              <w:sz w:val="22"/>
            </w:rPr>
            <w:t>7</w:t>
          </w:r>
        </w:p>
        <w:p w:rsidR="00B05843" w:rsidRPr="004036F2" w:rsidRDefault="00CF6E1F" w:rsidP="00977CD9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CF6E1F">
            <w:rPr>
              <w:rFonts w:asciiTheme="minorHAnsi" w:hAnsiTheme="minorHAnsi" w:cs="Arial"/>
              <w:b/>
              <w:sz w:val="22"/>
            </w:rPr>
            <w:t>Cumplimiento en el aporte a la investigación y Bienestar establecido en el Estatuto General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282FB0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1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282FB0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5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D11484"/>
    <w:multiLevelType w:val="hybridMultilevel"/>
    <w:tmpl w:val="AA54C380"/>
    <w:lvl w:ilvl="0" w:tplc="ADAC2E88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963E42"/>
    <w:multiLevelType w:val="hybridMultilevel"/>
    <w:tmpl w:val="F46C83A6"/>
    <w:lvl w:ilvl="0" w:tplc="A2B6C6E2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E76ADE"/>
    <w:multiLevelType w:val="hybridMultilevel"/>
    <w:tmpl w:val="33A49D32"/>
    <w:lvl w:ilvl="0" w:tplc="8C88A4B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610419"/>
    <w:multiLevelType w:val="hybridMultilevel"/>
    <w:tmpl w:val="CCDA439E"/>
    <w:lvl w:ilvl="0" w:tplc="8DD48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1"/>
  </w:num>
  <w:num w:numId="5">
    <w:abstractNumId w:val="15"/>
  </w:num>
  <w:num w:numId="6">
    <w:abstractNumId w:val="6"/>
  </w:num>
  <w:num w:numId="7">
    <w:abstractNumId w:val="5"/>
  </w:num>
  <w:num w:numId="8">
    <w:abstractNumId w:val="7"/>
  </w:num>
  <w:num w:numId="9">
    <w:abstractNumId w:val="8"/>
  </w:num>
  <w:num w:numId="10">
    <w:abstractNumId w:val="16"/>
  </w:num>
  <w:num w:numId="11">
    <w:abstractNumId w:val="2"/>
  </w:num>
  <w:num w:numId="12">
    <w:abstractNumId w:val="11"/>
  </w:num>
  <w:num w:numId="13">
    <w:abstractNumId w:val="3"/>
  </w:num>
  <w:num w:numId="14">
    <w:abstractNumId w:val="0"/>
  </w:num>
  <w:num w:numId="15">
    <w:abstractNumId w:val="10"/>
  </w:num>
  <w:num w:numId="16">
    <w:abstractNumId w:val="18"/>
  </w:num>
  <w:num w:numId="17">
    <w:abstractNumId w:val="12"/>
  </w:num>
  <w:num w:numId="18">
    <w:abstractNumId w:val="4"/>
  </w:num>
  <w:num w:numId="19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2A"/>
    <w:rsid w:val="0000127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77C00"/>
    <w:rsid w:val="00084BF7"/>
    <w:rsid w:val="00085CA0"/>
    <w:rsid w:val="00090316"/>
    <w:rsid w:val="00096CFF"/>
    <w:rsid w:val="000A54CF"/>
    <w:rsid w:val="000B0CAB"/>
    <w:rsid w:val="000B5392"/>
    <w:rsid w:val="000B60F3"/>
    <w:rsid w:val="000B7721"/>
    <w:rsid w:val="000C731D"/>
    <w:rsid w:val="000D1CDC"/>
    <w:rsid w:val="000D2F9C"/>
    <w:rsid w:val="000E0EB2"/>
    <w:rsid w:val="000E2CEA"/>
    <w:rsid w:val="000E3FEB"/>
    <w:rsid w:val="000E6055"/>
    <w:rsid w:val="000E63D8"/>
    <w:rsid w:val="000F28FB"/>
    <w:rsid w:val="000F3316"/>
    <w:rsid w:val="000F49D3"/>
    <w:rsid w:val="000F6A51"/>
    <w:rsid w:val="000F7E1B"/>
    <w:rsid w:val="00101D9D"/>
    <w:rsid w:val="00103483"/>
    <w:rsid w:val="00103617"/>
    <w:rsid w:val="0010740B"/>
    <w:rsid w:val="00113273"/>
    <w:rsid w:val="001176FC"/>
    <w:rsid w:val="00120B5D"/>
    <w:rsid w:val="00121955"/>
    <w:rsid w:val="00124A24"/>
    <w:rsid w:val="00124D81"/>
    <w:rsid w:val="0013374D"/>
    <w:rsid w:val="00136324"/>
    <w:rsid w:val="0013744F"/>
    <w:rsid w:val="00137FC8"/>
    <w:rsid w:val="00140B80"/>
    <w:rsid w:val="00154B3E"/>
    <w:rsid w:val="00164965"/>
    <w:rsid w:val="00164F96"/>
    <w:rsid w:val="001660DE"/>
    <w:rsid w:val="00171ABD"/>
    <w:rsid w:val="00172EC0"/>
    <w:rsid w:val="00176758"/>
    <w:rsid w:val="00177A02"/>
    <w:rsid w:val="00177A4C"/>
    <w:rsid w:val="001804C0"/>
    <w:rsid w:val="00181138"/>
    <w:rsid w:val="00182ED9"/>
    <w:rsid w:val="00183524"/>
    <w:rsid w:val="00184C76"/>
    <w:rsid w:val="001877D7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0051"/>
    <w:rsid w:val="001D17FE"/>
    <w:rsid w:val="001D5378"/>
    <w:rsid w:val="001E485A"/>
    <w:rsid w:val="001F412E"/>
    <w:rsid w:val="001F5100"/>
    <w:rsid w:val="001F5702"/>
    <w:rsid w:val="002006FB"/>
    <w:rsid w:val="00205372"/>
    <w:rsid w:val="002056C2"/>
    <w:rsid w:val="002114F6"/>
    <w:rsid w:val="00215977"/>
    <w:rsid w:val="00216786"/>
    <w:rsid w:val="002227C4"/>
    <w:rsid w:val="00225A27"/>
    <w:rsid w:val="002263BB"/>
    <w:rsid w:val="00232106"/>
    <w:rsid w:val="002334D8"/>
    <w:rsid w:val="00233FC3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854"/>
    <w:rsid w:val="00282FB0"/>
    <w:rsid w:val="00285FF8"/>
    <w:rsid w:val="00290B90"/>
    <w:rsid w:val="002924F3"/>
    <w:rsid w:val="00293440"/>
    <w:rsid w:val="00293CF1"/>
    <w:rsid w:val="002A5CE3"/>
    <w:rsid w:val="002B03BE"/>
    <w:rsid w:val="002B2665"/>
    <w:rsid w:val="002B43E9"/>
    <w:rsid w:val="002B4FD6"/>
    <w:rsid w:val="002B554B"/>
    <w:rsid w:val="002B78D8"/>
    <w:rsid w:val="002C0322"/>
    <w:rsid w:val="002C27E2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10E3"/>
    <w:rsid w:val="00307CD2"/>
    <w:rsid w:val="003131F7"/>
    <w:rsid w:val="0031349C"/>
    <w:rsid w:val="00314065"/>
    <w:rsid w:val="0031434B"/>
    <w:rsid w:val="0032291B"/>
    <w:rsid w:val="00322F74"/>
    <w:rsid w:val="00323FCC"/>
    <w:rsid w:val="00326746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57CAB"/>
    <w:rsid w:val="00360680"/>
    <w:rsid w:val="00361004"/>
    <w:rsid w:val="0036506A"/>
    <w:rsid w:val="00367063"/>
    <w:rsid w:val="0037401F"/>
    <w:rsid w:val="00380B52"/>
    <w:rsid w:val="003812FB"/>
    <w:rsid w:val="00382346"/>
    <w:rsid w:val="0038756A"/>
    <w:rsid w:val="00387619"/>
    <w:rsid w:val="00390606"/>
    <w:rsid w:val="0039649F"/>
    <w:rsid w:val="003964E4"/>
    <w:rsid w:val="003971FE"/>
    <w:rsid w:val="003A38CC"/>
    <w:rsid w:val="003A6C98"/>
    <w:rsid w:val="003A73F9"/>
    <w:rsid w:val="003A7B2D"/>
    <w:rsid w:val="003B2C2C"/>
    <w:rsid w:val="003C6DAD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44B44"/>
    <w:rsid w:val="004463EE"/>
    <w:rsid w:val="00453FBC"/>
    <w:rsid w:val="004558E1"/>
    <w:rsid w:val="00456052"/>
    <w:rsid w:val="004603BD"/>
    <w:rsid w:val="004619AE"/>
    <w:rsid w:val="00462608"/>
    <w:rsid w:val="00470821"/>
    <w:rsid w:val="00470E97"/>
    <w:rsid w:val="00471699"/>
    <w:rsid w:val="00477120"/>
    <w:rsid w:val="0047742E"/>
    <w:rsid w:val="00477EAB"/>
    <w:rsid w:val="0048394E"/>
    <w:rsid w:val="004846BA"/>
    <w:rsid w:val="004870E4"/>
    <w:rsid w:val="00491E49"/>
    <w:rsid w:val="00493C78"/>
    <w:rsid w:val="004A03EC"/>
    <w:rsid w:val="004A1524"/>
    <w:rsid w:val="004A2B08"/>
    <w:rsid w:val="004A3746"/>
    <w:rsid w:val="004A5674"/>
    <w:rsid w:val="004B04A2"/>
    <w:rsid w:val="004B13B6"/>
    <w:rsid w:val="004B39A1"/>
    <w:rsid w:val="004C07CE"/>
    <w:rsid w:val="004C2D13"/>
    <w:rsid w:val="004C4832"/>
    <w:rsid w:val="004C4E8B"/>
    <w:rsid w:val="004C7478"/>
    <w:rsid w:val="004C77F3"/>
    <w:rsid w:val="004D3142"/>
    <w:rsid w:val="004D62CF"/>
    <w:rsid w:val="004D6845"/>
    <w:rsid w:val="004D7A56"/>
    <w:rsid w:val="004E7E4B"/>
    <w:rsid w:val="004F2036"/>
    <w:rsid w:val="004F3697"/>
    <w:rsid w:val="004F5A91"/>
    <w:rsid w:val="00505204"/>
    <w:rsid w:val="005105A3"/>
    <w:rsid w:val="00510729"/>
    <w:rsid w:val="00511298"/>
    <w:rsid w:val="005142F2"/>
    <w:rsid w:val="00516803"/>
    <w:rsid w:val="005355B1"/>
    <w:rsid w:val="00536763"/>
    <w:rsid w:val="00544001"/>
    <w:rsid w:val="0054597A"/>
    <w:rsid w:val="00547BD0"/>
    <w:rsid w:val="005561A4"/>
    <w:rsid w:val="00560492"/>
    <w:rsid w:val="00562A9B"/>
    <w:rsid w:val="00563FBB"/>
    <w:rsid w:val="005739BB"/>
    <w:rsid w:val="0058697B"/>
    <w:rsid w:val="00591FC4"/>
    <w:rsid w:val="005A2D0F"/>
    <w:rsid w:val="005A561E"/>
    <w:rsid w:val="005A6B09"/>
    <w:rsid w:val="005B3EFF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602917"/>
    <w:rsid w:val="0060515A"/>
    <w:rsid w:val="00613DBB"/>
    <w:rsid w:val="00614A3D"/>
    <w:rsid w:val="006154A0"/>
    <w:rsid w:val="00616AE0"/>
    <w:rsid w:val="0062405D"/>
    <w:rsid w:val="006320C4"/>
    <w:rsid w:val="00632F86"/>
    <w:rsid w:val="006332F9"/>
    <w:rsid w:val="00640501"/>
    <w:rsid w:val="00645AD7"/>
    <w:rsid w:val="0065175C"/>
    <w:rsid w:val="0066488A"/>
    <w:rsid w:val="006668A6"/>
    <w:rsid w:val="0067030D"/>
    <w:rsid w:val="006704E7"/>
    <w:rsid w:val="00670CC0"/>
    <w:rsid w:val="00671B67"/>
    <w:rsid w:val="00674960"/>
    <w:rsid w:val="00676B38"/>
    <w:rsid w:val="006774A0"/>
    <w:rsid w:val="00684A39"/>
    <w:rsid w:val="00696A91"/>
    <w:rsid w:val="006A1D7D"/>
    <w:rsid w:val="006A6559"/>
    <w:rsid w:val="006A7A19"/>
    <w:rsid w:val="006B1D27"/>
    <w:rsid w:val="006B2376"/>
    <w:rsid w:val="006C00D5"/>
    <w:rsid w:val="006D02CC"/>
    <w:rsid w:val="006D0BF2"/>
    <w:rsid w:val="006D0C54"/>
    <w:rsid w:val="006D1FC4"/>
    <w:rsid w:val="006D55B9"/>
    <w:rsid w:val="006D68F1"/>
    <w:rsid w:val="006E21BC"/>
    <w:rsid w:val="006E39FE"/>
    <w:rsid w:val="006E45D4"/>
    <w:rsid w:val="006E7F1B"/>
    <w:rsid w:val="006F0850"/>
    <w:rsid w:val="006F1844"/>
    <w:rsid w:val="006F5C7D"/>
    <w:rsid w:val="006F6ECB"/>
    <w:rsid w:val="007002F4"/>
    <w:rsid w:val="00703AF9"/>
    <w:rsid w:val="00705881"/>
    <w:rsid w:val="00707C05"/>
    <w:rsid w:val="0071168E"/>
    <w:rsid w:val="0071621E"/>
    <w:rsid w:val="007165F4"/>
    <w:rsid w:val="00716677"/>
    <w:rsid w:val="00716C84"/>
    <w:rsid w:val="0071787E"/>
    <w:rsid w:val="00720773"/>
    <w:rsid w:val="00723ABB"/>
    <w:rsid w:val="00724415"/>
    <w:rsid w:val="007253CD"/>
    <w:rsid w:val="00727A4C"/>
    <w:rsid w:val="00727EC4"/>
    <w:rsid w:val="00730E38"/>
    <w:rsid w:val="00731048"/>
    <w:rsid w:val="007322ED"/>
    <w:rsid w:val="007331F3"/>
    <w:rsid w:val="00734EBC"/>
    <w:rsid w:val="00737DC3"/>
    <w:rsid w:val="007450DE"/>
    <w:rsid w:val="00756B67"/>
    <w:rsid w:val="007612A4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800136"/>
    <w:rsid w:val="00804F40"/>
    <w:rsid w:val="00805B8F"/>
    <w:rsid w:val="008150B8"/>
    <w:rsid w:val="0081701E"/>
    <w:rsid w:val="00820821"/>
    <w:rsid w:val="008222CB"/>
    <w:rsid w:val="0082401A"/>
    <w:rsid w:val="008309EC"/>
    <w:rsid w:val="00833163"/>
    <w:rsid w:val="00842C59"/>
    <w:rsid w:val="00842E0A"/>
    <w:rsid w:val="00843B65"/>
    <w:rsid w:val="00847891"/>
    <w:rsid w:val="00853C04"/>
    <w:rsid w:val="008553FC"/>
    <w:rsid w:val="008630CB"/>
    <w:rsid w:val="00863C18"/>
    <w:rsid w:val="00863D8B"/>
    <w:rsid w:val="00863DE5"/>
    <w:rsid w:val="00865900"/>
    <w:rsid w:val="008664F5"/>
    <w:rsid w:val="00866ADF"/>
    <w:rsid w:val="00870F68"/>
    <w:rsid w:val="008752B3"/>
    <w:rsid w:val="00887004"/>
    <w:rsid w:val="0089045D"/>
    <w:rsid w:val="00894AC1"/>
    <w:rsid w:val="00894DEC"/>
    <w:rsid w:val="0089608A"/>
    <w:rsid w:val="008A58C6"/>
    <w:rsid w:val="008A663B"/>
    <w:rsid w:val="008B0C4B"/>
    <w:rsid w:val="008B1106"/>
    <w:rsid w:val="008B1AA1"/>
    <w:rsid w:val="008B3B22"/>
    <w:rsid w:val="008C0B97"/>
    <w:rsid w:val="008C0F41"/>
    <w:rsid w:val="008C21A2"/>
    <w:rsid w:val="008C39DD"/>
    <w:rsid w:val="008C4760"/>
    <w:rsid w:val="008C56E9"/>
    <w:rsid w:val="008D2AA8"/>
    <w:rsid w:val="008D5771"/>
    <w:rsid w:val="008D5F50"/>
    <w:rsid w:val="008E1324"/>
    <w:rsid w:val="008E206E"/>
    <w:rsid w:val="008E2BF7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2763A"/>
    <w:rsid w:val="00942926"/>
    <w:rsid w:val="00947BE5"/>
    <w:rsid w:val="00953228"/>
    <w:rsid w:val="00961A54"/>
    <w:rsid w:val="00965E1C"/>
    <w:rsid w:val="0097292D"/>
    <w:rsid w:val="009741B8"/>
    <w:rsid w:val="00977CD9"/>
    <w:rsid w:val="009801D8"/>
    <w:rsid w:val="00980E9D"/>
    <w:rsid w:val="00984162"/>
    <w:rsid w:val="00991829"/>
    <w:rsid w:val="009924B1"/>
    <w:rsid w:val="009A1AA5"/>
    <w:rsid w:val="009A64FD"/>
    <w:rsid w:val="009A7BCE"/>
    <w:rsid w:val="009B62EB"/>
    <w:rsid w:val="009C17EA"/>
    <w:rsid w:val="009C754E"/>
    <w:rsid w:val="009D28C7"/>
    <w:rsid w:val="009D3DE4"/>
    <w:rsid w:val="009F46B9"/>
    <w:rsid w:val="009F5809"/>
    <w:rsid w:val="00A00778"/>
    <w:rsid w:val="00A00C3A"/>
    <w:rsid w:val="00A00D6F"/>
    <w:rsid w:val="00A019FD"/>
    <w:rsid w:val="00A111A1"/>
    <w:rsid w:val="00A12134"/>
    <w:rsid w:val="00A1222F"/>
    <w:rsid w:val="00A2190E"/>
    <w:rsid w:val="00A22257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1F0D"/>
    <w:rsid w:val="00A762F7"/>
    <w:rsid w:val="00A81B24"/>
    <w:rsid w:val="00A8600C"/>
    <w:rsid w:val="00A87D4E"/>
    <w:rsid w:val="00A92094"/>
    <w:rsid w:val="00A952A2"/>
    <w:rsid w:val="00A95F83"/>
    <w:rsid w:val="00AA08A0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0A97"/>
    <w:rsid w:val="00AC700E"/>
    <w:rsid w:val="00AE1706"/>
    <w:rsid w:val="00AE68B2"/>
    <w:rsid w:val="00AE7DC8"/>
    <w:rsid w:val="00AF1DD5"/>
    <w:rsid w:val="00AF3D94"/>
    <w:rsid w:val="00AF4897"/>
    <w:rsid w:val="00AF7CB2"/>
    <w:rsid w:val="00B008A3"/>
    <w:rsid w:val="00B01685"/>
    <w:rsid w:val="00B049AE"/>
    <w:rsid w:val="00B05843"/>
    <w:rsid w:val="00B114CF"/>
    <w:rsid w:val="00B1186C"/>
    <w:rsid w:val="00B11E61"/>
    <w:rsid w:val="00B12C28"/>
    <w:rsid w:val="00B203CF"/>
    <w:rsid w:val="00B244F9"/>
    <w:rsid w:val="00B31132"/>
    <w:rsid w:val="00B41567"/>
    <w:rsid w:val="00B429BC"/>
    <w:rsid w:val="00B53B3F"/>
    <w:rsid w:val="00B613CB"/>
    <w:rsid w:val="00B667D5"/>
    <w:rsid w:val="00B66BFD"/>
    <w:rsid w:val="00B670A4"/>
    <w:rsid w:val="00B67736"/>
    <w:rsid w:val="00B72A46"/>
    <w:rsid w:val="00B764E7"/>
    <w:rsid w:val="00B80876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4759"/>
    <w:rsid w:val="00BC56E3"/>
    <w:rsid w:val="00BD4298"/>
    <w:rsid w:val="00BD633A"/>
    <w:rsid w:val="00BD686C"/>
    <w:rsid w:val="00BE2A3C"/>
    <w:rsid w:val="00BE4531"/>
    <w:rsid w:val="00BE5487"/>
    <w:rsid w:val="00BE68D2"/>
    <w:rsid w:val="00BF2ED1"/>
    <w:rsid w:val="00C00D45"/>
    <w:rsid w:val="00C01AC4"/>
    <w:rsid w:val="00C02239"/>
    <w:rsid w:val="00C06972"/>
    <w:rsid w:val="00C07835"/>
    <w:rsid w:val="00C12911"/>
    <w:rsid w:val="00C134D6"/>
    <w:rsid w:val="00C14571"/>
    <w:rsid w:val="00C20AB8"/>
    <w:rsid w:val="00C21041"/>
    <w:rsid w:val="00C21A32"/>
    <w:rsid w:val="00C27B37"/>
    <w:rsid w:val="00C31A4B"/>
    <w:rsid w:val="00C337C7"/>
    <w:rsid w:val="00C40AA4"/>
    <w:rsid w:val="00C42D79"/>
    <w:rsid w:val="00C4553C"/>
    <w:rsid w:val="00C4677F"/>
    <w:rsid w:val="00C54E13"/>
    <w:rsid w:val="00C566B0"/>
    <w:rsid w:val="00C60860"/>
    <w:rsid w:val="00C63960"/>
    <w:rsid w:val="00C67AA2"/>
    <w:rsid w:val="00C7349C"/>
    <w:rsid w:val="00C74C93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25CC"/>
    <w:rsid w:val="00CB3D95"/>
    <w:rsid w:val="00CB7A63"/>
    <w:rsid w:val="00CC0F60"/>
    <w:rsid w:val="00CC0F7A"/>
    <w:rsid w:val="00CC24EE"/>
    <w:rsid w:val="00CC446B"/>
    <w:rsid w:val="00CC5D29"/>
    <w:rsid w:val="00CE2B1B"/>
    <w:rsid w:val="00CE4D4D"/>
    <w:rsid w:val="00CE4E6C"/>
    <w:rsid w:val="00CE5957"/>
    <w:rsid w:val="00CE743C"/>
    <w:rsid w:val="00CF21E6"/>
    <w:rsid w:val="00CF6E1F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20EF"/>
    <w:rsid w:val="00D241CD"/>
    <w:rsid w:val="00D32AA8"/>
    <w:rsid w:val="00D347F6"/>
    <w:rsid w:val="00D404F8"/>
    <w:rsid w:val="00D407A0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71C58"/>
    <w:rsid w:val="00D80394"/>
    <w:rsid w:val="00D81538"/>
    <w:rsid w:val="00D848D0"/>
    <w:rsid w:val="00D90733"/>
    <w:rsid w:val="00D90C0E"/>
    <w:rsid w:val="00D92328"/>
    <w:rsid w:val="00DA5785"/>
    <w:rsid w:val="00DB108F"/>
    <w:rsid w:val="00DB1F45"/>
    <w:rsid w:val="00DB4EFC"/>
    <w:rsid w:val="00DB5287"/>
    <w:rsid w:val="00DB6CC7"/>
    <w:rsid w:val="00DB6EDB"/>
    <w:rsid w:val="00DB7700"/>
    <w:rsid w:val="00DC6280"/>
    <w:rsid w:val="00DC6BFA"/>
    <w:rsid w:val="00DC7631"/>
    <w:rsid w:val="00DD412B"/>
    <w:rsid w:val="00DD4BD8"/>
    <w:rsid w:val="00DE0014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52E"/>
    <w:rsid w:val="00E37C2B"/>
    <w:rsid w:val="00E465CC"/>
    <w:rsid w:val="00E53A15"/>
    <w:rsid w:val="00E65F86"/>
    <w:rsid w:val="00E664B2"/>
    <w:rsid w:val="00E736AE"/>
    <w:rsid w:val="00E73996"/>
    <w:rsid w:val="00E81B79"/>
    <w:rsid w:val="00E81C5A"/>
    <w:rsid w:val="00E914D1"/>
    <w:rsid w:val="00E91806"/>
    <w:rsid w:val="00E96669"/>
    <w:rsid w:val="00EA0513"/>
    <w:rsid w:val="00EA33BF"/>
    <w:rsid w:val="00EA3D43"/>
    <w:rsid w:val="00EA59D3"/>
    <w:rsid w:val="00EA6DDB"/>
    <w:rsid w:val="00EA7EB3"/>
    <w:rsid w:val="00EB1CB2"/>
    <w:rsid w:val="00EB32C8"/>
    <w:rsid w:val="00EC28A3"/>
    <w:rsid w:val="00EC4C52"/>
    <w:rsid w:val="00EC734A"/>
    <w:rsid w:val="00EC7CAC"/>
    <w:rsid w:val="00ED7F0E"/>
    <w:rsid w:val="00EE005E"/>
    <w:rsid w:val="00EE3E21"/>
    <w:rsid w:val="00EE594B"/>
    <w:rsid w:val="00EE63E9"/>
    <w:rsid w:val="00EF4123"/>
    <w:rsid w:val="00EF4CE4"/>
    <w:rsid w:val="00EF7EDC"/>
    <w:rsid w:val="00F00B50"/>
    <w:rsid w:val="00F019B5"/>
    <w:rsid w:val="00F1533D"/>
    <w:rsid w:val="00F244F1"/>
    <w:rsid w:val="00F24B46"/>
    <w:rsid w:val="00F27E6F"/>
    <w:rsid w:val="00F30B2E"/>
    <w:rsid w:val="00F31E54"/>
    <w:rsid w:val="00F42ECB"/>
    <w:rsid w:val="00F43A75"/>
    <w:rsid w:val="00F50800"/>
    <w:rsid w:val="00F50E99"/>
    <w:rsid w:val="00F5465E"/>
    <w:rsid w:val="00F56736"/>
    <w:rsid w:val="00F576B4"/>
    <w:rsid w:val="00F75544"/>
    <w:rsid w:val="00F9325B"/>
    <w:rsid w:val="00F94E2A"/>
    <w:rsid w:val="00F9728D"/>
    <w:rsid w:val="00F97992"/>
    <w:rsid w:val="00FA321C"/>
    <w:rsid w:val="00FA44C2"/>
    <w:rsid w:val="00FA6DEB"/>
    <w:rsid w:val="00FB5281"/>
    <w:rsid w:val="00FB7EEB"/>
    <w:rsid w:val="00FC0D43"/>
    <w:rsid w:val="00FC44D7"/>
    <w:rsid w:val="00FC5DF7"/>
    <w:rsid w:val="00FD668B"/>
    <w:rsid w:val="00FD737A"/>
    <w:rsid w:val="00FD7C6E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4286AC3C-5E2E-419E-888D-D06907BBB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DC6BFA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eastAsiaTheme="minorEastAsia"/>
      <w:lang w:val="es-CO" w:eastAsia="es-CO"/>
    </w:rPr>
  </w:style>
  <w:style w:type="table" w:customStyle="1" w:styleId="Tabladecuadrcula4-nfasis41">
    <w:name w:val="Tabla de cuadrícula 4 - Énfasis 41"/>
    <w:basedOn w:val="Tablanormal"/>
    <w:uiPriority w:val="49"/>
    <w:rsid w:val="00120B5D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766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4975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8</cp:revision>
  <cp:lastPrinted>2008-11-24T15:14:00Z</cp:lastPrinted>
  <dcterms:created xsi:type="dcterms:W3CDTF">2016-04-16T16:11:00Z</dcterms:created>
  <dcterms:modified xsi:type="dcterms:W3CDTF">2019-05-22T15:07:00Z</dcterms:modified>
</cp:coreProperties>
</file>