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B83FEA" w:rsidRPr="00E20E58">
              <w:rPr>
                <w:rFonts w:ascii="Arial" w:hAnsi="Arial" w:cs="Arial"/>
                <w:b/>
                <w:lang w:val="es-CO"/>
              </w:rPr>
              <w:t>DES0104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B83FEA">
              <w:rPr>
                <w:rFonts w:ascii="Arial" w:hAnsi="Arial" w:cs="Arial"/>
                <w:szCs w:val="20"/>
                <w:lang w:val="es-CO"/>
              </w:rPr>
              <w:t>Cobertura de los equipamientos</w:t>
            </w:r>
            <w:r w:rsidR="00EE67D0">
              <w:rPr>
                <w:rFonts w:ascii="Arial" w:hAnsi="Arial" w:cs="Arial"/>
                <w:szCs w:val="20"/>
                <w:lang w:val="es-CO"/>
              </w:rPr>
              <w:t xml:space="preserve"> (</w:t>
            </w:r>
            <w:r w:rsidR="00EE67D0" w:rsidRPr="00EE67D0">
              <w:rPr>
                <w:rFonts w:ascii="Arial" w:hAnsi="Arial" w:cs="Arial"/>
                <w:szCs w:val="20"/>
              </w:rPr>
              <w:t>CE</w:t>
            </w:r>
            <w:r w:rsidR="00EE67D0">
              <w:rPr>
                <w:rFonts w:ascii="Arial" w:hAnsi="Arial" w:cs="Arial"/>
                <w:szCs w:val="20"/>
              </w:rPr>
              <w:t>)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B83FEA" w:rsidRPr="00D1189D">
              <w:rPr>
                <w:rFonts w:ascii="Arial" w:hAnsi="Arial" w:cs="Arial"/>
                <w:szCs w:val="20"/>
                <w:lang w:val="es-CO"/>
              </w:rPr>
              <w:t>Capacidad de aulas, laboratorios, salas de cómputo, áreas de uso especializado, cafeterías, oficinas, auditorios y salas múltiples, áreas de servicios, circulaciones y áreas libres en relación con la población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B83FEA" w:rsidRPr="00D1189D">
              <w:rPr>
                <w:rFonts w:ascii="Arial" w:hAnsi="Arial" w:cs="Arial"/>
                <w:szCs w:val="20"/>
                <w:lang w:val="es-CO"/>
              </w:rPr>
              <w:t>Medir la cobertura de las áreas físicas de uso masivo de la universidad con respecto a su población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34FE8" w:rsidRPr="00F02CE8">
              <w:rPr>
                <w:rFonts w:ascii="Arial" w:hAnsi="Arial" w:cs="Arial"/>
                <w:szCs w:val="20"/>
                <w:lang w:val="es-CO"/>
              </w:rPr>
              <w:t>Desarrollo Institucional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8E436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B06CE1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B06CE1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B06CE1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D64D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A833CB" w:rsidRPr="00A833CB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B06CE1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56096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256096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256096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256096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256096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256096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256096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8E4367" w:rsidRDefault="008E4367" w:rsidP="008E436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E7A4D">
              <w:rPr>
                <w:rFonts w:asciiTheme="minorHAnsi" w:hAnsiTheme="minorHAnsi" w:cs="Arial"/>
                <w:b/>
                <w:lang w:val="es-CO"/>
              </w:rPr>
              <w:t>1.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122ADB">
              <w:rPr>
                <w:rFonts w:asciiTheme="minorHAnsi" w:hAnsiTheme="minorHAnsi" w:cs="Arial"/>
                <w:u w:val="single"/>
                <w:lang w:val="es-CO"/>
              </w:rPr>
              <w:t>Factor 4.</w:t>
            </w:r>
            <w:r w:rsidRPr="00B06CE1">
              <w:t xml:space="preserve"> </w:t>
            </w:r>
            <w:r w:rsidRPr="00B06CE1">
              <w:rPr>
                <w:rFonts w:asciiTheme="minorHAnsi" w:hAnsiTheme="minorHAnsi" w:cs="Arial"/>
                <w:lang w:val="es-CO"/>
              </w:rPr>
              <w:t>Procesos Académicos</w:t>
            </w:r>
          </w:p>
          <w:p w:rsidR="008E4367" w:rsidRDefault="008E4367" w:rsidP="000A360F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122ADB">
              <w:rPr>
                <w:rFonts w:asciiTheme="minorHAnsi" w:hAnsiTheme="minorHAnsi" w:cs="Arial"/>
                <w:u w:val="single"/>
                <w:lang w:val="es-CO"/>
              </w:rPr>
              <w:t>Característica 14.</w:t>
            </w:r>
            <w:r w:rsidR="00973137">
              <w:rPr>
                <w:rFonts w:asciiTheme="minorHAnsi" w:hAnsiTheme="minorHAnsi" w:cs="Arial"/>
                <w:lang w:val="es-CO"/>
              </w:rPr>
              <w:t xml:space="preserve"> </w:t>
            </w:r>
            <w:r w:rsidRPr="00B06CE1">
              <w:rPr>
                <w:rFonts w:asciiTheme="minorHAnsi" w:hAnsiTheme="minorHAnsi" w:cs="Arial"/>
                <w:lang w:val="es-CO"/>
              </w:rPr>
              <w:t>Procesos de creación, modificación y extensión de programas académicos.</w:t>
            </w:r>
          </w:p>
          <w:p w:rsidR="008E4367" w:rsidRPr="0085322E" w:rsidRDefault="008E4367" w:rsidP="000A360F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17073">
              <w:rPr>
                <w:rFonts w:asciiTheme="minorHAnsi" w:hAnsiTheme="minorHAnsi" w:cs="Arial"/>
                <w:u w:val="single"/>
                <w:lang w:val="es-CO"/>
              </w:rPr>
              <w:t>Aspecto A.</w:t>
            </w:r>
            <w:r w:rsidRPr="0085322E">
              <w:rPr>
                <w:rFonts w:asciiTheme="minorHAnsi" w:hAnsiTheme="minorHAnsi" w:cs="Arial"/>
                <w:lang w:val="es-CO"/>
              </w:rPr>
              <w:t xml:space="preserve"> Políticas, estrategias y apoyos institucionales para la creación, modificación y extensión de programas académicos. </w:t>
            </w:r>
          </w:p>
          <w:p w:rsidR="008E4367" w:rsidRDefault="008E4367" w:rsidP="008E4367">
            <w:pPr>
              <w:spacing w:line="0" w:lineRule="atLeast"/>
              <w:rPr>
                <w:rFonts w:asciiTheme="minorHAnsi" w:hAnsiTheme="minorHAnsi" w:cs="Arial"/>
                <w:u w:val="single"/>
                <w:lang w:val="es-CO"/>
              </w:rPr>
            </w:pPr>
          </w:p>
          <w:p w:rsidR="008E4367" w:rsidRDefault="008E4367" w:rsidP="008E436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E7A4D">
              <w:rPr>
                <w:rFonts w:asciiTheme="minorHAnsi" w:hAnsiTheme="minorHAnsi" w:cs="Arial"/>
                <w:b/>
                <w:lang w:val="es-CO"/>
              </w:rPr>
              <w:t>2.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122ADB">
              <w:rPr>
                <w:rFonts w:asciiTheme="minorHAnsi" w:hAnsiTheme="minorHAnsi" w:cs="Arial"/>
                <w:u w:val="single"/>
                <w:lang w:val="es-CO"/>
              </w:rPr>
              <w:t>Factor 6.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Investigación y Creación Artística</w:t>
            </w:r>
          </w:p>
          <w:p w:rsidR="008E4367" w:rsidRDefault="008E4367" w:rsidP="000A360F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122ADB">
              <w:rPr>
                <w:rFonts w:asciiTheme="minorHAnsi" w:hAnsiTheme="minorHAnsi" w:cs="Arial"/>
                <w:u w:val="single"/>
                <w:lang w:val="es-CO"/>
              </w:rPr>
              <w:t>Característica 18.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Investigación</w:t>
            </w:r>
          </w:p>
          <w:p w:rsidR="008E4367" w:rsidRPr="0085322E" w:rsidRDefault="008E4367" w:rsidP="000A360F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17073">
              <w:rPr>
                <w:rFonts w:asciiTheme="minorHAnsi" w:hAnsiTheme="minorHAnsi" w:cs="Arial"/>
                <w:u w:val="single"/>
                <w:lang w:val="es-CO"/>
              </w:rPr>
              <w:t>Aspecto I.</w:t>
            </w:r>
            <w:r w:rsidRPr="0085322E">
              <w:rPr>
                <w:rFonts w:asciiTheme="minorHAnsi" w:hAnsiTheme="minorHAnsi" w:cs="Arial"/>
                <w:lang w:val="es-CO"/>
              </w:rPr>
              <w:t xml:space="preserve"> </w:t>
            </w:r>
            <w:r w:rsidRPr="00E17073">
              <w:rPr>
                <w:rFonts w:asciiTheme="minorHAnsi" w:hAnsiTheme="minorHAnsi" w:cs="Arial"/>
                <w:bCs/>
                <w:lang w:val="es-CO"/>
              </w:rPr>
              <w:t>Apoyo</w:t>
            </w:r>
            <w:r w:rsidRPr="00E17073">
              <w:rPr>
                <w:rFonts w:asciiTheme="minorHAnsi" w:hAnsiTheme="minorHAnsi" w:cs="Arial"/>
                <w:lang w:val="es-CO"/>
              </w:rPr>
              <w:t xml:space="preserve"> administrativo y </w:t>
            </w:r>
            <w:r w:rsidRPr="00E17073">
              <w:rPr>
                <w:rFonts w:asciiTheme="minorHAnsi" w:hAnsiTheme="minorHAnsi" w:cs="Arial"/>
                <w:bCs/>
                <w:lang w:val="es-CO"/>
              </w:rPr>
              <w:t>financiero para el desarrollo y gestión de la investigación</w:t>
            </w:r>
            <w:r w:rsidRPr="00E17073">
              <w:rPr>
                <w:rFonts w:asciiTheme="minorHAnsi" w:hAnsiTheme="minorHAnsi" w:cs="Arial"/>
                <w:lang w:val="es-CO"/>
              </w:rPr>
              <w:t xml:space="preserve">, la creación de empresas y de planes de negocios (como los centros de  incubación y financiación empresarial o como los centros de investigación y desarrollo tecnológico, entre otros) y </w:t>
            </w:r>
            <w:r w:rsidRPr="00E17073">
              <w:rPr>
                <w:rFonts w:asciiTheme="minorHAnsi" w:hAnsiTheme="minorHAnsi" w:cs="Arial"/>
                <w:bCs/>
                <w:lang w:val="es-CO"/>
              </w:rPr>
              <w:t>la creación artística y cultural.</w:t>
            </w:r>
            <w:r w:rsidRPr="0085322E">
              <w:rPr>
                <w:rFonts w:asciiTheme="minorHAnsi" w:hAnsiTheme="minorHAnsi" w:cs="Arial"/>
                <w:b/>
                <w:bCs/>
                <w:lang w:val="es-CO"/>
              </w:rPr>
              <w:t xml:space="preserve"> </w:t>
            </w:r>
          </w:p>
          <w:p w:rsidR="002F1560" w:rsidRDefault="002F1560" w:rsidP="008E4367">
            <w:pPr>
              <w:spacing w:line="0" w:lineRule="atLeast"/>
              <w:rPr>
                <w:rFonts w:asciiTheme="minorHAnsi" w:hAnsiTheme="minorHAnsi" w:cs="Arial"/>
                <w:u w:val="single"/>
                <w:lang w:val="es-CO"/>
              </w:rPr>
            </w:pPr>
          </w:p>
          <w:p w:rsidR="008E4367" w:rsidRDefault="002F1560" w:rsidP="008E436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3</w:t>
            </w:r>
            <w:r w:rsidRPr="000E7A4D">
              <w:rPr>
                <w:rFonts w:asciiTheme="minorHAnsi" w:hAnsiTheme="minorHAnsi" w:cs="Arial"/>
                <w:b/>
                <w:lang w:val="es-CO"/>
              </w:rPr>
              <w:t>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="008E4367" w:rsidRPr="00122ADB">
              <w:rPr>
                <w:rFonts w:asciiTheme="minorHAnsi" w:hAnsiTheme="minorHAnsi" w:cs="Arial"/>
                <w:u w:val="single"/>
                <w:lang w:val="es-CO"/>
              </w:rPr>
              <w:t>Factor</w:t>
            </w:r>
            <w:r w:rsidR="008E4367" w:rsidRPr="004F0DF6">
              <w:rPr>
                <w:rFonts w:asciiTheme="minorHAnsi" w:hAnsiTheme="minorHAnsi" w:cs="Arial"/>
                <w:u w:val="single"/>
                <w:lang w:val="es-CO"/>
              </w:rPr>
              <w:t xml:space="preserve"> 11.</w:t>
            </w:r>
            <w:r w:rsidR="008E4367" w:rsidRPr="00B06CE1">
              <w:rPr>
                <w:rFonts w:asciiTheme="minorHAnsi" w:hAnsiTheme="minorHAnsi" w:cs="Arial"/>
                <w:lang w:val="es-CO"/>
              </w:rPr>
              <w:t xml:space="preserve"> Recursos de apoyo académico e infraestructura física</w:t>
            </w:r>
          </w:p>
          <w:p w:rsidR="008E4367" w:rsidRDefault="008E4367" w:rsidP="000A360F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4F0DF6">
              <w:rPr>
                <w:rFonts w:asciiTheme="minorHAnsi" w:hAnsiTheme="minorHAnsi" w:cs="Arial"/>
                <w:u w:val="single"/>
                <w:lang w:val="es-CO"/>
              </w:rPr>
              <w:t>Característica 28.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Recursos de apoyo académico.</w:t>
            </w:r>
          </w:p>
          <w:p w:rsidR="008E4367" w:rsidRPr="00E17073" w:rsidRDefault="008E4367" w:rsidP="000A360F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17073">
              <w:rPr>
                <w:rFonts w:asciiTheme="minorHAnsi" w:hAnsiTheme="minorHAnsi" w:cs="Arial"/>
                <w:u w:val="single"/>
                <w:lang w:val="es-CO"/>
              </w:rPr>
              <w:t xml:space="preserve">Aspecto </w:t>
            </w:r>
            <w:r w:rsidRPr="0085322E">
              <w:rPr>
                <w:rFonts w:asciiTheme="minorHAnsi" w:hAnsiTheme="minorHAnsi" w:cs="Arial"/>
                <w:u w:val="single"/>
                <w:lang w:val="es-CO"/>
              </w:rPr>
              <w:t xml:space="preserve">H. </w:t>
            </w:r>
            <w:r w:rsidRPr="00E17073">
              <w:rPr>
                <w:rFonts w:asciiTheme="minorHAnsi" w:hAnsiTheme="minorHAnsi" w:cs="Arial"/>
                <w:lang w:val="es-CO"/>
              </w:rPr>
              <w:t xml:space="preserve">Presupuestos de inversión en equipos de laboratorio, bibliotecas y recursos didácticos. </w:t>
            </w:r>
          </w:p>
          <w:p w:rsidR="000A360F" w:rsidRDefault="000A360F" w:rsidP="008E4367">
            <w:pPr>
              <w:spacing w:line="0" w:lineRule="atLeast"/>
              <w:rPr>
                <w:rFonts w:asciiTheme="minorHAnsi" w:hAnsiTheme="minorHAnsi" w:cs="Arial"/>
                <w:u w:val="single"/>
                <w:lang w:val="es-CO"/>
              </w:rPr>
            </w:pPr>
          </w:p>
          <w:p w:rsidR="008E4367" w:rsidRPr="00B06CE1" w:rsidRDefault="008E4367" w:rsidP="000A360F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4F0DF6">
              <w:rPr>
                <w:rFonts w:asciiTheme="minorHAnsi" w:hAnsiTheme="minorHAnsi" w:cs="Arial"/>
                <w:u w:val="single"/>
                <w:lang w:val="es-CO"/>
              </w:rPr>
              <w:lastRenderedPageBreak/>
              <w:t>Característica 29.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Infraestructura física</w:t>
            </w:r>
          </w:p>
          <w:p w:rsidR="008E4367" w:rsidRPr="000E7A4D" w:rsidRDefault="008E4367" w:rsidP="000A360F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A.</w:t>
            </w:r>
            <w:r w:rsidRPr="000E7A4D">
              <w:rPr>
                <w:rFonts w:asciiTheme="minorHAnsi" w:hAnsiTheme="minorHAnsi" w:cs="Arial"/>
              </w:rPr>
              <w:t xml:space="preserve"> Existencia y uso eficiente de aulas, laboratorios, talleres, sitios de estudio para los alumnos, salas de cómputo, oficinas de profesores, sitios para la creación artística y cultural, auditorios y salas de conferencias, oficinas administrativas, cafeterías, baños, servicios, campos de juego, espacios libres, zonas verdes y además espacios destinados al bienestar en general. </w:t>
            </w:r>
          </w:p>
          <w:p w:rsidR="008E4367" w:rsidRPr="000E7A4D" w:rsidRDefault="008E4367" w:rsidP="000A360F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B.</w:t>
            </w:r>
            <w:r w:rsidRPr="000E7A4D">
              <w:rPr>
                <w:rFonts w:asciiTheme="minorHAnsi" w:hAnsiTheme="minorHAnsi" w:cs="Arial"/>
              </w:rPr>
              <w:t xml:space="preserve"> Capacidad, respeto de normas técnicas, suficiencia, seguridad, salubridad, iluminación, disponibilidad de espacio, dotación, facilidades de transporte y acceso de las áreas recreativas y deportivas. Previsión de su uso por personas con limitaciones físicas. </w:t>
            </w:r>
          </w:p>
          <w:p w:rsidR="008E4367" w:rsidRPr="000E7A4D" w:rsidRDefault="008E4367" w:rsidP="000A360F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C.</w:t>
            </w:r>
            <w:r w:rsidRPr="000E7A4D">
              <w:rPr>
                <w:rFonts w:asciiTheme="minorHAnsi" w:hAnsiTheme="minorHAnsi" w:cs="Arial"/>
              </w:rPr>
              <w:t xml:space="preserve"> Buen uso y mantenimiento de los espacios y bienes que garanticen limpieza y un entorno propicio para la labor educativa. </w:t>
            </w:r>
          </w:p>
          <w:p w:rsidR="008E4367" w:rsidRPr="000E7A4D" w:rsidRDefault="008E4367" w:rsidP="000A360F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D.</w:t>
            </w:r>
            <w:r w:rsidRPr="000E7A4D">
              <w:rPr>
                <w:rFonts w:asciiTheme="minorHAnsi" w:hAnsiTheme="minorHAnsi" w:cs="Arial"/>
              </w:rPr>
              <w:t xml:space="preserve"> Existencia e impacto de políticas institucionales comprometidas con el cuidado y respeto del entorno urbanístico, humano y ambiental. </w:t>
            </w:r>
          </w:p>
          <w:p w:rsidR="008E4367" w:rsidRPr="000E7A4D" w:rsidRDefault="008E4367" w:rsidP="000A360F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E.</w:t>
            </w:r>
            <w:r w:rsidRPr="000E7A4D">
              <w:rPr>
                <w:rFonts w:asciiTheme="minorHAnsi" w:hAnsiTheme="minorHAnsi" w:cs="Arial"/>
              </w:rPr>
              <w:t xml:space="preserve"> Cumplimiento de las normas sanitarias y de bioseguridad, seguridad industrial y de salud ocupacional y  manejo de seres vivos, de acuerdo con la normativa vigente. </w:t>
            </w:r>
          </w:p>
          <w:p w:rsidR="008E4367" w:rsidRPr="000E7A4D" w:rsidRDefault="008E4367" w:rsidP="000A360F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F.</w:t>
            </w:r>
            <w:r w:rsidRPr="000E7A4D">
              <w:rPr>
                <w:rFonts w:asciiTheme="minorHAnsi" w:hAnsiTheme="minorHAnsi" w:cs="Arial"/>
              </w:rPr>
              <w:t xml:space="preserve"> Existencia de espacios propicios para el almacenamiento de la documentación en sus diversas etapas de formación de archivo con el objeto de garantizar la  transparencia administrativa, integridad, conservación y custodia de la documentación que soporta las funciones misionales, estratégicas, de evaluación y de  apoyo.</w:t>
            </w:r>
          </w:p>
          <w:p w:rsidR="008E4367" w:rsidRDefault="008E4367" w:rsidP="008E436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8E4367" w:rsidRDefault="002F1560" w:rsidP="008E436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4</w:t>
            </w:r>
            <w:r w:rsidR="008E4367" w:rsidRPr="000E7A4D">
              <w:rPr>
                <w:rFonts w:asciiTheme="minorHAnsi" w:hAnsiTheme="minorHAnsi" w:cs="Arial"/>
                <w:b/>
                <w:lang w:val="es-CO"/>
              </w:rPr>
              <w:t>.</w:t>
            </w:r>
            <w:r w:rsidR="008E4367"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="008E4367" w:rsidRPr="00122ADB">
              <w:rPr>
                <w:rFonts w:asciiTheme="minorHAnsi" w:hAnsiTheme="minorHAnsi" w:cs="Arial"/>
                <w:u w:val="single"/>
                <w:lang w:val="es-CO"/>
              </w:rPr>
              <w:t>Factor</w:t>
            </w:r>
            <w:r w:rsidR="008E4367" w:rsidRPr="004F0DF6">
              <w:rPr>
                <w:rFonts w:asciiTheme="minorHAnsi" w:hAnsiTheme="minorHAnsi" w:cs="Arial"/>
                <w:u w:val="single"/>
                <w:lang w:val="es-CO"/>
              </w:rPr>
              <w:t xml:space="preserve"> 12</w:t>
            </w:r>
            <w:r w:rsidR="008E4367" w:rsidRPr="00B06CE1">
              <w:rPr>
                <w:rFonts w:asciiTheme="minorHAnsi" w:hAnsiTheme="minorHAnsi" w:cs="Arial"/>
                <w:lang w:val="es-CO"/>
              </w:rPr>
              <w:t>. Recursos Financieros</w:t>
            </w:r>
          </w:p>
          <w:p w:rsidR="008E4367" w:rsidRDefault="008E4367" w:rsidP="000A360F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4F0DF6">
              <w:rPr>
                <w:rFonts w:asciiTheme="minorHAnsi" w:hAnsiTheme="minorHAnsi" w:cs="Arial"/>
                <w:u w:val="single"/>
                <w:lang w:val="es-CO"/>
              </w:rPr>
              <w:t>Característica 30.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Recursos, presupuesto y gestión financiera.</w:t>
            </w:r>
          </w:p>
          <w:p w:rsidR="00E82FC1" w:rsidRPr="008E4367" w:rsidRDefault="008E4367" w:rsidP="000A360F">
            <w:pPr>
              <w:ind w:left="1416"/>
              <w:rPr>
                <w:rFonts w:asciiTheme="minorHAnsi" w:hAnsiTheme="minorHAnsi" w:cs="Arial"/>
              </w:rPr>
            </w:pPr>
            <w:r w:rsidRPr="00E17073">
              <w:rPr>
                <w:rFonts w:asciiTheme="minorHAnsi" w:hAnsiTheme="minorHAnsi" w:cs="Arial"/>
                <w:u w:val="single"/>
                <w:lang w:val="es-CO"/>
              </w:rPr>
              <w:t>Aspecto A.</w:t>
            </w:r>
            <w:r w:rsidRPr="0085322E">
              <w:rPr>
                <w:rFonts w:asciiTheme="minorHAnsi" w:hAnsiTheme="minorHAnsi" w:cs="Arial"/>
                <w:lang w:val="es-CO"/>
              </w:rPr>
              <w:t xml:space="preserve"> Información acerca de las fuentes de financiamiento, los recursos provenientes del Estado, otras fuentes externas y recursos propios.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0833E1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E227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DE2277">
              <w:rPr>
                <w:rFonts w:ascii="Arial" w:hAnsi="Arial" w:cs="Arial"/>
                <w:szCs w:val="20"/>
                <w:lang w:val="es-CO"/>
              </w:rPr>
              <w:t xml:space="preserve">Proceso Gestión Estratégica del Campus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DE2277" w:rsidRDefault="007B4CB6" w:rsidP="007B4CB6">
            <w:pPr>
              <w:spacing w:line="0" w:lineRule="atLeast"/>
              <w:rPr>
                <w:rFonts w:ascii="Arial" w:hAnsi="Arial" w:cs="Arial"/>
                <w:szCs w:val="20"/>
                <w:lang w:val="es-CO"/>
              </w:rPr>
            </w:pPr>
            <w:r w:rsidRPr="00DE2277">
              <w:rPr>
                <w:rFonts w:ascii="Arial" w:hAnsi="Arial" w:cs="Arial"/>
                <w:szCs w:val="20"/>
                <w:lang w:val="es-CO"/>
              </w:rPr>
              <w:t xml:space="preserve">Cálculo: </w:t>
            </w:r>
            <w:r w:rsidR="00DE2277">
              <w:rPr>
                <w:rFonts w:ascii="Arial" w:hAnsi="Arial" w:cs="Arial"/>
                <w:szCs w:val="20"/>
                <w:lang w:val="es-CO"/>
              </w:rPr>
              <w:t xml:space="preserve">Proceso Gestión Estratégica del Campus 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E2277">
              <w:rPr>
                <w:rFonts w:ascii="Arial" w:hAnsi="Arial" w:cs="Arial"/>
                <w:szCs w:val="20"/>
                <w:lang w:val="es-CO"/>
              </w:rPr>
              <w:t xml:space="preserve">Gestión y análisis: </w:t>
            </w:r>
            <w:r w:rsidR="00DE2277">
              <w:rPr>
                <w:rFonts w:ascii="Arial" w:hAnsi="Arial" w:cs="Arial"/>
                <w:szCs w:val="20"/>
                <w:lang w:val="es-CO"/>
              </w:rPr>
              <w:t>Proceso Gestión Estratégica del Campus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de creación: </w:t>
            </w:r>
            <w:r w:rsidR="002E3E5B">
              <w:rPr>
                <w:rFonts w:ascii="Arial" w:hAnsi="Arial" w:cs="Arial"/>
                <w:szCs w:val="20"/>
                <w:lang w:val="es-CO"/>
              </w:rPr>
              <w:t>20 de Mayo de 2008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A833C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A833CB">
              <w:rPr>
                <w:rFonts w:ascii="Arial" w:hAnsi="Arial" w:cs="Arial"/>
                <w:szCs w:val="20"/>
                <w:lang w:val="es-CO"/>
              </w:rPr>
              <w:t xml:space="preserve">22 de mayo </w:t>
            </w:r>
            <w:r w:rsidR="00581CDC">
              <w:rPr>
                <w:rFonts w:ascii="Arial" w:hAnsi="Arial" w:cs="Arial"/>
                <w:szCs w:val="20"/>
                <w:lang w:val="es-CO"/>
              </w:rPr>
              <w:t xml:space="preserve">de </w:t>
            </w:r>
            <w:bookmarkStart w:id="0" w:name="_GoBack"/>
            <w:bookmarkEnd w:id="0"/>
            <w:r w:rsidR="00A833CB">
              <w:rPr>
                <w:rFonts w:ascii="Arial" w:hAnsi="Arial" w:cs="Arial"/>
                <w:szCs w:val="20"/>
                <w:lang w:val="es-CO"/>
              </w:rPr>
              <w:t>2019</w:t>
            </w:r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B06CE1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B83FEA" w:rsidRPr="00847EB5" w:rsidRDefault="00B83FEA" w:rsidP="00B83FEA">
            <w:pPr>
              <w:spacing w:line="0" w:lineRule="atLeast"/>
              <w:rPr>
                <w:rFonts w:ascii="Arial" w:hAnsi="Arial" w:cs="Arial"/>
                <w:bCs/>
                <w:noProof/>
              </w:rPr>
            </w:pPr>
            <w:r w:rsidRPr="00847EB5">
              <w:rPr>
                <w:rFonts w:ascii="Arial" w:hAnsi="Arial" w:cs="Arial"/>
                <w:b/>
                <w:bCs/>
                <w:noProof/>
              </w:rPr>
              <w:t>Área:</w:t>
            </w:r>
            <w:r w:rsidRPr="00847EB5">
              <w:rPr>
                <w:rFonts w:ascii="Arial" w:hAnsi="Arial" w:cs="Arial"/>
                <w:bCs/>
                <w:noProof/>
              </w:rPr>
              <w:t xml:space="preserve">  Corresponde a la dimensión medida en metros cuadrados de cada uno de los espacios.</w:t>
            </w:r>
          </w:p>
          <w:p w:rsidR="00B83FEA" w:rsidRPr="00847EB5" w:rsidRDefault="00B83FEA" w:rsidP="00B83FEA">
            <w:pPr>
              <w:spacing w:line="0" w:lineRule="atLeast"/>
              <w:rPr>
                <w:rFonts w:ascii="Arial" w:hAnsi="Arial" w:cs="Arial"/>
                <w:bCs/>
                <w:noProof/>
              </w:rPr>
            </w:pPr>
          </w:p>
          <w:p w:rsidR="00B83FEA" w:rsidRPr="00847EB5" w:rsidRDefault="00B83FEA" w:rsidP="00B83FEA">
            <w:pPr>
              <w:spacing w:line="0" w:lineRule="atLeast"/>
              <w:rPr>
                <w:rFonts w:ascii="Arial" w:hAnsi="Arial" w:cs="Arial"/>
                <w:bCs/>
                <w:noProof/>
              </w:rPr>
            </w:pPr>
            <w:r w:rsidRPr="00847EB5">
              <w:rPr>
                <w:rFonts w:ascii="Arial" w:hAnsi="Arial" w:cs="Arial"/>
                <w:b/>
                <w:bCs/>
                <w:noProof/>
              </w:rPr>
              <w:t>Capacidad:</w:t>
            </w:r>
            <w:r w:rsidRPr="00847EB5">
              <w:rPr>
                <w:rFonts w:ascii="Arial" w:hAnsi="Arial" w:cs="Arial"/>
                <w:bCs/>
                <w:noProof/>
              </w:rPr>
              <w:t xml:space="preserve">  Es la magnitud que tienen los espacios para albergar a la población de acuerdo con los usos establecidos.</w:t>
            </w:r>
          </w:p>
          <w:p w:rsidR="00B83FEA" w:rsidRPr="00847EB5" w:rsidRDefault="00B83FEA" w:rsidP="00B83FEA">
            <w:pPr>
              <w:spacing w:line="0" w:lineRule="atLeast"/>
              <w:rPr>
                <w:rFonts w:ascii="Arial" w:hAnsi="Arial" w:cs="Arial"/>
                <w:bCs/>
                <w:noProof/>
              </w:rPr>
            </w:pPr>
          </w:p>
          <w:p w:rsidR="00D241CD" w:rsidRPr="002E3E5B" w:rsidRDefault="00B83FEA" w:rsidP="00D241CD">
            <w:pPr>
              <w:spacing w:line="0" w:lineRule="atLeast"/>
              <w:rPr>
                <w:rFonts w:ascii="Arial" w:hAnsi="Arial" w:cs="Arial"/>
                <w:bCs/>
                <w:noProof/>
              </w:rPr>
            </w:pPr>
            <w:r w:rsidRPr="00847EB5">
              <w:rPr>
                <w:rFonts w:ascii="Arial" w:hAnsi="Arial" w:cs="Arial"/>
                <w:b/>
                <w:bCs/>
                <w:noProof/>
              </w:rPr>
              <w:t>Equipamiento:</w:t>
            </w:r>
            <w:r w:rsidRPr="00847EB5">
              <w:rPr>
                <w:rFonts w:ascii="Arial" w:hAnsi="Arial" w:cs="Arial"/>
                <w:bCs/>
                <w:noProof/>
              </w:rPr>
              <w:t xml:space="preserve"> Conjunto de instalaciones y servicios necesarios para una actividad determinada.  Puede ser entendido también como las edificaciones que contienen las dotaciones en el sector correspondiente y de acuerdo con los usos del suelo determinados. 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FC224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B06CE1">
        <w:trPr>
          <w:trHeight w:val="1666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2E3E5B" w:rsidRPr="003869D1" w:rsidRDefault="009801D8" w:rsidP="002E3E5B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2E3E5B">
              <w:rPr>
                <w:rFonts w:ascii="Arial" w:hAnsi="Arial" w:cs="Arial"/>
                <w:sz w:val="20"/>
                <w:szCs w:val="20"/>
              </w:rPr>
              <w:t xml:space="preserve">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CE= MUS/PPU</m:t>
              </m:r>
            </m:oMath>
          </w:p>
          <w:p w:rsidR="00BC56E3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777A5A" w:rsidRPr="00847EB5" w:rsidRDefault="00777A5A" w:rsidP="00777A5A">
            <w:pPr>
              <w:spacing w:line="0" w:lineRule="atLeast"/>
              <w:rPr>
                <w:rFonts w:ascii="Arial" w:hAnsi="Arial" w:cs="Arial"/>
              </w:rPr>
            </w:pPr>
            <w:r w:rsidRPr="00847EB5">
              <w:rPr>
                <w:rFonts w:ascii="Arial" w:hAnsi="Arial" w:cs="Arial"/>
              </w:rPr>
              <w:t>MUS: Metros cuadrados por uso de suelo</w:t>
            </w:r>
          </w:p>
          <w:p w:rsidR="00D241CD" w:rsidRPr="00B06CE1" w:rsidRDefault="00777A5A" w:rsidP="00777A5A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 w:rsidRPr="00847EB5">
              <w:rPr>
                <w:rFonts w:ascii="Arial" w:hAnsi="Arial" w:cs="Arial"/>
              </w:rPr>
              <w:t>PPU: Población por uso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777A5A" w:rsidRDefault="009801D8" w:rsidP="00777A5A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2E3E5B">
              <w:rPr>
                <w:rFonts w:asciiTheme="minorHAnsi" w:hAnsiTheme="minorHAnsi" w:cs="Arial"/>
                <w:b/>
                <w:szCs w:val="20"/>
              </w:rPr>
              <w:t xml:space="preserve"> </w:t>
            </w:r>
          </w:p>
          <w:p w:rsidR="00777A5A" w:rsidRDefault="00777A5A" w:rsidP="00777A5A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777A5A" w:rsidRPr="00847EB5" w:rsidRDefault="00777A5A" w:rsidP="00777A5A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847EB5">
              <w:rPr>
                <w:rFonts w:ascii="Arial" w:hAnsi="Arial" w:cs="Arial"/>
                <w:szCs w:val="20"/>
              </w:rPr>
              <w:t>Estándares por uso</w:t>
            </w:r>
          </w:p>
          <w:p w:rsidR="00777A5A" w:rsidRPr="00847EB5" w:rsidRDefault="00777A5A" w:rsidP="00777A5A">
            <w:pPr>
              <w:spacing w:line="0" w:lineRule="atLeast"/>
              <w:rPr>
                <w:rFonts w:ascii="Arial" w:hAnsi="Arial" w:cs="Arial"/>
                <w:szCs w:val="20"/>
              </w:rPr>
            </w:pPr>
          </w:p>
          <w:p w:rsidR="00777A5A" w:rsidRPr="00847EB5" w:rsidRDefault="00777A5A" w:rsidP="00777A5A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847EB5">
              <w:rPr>
                <w:rFonts w:ascii="Arial" w:hAnsi="Arial" w:cs="Arial"/>
                <w:szCs w:val="20"/>
              </w:rPr>
              <w:t>Los espacios físicos que se incluyen en este indicador, sólo tienen en cuenta, aquellos que estén en funcionamiento.</w:t>
            </w:r>
          </w:p>
          <w:p w:rsidR="00777A5A" w:rsidRPr="00847EB5" w:rsidRDefault="00777A5A" w:rsidP="00777A5A">
            <w:pPr>
              <w:spacing w:line="0" w:lineRule="atLeast"/>
              <w:rPr>
                <w:rFonts w:ascii="Arial" w:hAnsi="Arial" w:cs="Arial"/>
                <w:szCs w:val="20"/>
              </w:rPr>
            </w:pPr>
          </w:p>
          <w:p w:rsidR="00777A5A" w:rsidRPr="00847EB5" w:rsidRDefault="00777A5A" w:rsidP="00777A5A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847EB5">
              <w:rPr>
                <w:rFonts w:ascii="Arial" w:hAnsi="Arial" w:cs="Arial"/>
                <w:szCs w:val="20"/>
              </w:rPr>
              <w:t>La información se debe presentar por uso del suelo (aulas, laboratorios, salas de cómputo, áreas de uso especializado, cafeterías, oficinas, auditorios y salas múltiples, áreas de servicio, circulaciones y áreas libres).</w:t>
            </w:r>
          </w:p>
          <w:p w:rsidR="00777A5A" w:rsidRPr="00847EB5" w:rsidRDefault="00777A5A" w:rsidP="00777A5A">
            <w:pPr>
              <w:spacing w:line="0" w:lineRule="atLeast"/>
              <w:rPr>
                <w:rFonts w:ascii="Arial" w:hAnsi="Arial" w:cs="Arial"/>
                <w:szCs w:val="20"/>
              </w:rPr>
            </w:pPr>
          </w:p>
          <w:p w:rsidR="00777A5A" w:rsidRPr="00847EB5" w:rsidRDefault="00777A5A" w:rsidP="00777A5A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847EB5">
              <w:rPr>
                <w:rFonts w:ascii="Arial" w:hAnsi="Arial" w:cs="Arial"/>
                <w:szCs w:val="20"/>
              </w:rPr>
              <w:lastRenderedPageBreak/>
              <w:t>El estándar para cada uso del suelo es: aulas 1.8 m2, laboratorios 2</w:t>
            </w:r>
            <w:r>
              <w:rPr>
                <w:rFonts w:ascii="Arial" w:hAnsi="Arial" w:cs="Arial"/>
                <w:szCs w:val="20"/>
              </w:rPr>
              <w:t>,5</w:t>
            </w:r>
            <w:r w:rsidRPr="00847EB5">
              <w:rPr>
                <w:rFonts w:ascii="Arial" w:hAnsi="Arial" w:cs="Arial"/>
                <w:szCs w:val="20"/>
              </w:rPr>
              <w:t xml:space="preserve"> m2, salas de cómputo 2 m2</w:t>
            </w:r>
            <w:r>
              <w:rPr>
                <w:rFonts w:ascii="Arial" w:hAnsi="Arial" w:cs="Arial"/>
                <w:szCs w:val="20"/>
              </w:rPr>
              <w:t>, áreas de uso especializado 2,5</w:t>
            </w:r>
            <w:r w:rsidRPr="00847EB5">
              <w:rPr>
                <w:rFonts w:ascii="Arial" w:hAnsi="Arial" w:cs="Arial"/>
                <w:szCs w:val="20"/>
              </w:rPr>
              <w:t xml:space="preserve"> m</w:t>
            </w:r>
            <w:r>
              <w:rPr>
                <w:rFonts w:ascii="Arial" w:hAnsi="Arial" w:cs="Arial"/>
                <w:szCs w:val="20"/>
              </w:rPr>
              <w:t>2, cafeterías 1,5 m2, oficinas 6</w:t>
            </w:r>
            <w:r w:rsidRPr="00847EB5">
              <w:rPr>
                <w:rFonts w:ascii="Arial" w:hAnsi="Arial" w:cs="Arial"/>
                <w:szCs w:val="20"/>
              </w:rPr>
              <w:t xml:space="preserve"> m2, auditorios y salas múltiples 1,5 m2, áreas de servicio 1 m2, circulaciones y áreas libres 1,5 m2.</w:t>
            </w:r>
          </w:p>
          <w:p w:rsidR="005C75D9" w:rsidRPr="00B06CE1" w:rsidRDefault="005C75D9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</w:tc>
      </w:tr>
      <w:tr w:rsidR="009801D8" w:rsidRPr="00D037B1" w:rsidTr="00B06CE1">
        <w:trPr>
          <w:trHeight w:val="32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tbl>
            <w:tblPr>
              <w:tblW w:w="6385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79"/>
              <w:gridCol w:w="1599"/>
              <w:gridCol w:w="1225"/>
              <w:gridCol w:w="968"/>
              <w:gridCol w:w="1314"/>
            </w:tblGrid>
            <w:tr w:rsidR="002F05FA" w:rsidRPr="00586519" w:rsidTr="0065448A">
              <w:trPr>
                <w:trHeight w:val="255"/>
                <w:jc w:val="center"/>
              </w:trPr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Código edificio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Nombre del edificio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Nomenclatura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</w:t>
                  </w:r>
                  <w:r w:rsidRPr="00E73221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2</w:t>
                  </w: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 xml:space="preserve"> totales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m</w:t>
                  </w:r>
                  <w:r w:rsidRPr="00E73221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2</w:t>
                  </w: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 xml:space="preserve"> construidos</w:t>
                  </w:r>
                </w:p>
              </w:tc>
            </w:tr>
            <w:tr w:rsidR="002F05FA" w:rsidRPr="00586519" w:rsidTr="0065448A">
              <w:trPr>
                <w:trHeight w:val="255"/>
                <w:jc w:val="center"/>
              </w:trPr>
              <w:tc>
                <w:tcPr>
                  <w:tcW w:w="1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2F05FA" w:rsidRPr="00586519" w:rsidTr="0065448A">
              <w:trPr>
                <w:trHeight w:val="255"/>
                <w:jc w:val="center"/>
              </w:trPr>
              <w:tc>
                <w:tcPr>
                  <w:tcW w:w="1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586519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6519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777A5A" w:rsidRDefault="00777A5A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5719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79"/>
              <w:gridCol w:w="1480"/>
              <w:gridCol w:w="1940"/>
              <w:gridCol w:w="1020"/>
            </w:tblGrid>
            <w:tr w:rsidR="002F05FA" w:rsidRPr="00AC27E4" w:rsidTr="0065448A">
              <w:trPr>
                <w:trHeight w:val="255"/>
                <w:jc w:val="center"/>
              </w:trPr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Código edificio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Uso del suelo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Área construida (m</w:t>
                  </w:r>
                  <w:r w:rsidRPr="00E73221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2</w:t>
                  </w: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Capacidad</w:t>
                  </w:r>
                </w:p>
              </w:tc>
            </w:tr>
            <w:tr w:rsidR="002F05FA" w:rsidRPr="00AC27E4" w:rsidTr="0065448A">
              <w:trPr>
                <w:trHeight w:val="255"/>
                <w:jc w:val="center"/>
              </w:trPr>
              <w:tc>
                <w:tcPr>
                  <w:tcW w:w="1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2F05FA" w:rsidRPr="00AC27E4" w:rsidTr="0065448A">
              <w:trPr>
                <w:trHeight w:val="255"/>
                <w:jc w:val="center"/>
              </w:trPr>
              <w:tc>
                <w:tcPr>
                  <w:tcW w:w="12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F05FA" w:rsidRPr="00AC27E4" w:rsidRDefault="002F05FA" w:rsidP="002F05F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27E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2F05FA" w:rsidRDefault="002F05FA" w:rsidP="00777A5A">
            <w:pPr>
              <w:spacing w:line="0" w:lineRule="atLeast"/>
              <w:rPr>
                <w:rFonts w:ascii="Arial" w:hAnsi="Arial" w:cs="Arial"/>
                <w:noProof/>
                <w:szCs w:val="20"/>
              </w:rPr>
            </w:pPr>
          </w:p>
          <w:p w:rsidR="002F05FA" w:rsidRDefault="002F05FA" w:rsidP="00777A5A">
            <w:pPr>
              <w:spacing w:line="0" w:lineRule="atLeast"/>
              <w:rPr>
                <w:rFonts w:ascii="Arial" w:hAnsi="Arial" w:cs="Arial"/>
                <w:noProof/>
                <w:szCs w:val="20"/>
              </w:rPr>
            </w:pPr>
          </w:p>
          <w:p w:rsidR="002F05FA" w:rsidRPr="00847EB5" w:rsidRDefault="002F05FA" w:rsidP="00777A5A">
            <w:pPr>
              <w:spacing w:line="0" w:lineRule="atLeast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B</w:t>
            </w:r>
            <w:r w:rsidR="00777A5A" w:rsidRPr="00847EB5">
              <w:rPr>
                <w:rFonts w:ascii="Arial" w:hAnsi="Arial" w:cs="Arial"/>
                <w:noProof/>
                <w:szCs w:val="20"/>
              </w:rPr>
              <w:t>ase</w:t>
            </w:r>
            <w:r>
              <w:rPr>
                <w:rFonts w:ascii="Arial" w:hAnsi="Arial" w:cs="Arial"/>
                <w:noProof/>
                <w:szCs w:val="20"/>
              </w:rPr>
              <w:t xml:space="preserve"> de datos Oficina de Planeación.</w:t>
            </w:r>
          </w:p>
          <w:p w:rsidR="00C01AC4" w:rsidRPr="00D037B1" w:rsidRDefault="00C01AC4" w:rsidP="002E3E5B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BA1D56" w:rsidRDefault="00BA1D5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777A5A" w:rsidRDefault="00777A5A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777A5A" w:rsidRPr="00D037B1" w:rsidRDefault="00777A5A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2F05FA" w:rsidRPr="003869D1" w:rsidRDefault="002F05FA" w:rsidP="002F05FA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Fórmula: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CE= MUS/PPU</m:t>
              </m:r>
            </m:oMath>
          </w:p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777A5A" w:rsidRPr="00847EB5" w:rsidRDefault="00777A5A" w:rsidP="00777A5A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847EB5">
              <w:rPr>
                <w:rFonts w:ascii="Arial" w:hAnsi="Arial" w:cs="Arial"/>
                <w:szCs w:val="20"/>
              </w:rPr>
              <w:t>Uso del suelo: Aulas, laboratorios, salas de cómputo, áreas de uso especializado, cafeterías, oficinas, auditorios y salas múltiples, áreas de servicios, circulaciones y áreas libres.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 w:rsidR="003D64D2">
              <w:rPr>
                <w:rFonts w:asciiTheme="minorHAnsi" w:hAnsiTheme="minorHAnsi" w:cs="Arial"/>
                <w:szCs w:val="20"/>
              </w:rPr>
              <w:t xml:space="preserve"> 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lastRenderedPageBreak/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  <w:r w:rsidR="003D64D2">
              <w:rPr>
                <w:rFonts w:asciiTheme="minorHAnsi" w:hAnsiTheme="minorHAnsi" w:cs="Arial"/>
                <w:szCs w:val="20"/>
              </w:rPr>
              <w:t xml:space="preserve"> 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E054D3" w:rsidRPr="00D70324" w:rsidRDefault="000118BB" w:rsidP="00D80394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CE5" w:rsidRDefault="002F7CE5">
      <w:r>
        <w:separator/>
      </w:r>
    </w:p>
  </w:endnote>
  <w:endnote w:type="continuationSeparator" w:id="0">
    <w:p w:rsidR="002F7CE5" w:rsidRDefault="002F7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CE5" w:rsidRDefault="002F7CE5">
      <w:r>
        <w:separator/>
      </w:r>
    </w:p>
  </w:footnote>
  <w:footnote w:type="continuationSeparator" w:id="0">
    <w:p w:rsidR="002F7CE5" w:rsidRDefault="002F7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5D3FA8" w:rsidRDefault="005D3FA8" w:rsidP="005D3FA8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:rsidR="00B05843" w:rsidRPr="00EE67D0" w:rsidRDefault="00EE67D0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EE67D0">
            <w:rPr>
              <w:rFonts w:asciiTheme="minorHAnsi" w:hAnsiTheme="minorHAnsi" w:cs="Arial"/>
              <w:b/>
              <w:sz w:val="22"/>
              <w:szCs w:val="22"/>
            </w:rPr>
            <w:t>Cobertura de los equipamientos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581CDC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581CDC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4FE8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33E1"/>
    <w:rsid w:val="00084BF7"/>
    <w:rsid w:val="00085CA0"/>
    <w:rsid w:val="00090316"/>
    <w:rsid w:val="00096CFF"/>
    <w:rsid w:val="000A1282"/>
    <w:rsid w:val="000A360F"/>
    <w:rsid w:val="000A54CF"/>
    <w:rsid w:val="000B0CAB"/>
    <w:rsid w:val="000B6428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63D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34EB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56096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3E5B"/>
    <w:rsid w:val="002E5208"/>
    <w:rsid w:val="002E5CE6"/>
    <w:rsid w:val="002F05FA"/>
    <w:rsid w:val="002F0C71"/>
    <w:rsid w:val="002F0F56"/>
    <w:rsid w:val="002F1560"/>
    <w:rsid w:val="002F798C"/>
    <w:rsid w:val="002F7CE5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C75C3"/>
    <w:rsid w:val="003D64D2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1C6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FBB"/>
    <w:rsid w:val="005739BB"/>
    <w:rsid w:val="00581CDC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D3FA8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5A1B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77A5A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87437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4367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14766"/>
    <w:rsid w:val="00942926"/>
    <w:rsid w:val="00947BE5"/>
    <w:rsid w:val="00953228"/>
    <w:rsid w:val="0097292D"/>
    <w:rsid w:val="00973137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833CB"/>
    <w:rsid w:val="00A92094"/>
    <w:rsid w:val="00A94115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06CE1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83FEA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2372F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CF58C8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0324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2277"/>
    <w:rsid w:val="00DE78CB"/>
    <w:rsid w:val="00DF099F"/>
    <w:rsid w:val="00DF1DDB"/>
    <w:rsid w:val="00DF5AC0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57CCA"/>
    <w:rsid w:val="00E664B2"/>
    <w:rsid w:val="00E736AE"/>
    <w:rsid w:val="00E73996"/>
    <w:rsid w:val="00E81B79"/>
    <w:rsid w:val="00E81C5A"/>
    <w:rsid w:val="00E82FC1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E67D0"/>
    <w:rsid w:val="00EF4CE4"/>
    <w:rsid w:val="00EF7EDC"/>
    <w:rsid w:val="00F019B5"/>
    <w:rsid w:val="00F1533D"/>
    <w:rsid w:val="00F244F1"/>
    <w:rsid w:val="00F24B46"/>
    <w:rsid w:val="00F25EC8"/>
    <w:rsid w:val="00F27E6F"/>
    <w:rsid w:val="00F30B2E"/>
    <w:rsid w:val="00F31E54"/>
    <w:rsid w:val="00F43A75"/>
    <w:rsid w:val="00F50800"/>
    <w:rsid w:val="00F5465E"/>
    <w:rsid w:val="00F56736"/>
    <w:rsid w:val="00F576B4"/>
    <w:rsid w:val="00F67470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224B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2E3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923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2016-04-20T16:10:00Z</dcterms:created>
  <dcterms:modified xsi:type="dcterms:W3CDTF">2019-05-22T15:01:00Z</dcterms:modified>
</cp:coreProperties>
</file>