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907D84" w:rsidRPr="00907D84">
              <w:rPr>
                <w:rFonts w:asciiTheme="minorHAnsi" w:hAnsiTheme="minorHAnsi" w:cs="Arial"/>
                <w:lang w:val="es-CO"/>
              </w:rPr>
              <w:t>BIE0102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D617F" w:rsidRPr="004D617F">
              <w:rPr>
                <w:rFonts w:asciiTheme="minorHAnsi" w:hAnsiTheme="minorHAnsi" w:cs="Arial"/>
                <w:lang w:val="es-CO"/>
              </w:rPr>
              <w:t>Cubrimiento de la estrategia de adaptación a la vida universitaria.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D617F" w:rsidRPr="004D617F">
              <w:rPr>
                <w:rFonts w:asciiTheme="minorHAnsi" w:hAnsiTheme="minorHAnsi" w:cs="Arial"/>
                <w:lang w:val="es-CO"/>
              </w:rPr>
              <w:t>Mide el porcentaje de cubrimiento que presenta la estrategia de vinculación a la vida universitaria respecto del total de estudiantes que llevan entre uno y cuatro semestres matriculados en la Universidad.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4D617F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D617F">
              <w:rPr>
                <w:rFonts w:asciiTheme="minorHAnsi" w:hAnsiTheme="minorHAnsi" w:cs="Arial"/>
                <w:lang w:val="es-CO"/>
              </w:rPr>
              <w:t>Establecer el cubrimiento de la estrategia de vinculación a la vida universitaria respecto del total a cubrir, considerando la importancia de intervenir la totalidad de dicha población.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1B6980" w:rsidRPr="001B6980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9801D8" w:rsidRPr="004036F2" w:rsidTr="007174A1">
        <w:trPr>
          <w:trHeight w:val="794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1B698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F202E" w:rsidRDefault="00453FBC" w:rsidP="00F643F0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B21CC" w:rsidRPr="008B21CC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4F202E" w:rsidRDefault="004F202E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FACTOR 9. BIENESTAR INSTITUCIONAL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CARACTERISTICA 24.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Estructura y funcionamiento del bienestar institucional </w:t>
            </w:r>
          </w:p>
          <w:p w:rsidR="002979C2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A.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Existencia y aplicación de polític</w:t>
            </w:r>
            <w:r>
              <w:rPr>
                <w:rFonts w:asciiTheme="minorHAnsi" w:hAnsiTheme="minorHAnsi" w:cs="Arial"/>
                <w:lang w:val="es-CO"/>
              </w:rPr>
              <w:t xml:space="preserve">as de bienestar institucional. 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B.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Descripción de los campos de acción y cobertura de los programas del bienestar universitario, sus usuarios y el impacto de sus programas.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D.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Estrategias de divulgación de los servicios de bienestar universitario.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E.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Existencia de una variada oferta de servicios ofrecidos por bienestar y condiciones para que la comunidad institucional pueda hacer uso de ella.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F.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Evaluación periódica de los servicios ofrecidos.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G.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Acciones orientadas al diagnóstico y prevención de los riesgos psicosociales, médicos y ambientales de la comunidad institucional.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H.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Estrategias orientadas a la inclusión de la población vulnerable y con discapacidad.</w:t>
            </w:r>
          </w:p>
          <w:p w:rsidR="00103156" w:rsidRPr="00103156" w:rsidRDefault="00103156" w:rsidP="00103156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  <w:r w:rsidRPr="00103156">
              <w:rPr>
                <w:rFonts w:asciiTheme="minorHAnsi" w:hAnsiTheme="minorHAnsi" w:cs="Arial"/>
                <w:b/>
                <w:lang w:val="es-CO"/>
              </w:rPr>
              <w:t>ASPECTO J.</w:t>
            </w:r>
            <w:r w:rsidRPr="00103156">
              <w:rPr>
                <w:rFonts w:asciiTheme="minorHAnsi" w:hAnsiTheme="minorHAnsi" w:cs="Arial"/>
                <w:lang w:val="es-CO"/>
              </w:rPr>
              <w:t xml:space="preserve"> Existencia de mecanismos para la resolución armónica de conflictos en la comunidad institucional.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F65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F6500E">
              <w:rPr>
                <w:rFonts w:asciiTheme="minorHAnsi" w:hAnsiTheme="minorHAnsi" w:cs="Arial"/>
                <w:lang w:val="es-CO"/>
              </w:rPr>
              <w:t>Formación para el desarrollo humano - E</w:t>
            </w:r>
            <w:r w:rsidR="00F6500E" w:rsidRPr="004D617F">
              <w:rPr>
                <w:rFonts w:asciiTheme="minorHAnsi" w:hAnsiTheme="minorHAnsi" w:cs="Arial"/>
                <w:lang w:val="es-CO"/>
              </w:rPr>
              <w:t>strategia de adaptación a la vida universitaria.</w:t>
            </w:r>
            <w:r w:rsidR="00F6500E">
              <w:rPr>
                <w:rFonts w:asciiTheme="minorHAnsi" w:hAnsiTheme="minorHAnsi" w:cs="Arial"/>
                <w:lang w:val="es-CO"/>
              </w:rPr>
              <w:t xml:space="preserve"> - Vicerrectoría de Responsabilidad Social y Bienestar Universitario.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D169FA">
              <w:rPr>
                <w:rFonts w:asciiTheme="minorHAnsi" w:hAnsiTheme="minorHAnsi" w:cs="Arial"/>
                <w:lang w:val="es-CO"/>
              </w:rPr>
              <w:t>Formación para el desarrollo humano - E</w:t>
            </w:r>
            <w:r w:rsidR="00D169FA" w:rsidRPr="004D617F">
              <w:rPr>
                <w:rFonts w:asciiTheme="minorHAnsi" w:hAnsiTheme="minorHAnsi" w:cs="Arial"/>
                <w:lang w:val="es-CO"/>
              </w:rPr>
              <w:t>strategia de adaptación a la vida universitaria.</w:t>
            </w:r>
            <w:r w:rsidR="00D169FA">
              <w:rPr>
                <w:rFonts w:asciiTheme="minorHAnsi" w:hAnsiTheme="minorHAnsi" w:cs="Arial"/>
                <w:lang w:val="es-CO"/>
              </w:rPr>
              <w:t xml:space="preserve"> - Vicerrectoría de Responsabilidad Social y Bienestar Universitario.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 w:rsidR="005E42AC">
              <w:rPr>
                <w:rFonts w:asciiTheme="minorHAnsi" w:hAnsiTheme="minorHAnsi" w:cs="Arial"/>
                <w:lang w:val="es-CO"/>
              </w:rPr>
              <w:t>Formación para el desarrollo humano - E</w:t>
            </w:r>
            <w:r w:rsidR="005E42AC" w:rsidRPr="004D617F">
              <w:rPr>
                <w:rFonts w:asciiTheme="minorHAnsi" w:hAnsiTheme="minorHAnsi" w:cs="Arial"/>
                <w:lang w:val="es-CO"/>
              </w:rPr>
              <w:t>strategia de adaptación a la vida universitaria.</w:t>
            </w:r>
            <w:r w:rsidR="005E42AC">
              <w:rPr>
                <w:rFonts w:asciiTheme="minorHAnsi" w:hAnsiTheme="minorHAnsi" w:cs="Arial"/>
                <w:lang w:val="es-CO"/>
              </w:rPr>
              <w:t xml:space="preserve"> - Vicerrectoría de Responsabilidad Social y Bienestar Universitario.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  <w:r w:rsidR="00F91389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2979C2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61031C" w:rsidRPr="0061031C">
              <w:rPr>
                <w:rFonts w:asciiTheme="minorHAnsi" w:hAnsiTheme="minorHAnsi" w:cs="Arial"/>
                <w:lang w:val="es-CO"/>
              </w:rPr>
              <w:t>3</w:t>
            </w:r>
            <w:r w:rsidR="002979C2">
              <w:rPr>
                <w:rFonts w:asciiTheme="minorHAnsi" w:hAnsiTheme="minorHAnsi" w:cs="Arial"/>
                <w:lang w:val="es-CO"/>
              </w:rPr>
              <w:t>1</w:t>
            </w:r>
            <w:r w:rsidR="0061031C" w:rsidRPr="0061031C">
              <w:rPr>
                <w:rFonts w:asciiTheme="minorHAnsi" w:hAnsiTheme="minorHAnsi" w:cs="Arial"/>
                <w:lang w:val="es-CO"/>
              </w:rPr>
              <w:t xml:space="preserve"> de marzo de 2016</w:t>
            </w:r>
            <w:r w:rsidR="0061031C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8B21C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8B21CC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913A93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13A93" w:rsidRPr="00913A93" w:rsidTr="00D6274A">
        <w:trPr>
          <w:trHeight w:val="397"/>
        </w:trPr>
        <w:tc>
          <w:tcPr>
            <w:tcW w:w="8988" w:type="dxa"/>
            <w:vAlign w:val="center"/>
          </w:tcPr>
          <w:p w:rsidR="00913A93" w:rsidRPr="00913A93" w:rsidRDefault="00664840" w:rsidP="00D6274A">
            <w:pPr>
              <w:spacing w:line="0" w:lineRule="atLeast"/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</w:pPr>
            <w:r w:rsidRPr="00913A93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Estrategia de adaptación a la vida universitaria</w:t>
            </w:r>
            <w:r w:rsidR="00913A93" w:rsidRPr="00913A93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:</w:t>
            </w:r>
            <w:r w:rsidR="00913A93" w:rsidRPr="00913A93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Ind</w:t>
            </w:r>
            <w:proofErr w:type="spellStart"/>
            <w:r w:rsidR="00913A93" w:rsidRP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ucción</w:t>
            </w:r>
            <w:proofErr w:type="spellEnd"/>
            <w:r w:rsidR="00913A93" w:rsidRP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a estudiantes nuevos, </w:t>
            </w:r>
            <w:r w:rsid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cuyo proceso </w:t>
            </w:r>
            <w:r w:rsidR="00913A93" w:rsidRP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consiste en realizar actividades, talleres y programas para que los alumnos se adapten de una forma natural a la Universidad en aspectos administrativos y académicos, a la vez que conocen el campus institucional</w:t>
            </w:r>
            <w:r w:rsid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. Algunas de las actividades que se desarrollan son la </w:t>
            </w:r>
            <w:r w:rsidR="00913A93" w:rsidRP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presentación de las pruebas de inglés de los nuevos alumnos, talleres sobre temas como el reglamento estudiantil y derechos humanos, integración a la vida universitaria, sensibilización en responsabilidad social universitaria, símbolos y valores institucionales, UTP recicla, recorri</w:t>
            </w:r>
            <w:r w:rsid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do por el campus universitario, </w:t>
            </w:r>
            <w:r w:rsidR="00913A93" w:rsidRP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introducción a la biblioteca</w:t>
            </w:r>
            <w:r w:rsid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y pruebas </w:t>
            </w:r>
            <w:r w:rsidR="00913A93" w:rsidRPr="00913A93">
              <w:rPr>
                <w:rFonts w:asciiTheme="minorHAnsi" w:hAnsiTheme="minorHAnsi"/>
                <w:sz w:val="22"/>
                <w:szCs w:val="22"/>
              </w:rPr>
              <w:t> </w:t>
            </w:r>
            <w:r w:rsidR="00913A93" w:rsidRP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para conocer cómo llegan los estudiantes a la Universidad y poder hacerles acompañamiento</w:t>
            </w:r>
            <w:r w:rsidR="00913A9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.</w:t>
            </w:r>
          </w:p>
          <w:p w:rsidR="00913A93" w:rsidRPr="00DB0753" w:rsidRDefault="00913A93" w:rsidP="00D6274A">
            <w:pPr>
              <w:spacing w:line="0" w:lineRule="atLeast"/>
              <w:rPr>
                <w:rFonts w:asciiTheme="minorHAnsi" w:hAnsiTheme="minorHAnsi" w:cs="Helvetica"/>
                <w:b/>
                <w:sz w:val="22"/>
                <w:szCs w:val="22"/>
                <w:shd w:val="clear" w:color="auto" w:fill="FFFFFF"/>
              </w:rPr>
            </w:pPr>
          </w:p>
          <w:p w:rsidR="00664840" w:rsidRPr="00913A93" w:rsidRDefault="00664840" w:rsidP="00D6274A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DB0753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>Form</w:t>
            </w:r>
            <w:r w:rsidR="007118D0" w:rsidRPr="00DB0753">
              <w:rPr>
                <w:rFonts w:asciiTheme="minorHAnsi" w:hAnsiTheme="minorHAnsi" w:cs="Arial"/>
                <w:b/>
                <w:noProof/>
                <w:sz w:val="22"/>
                <w:szCs w:val="22"/>
              </w:rPr>
              <w:t xml:space="preserve">ación para </w:t>
            </w:r>
            <w:r w:rsidR="007118D0" w:rsidRPr="00DB0753">
              <w:rPr>
                <w:rFonts w:asciiTheme="minorHAnsi" w:hAnsiTheme="minorHAnsi" w:cs="Helvetica"/>
                <w:b/>
                <w:sz w:val="22"/>
                <w:szCs w:val="22"/>
                <w:shd w:val="clear" w:color="auto" w:fill="FFFFFF"/>
              </w:rPr>
              <w:t>el desarrollo humano:</w:t>
            </w:r>
            <w:r w:rsidR="007118D0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Acompañamiento </w:t>
            </w:r>
            <w:r w:rsidR="00467CE6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a la 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Población en condición de Discapacidad (Auditiva, Visual y Motriz)</w:t>
            </w:r>
            <w:r w:rsid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,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</w:t>
            </w:r>
            <w:r w:rsid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a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compañamiento en los Talleres de Preparación para la práctica profesional</w:t>
            </w:r>
            <w:r w:rsid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, Taller c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ambio de Rol y Hoja de Vida</w:t>
            </w:r>
            <w:r w:rsidR="00467CE6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,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Taller de Entrevista Entrenamiento en pruebas Psicológicas y Psicotécnicas</w:t>
            </w:r>
            <w:r w:rsidR="00467CE6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,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Promoción del sentido de pertenencia por medio del Taller de Símbolos y Valores Institucionales</w:t>
            </w:r>
            <w:r w:rsidR="00467CE6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,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Educación Para la vida Administración, Planeación y Coordinación de la Semana de Adaptación a la vida Universitaria (Inducción Estudiantes Nuevos)</w:t>
            </w:r>
            <w:r w:rsidR="00467CE6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y </w:t>
            </w:r>
            <w:r w:rsidR="00DB0753" w:rsidRPr="00DB0753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 xml:space="preserve"> Asesoría en procesos de Selección de Personal</w:t>
            </w:r>
            <w:r w:rsidR="00467CE6">
              <w:rPr>
                <w:rFonts w:asciiTheme="minorHAnsi" w:hAnsiTheme="minorHAnsi" w:cs="Helvetica"/>
                <w:sz w:val="22"/>
                <w:szCs w:val="22"/>
                <w:shd w:val="clear" w:color="auto" w:fill="FFFFFF"/>
              </w:rPr>
              <w:t>.</w:t>
            </w:r>
          </w:p>
          <w:p w:rsidR="00223653" w:rsidRPr="00913A93" w:rsidRDefault="00223653" w:rsidP="00D6274A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  <w:p w:rsidR="00223653" w:rsidRPr="00913A93" w:rsidRDefault="00223653" w:rsidP="00D6274A">
            <w:pPr>
              <w:spacing w:line="0" w:lineRule="atLeast"/>
              <w:rPr>
                <w:rFonts w:asciiTheme="minorHAnsi" w:hAnsiTheme="minorHAnsi" w:cs="Arial"/>
                <w:noProof/>
                <w:sz w:val="22"/>
                <w:szCs w:val="22"/>
              </w:rPr>
            </w:pPr>
          </w:p>
          <w:p w:rsidR="00D241CD" w:rsidRPr="00913A93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2"/>
                <w:szCs w:val="22"/>
              </w:rPr>
            </w:pPr>
          </w:p>
          <w:p w:rsidR="00D241CD" w:rsidRPr="00913A93" w:rsidRDefault="00D241CD" w:rsidP="00D241CD">
            <w:pPr>
              <w:spacing w:line="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22365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223653" w:rsidRPr="00D037B1" w:rsidRDefault="00223653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Pr="00223653" w:rsidRDefault="00223653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223653">
              <w:rPr>
                <w:rFonts w:asciiTheme="minorHAnsi" w:hAnsiTheme="minorHAnsi" w:cs="Arial"/>
                <w:szCs w:val="20"/>
              </w:rPr>
              <w:t xml:space="preserve">Número de estudiantes atendidos por la estrategia de </w:t>
            </w:r>
            <w:r w:rsidR="00434080">
              <w:rPr>
                <w:rFonts w:asciiTheme="minorHAnsi" w:hAnsiTheme="minorHAnsi" w:cs="Arial"/>
                <w:szCs w:val="20"/>
              </w:rPr>
              <w:t>adaptación</w:t>
            </w:r>
            <w:r w:rsidRPr="00223653">
              <w:rPr>
                <w:rFonts w:asciiTheme="minorHAnsi" w:hAnsiTheme="minorHAnsi" w:cs="Arial"/>
                <w:szCs w:val="20"/>
              </w:rPr>
              <w:t xml:space="preserve"> a la vida universitaria </w:t>
            </w:r>
            <w:r w:rsidRPr="00223653">
              <w:rPr>
                <w:rFonts w:asciiTheme="minorHAnsi" w:hAnsiTheme="minorHAnsi" w:cs="Arial"/>
                <w:b/>
                <w:sz w:val="36"/>
                <w:szCs w:val="20"/>
              </w:rPr>
              <w:t>/</w:t>
            </w:r>
            <w:r w:rsidRPr="00223653">
              <w:rPr>
                <w:rFonts w:asciiTheme="minorHAnsi" w:hAnsiTheme="minorHAnsi" w:cs="Arial"/>
                <w:szCs w:val="20"/>
              </w:rPr>
              <w:t xml:space="preserve"> Número total de estudiantes que llevan entre uno y cuatro semestres matriculados en la Universidad.</w:t>
            </w:r>
          </w:p>
          <w:p w:rsidR="00D241CD" w:rsidRPr="00D037B1" w:rsidRDefault="00D241CD" w:rsidP="0022365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223653" w:rsidRDefault="00223653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C7A0A" w:rsidRDefault="00DC7A0A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Se considera que la estrategia de adaptación a la vida universitaria debe cubrir solo los estudiantes que han matriculado entre uno y cuatro semestres, ya que según los análisis de información por parte de las directivas institucionales, estos son los estudiantes con mayor vulnerabilidad a la deserción.</w:t>
            </w:r>
          </w:p>
          <w:p w:rsidR="00E77EE8" w:rsidRDefault="00E77EE8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E77EE8" w:rsidRPr="00DC7A0A" w:rsidRDefault="00E77EE8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Los registros de estudiantes atendidos por la estrategia AVU deben reposar en el sistema gestor de actividades.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7C118A" w:rsidRDefault="007C118A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29"/>
              <w:gridCol w:w="894"/>
              <w:gridCol w:w="767"/>
              <w:gridCol w:w="844"/>
              <w:gridCol w:w="804"/>
              <w:gridCol w:w="1050"/>
              <w:gridCol w:w="1477"/>
              <w:gridCol w:w="1397"/>
            </w:tblGrid>
            <w:tr w:rsidR="007C118A" w:rsidRPr="007C118A" w:rsidTr="007C118A">
              <w:trPr>
                <w:trHeight w:val="259"/>
              </w:trPr>
              <w:tc>
                <w:tcPr>
                  <w:tcW w:w="0" w:type="auto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NUMERODOCUMENTO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ID TERCERO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DEPENDENCIA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NOMBRE_ACTIVIDAD</w:t>
                  </w: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000000" w:fill="CFE0F1"/>
                  <w:vAlign w:val="center"/>
                  <w:hideMark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</w:pPr>
                  <w:r w:rsidRPr="007C118A">
                    <w:rPr>
                      <w:rFonts w:ascii="Tahoma" w:hAnsi="Tahoma" w:cs="Tahoma"/>
                      <w:color w:val="000000"/>
                      <w:sz w:val="14"/>
                      <w:szCs w:val="16"/>
                      <w:lang w:val="es-CO" w:eastAsia="es-CO"/>
                    </w:rPr>
                    <w:t>FECHA_ASISTENCIA</w:t>
                  </w:r>
                </w:p>
              </w:tc>
            </w:tr>
            <w:tr w:rsidR="007C118A" w:rsidRPr="007C118A" w:rsidTr="007C118A">
              <w:trPr>
                <w:trHeight w:val="259"/>
              </w:trPr>
              <w:tc>
                <w:tcPr>
                  <w:tcW w:w="0" w:type="auto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7C118A" w:rsidRPr="007C118A" w:rsidTr="007C118A">
              <w:trPr>
                <w:trHeight w:val="259"/>
              </w:trPr>
              <w:tc>
                <w:tcPr>
                  <w:tcW w:w="0" w:type="auto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7C118A" w:rsidRPr="007C118A" w:rsidTr="007C118A">
              <w:trPr>
                <w:trHeight w:val="259"/>
              </w:trPr>
              <w:tc>
                <w:tcPr>
                  <w:tcW w:w="0" w:type="auto"/>
                  <w:tcBorders>
                    <w:top w:val="single" w:sz="4" w:space="0" w:color="777777"/>
                    <w:left w:val="single" w:sz="4" w:space="0" w:color="777777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777777"/>
                    <w:left w:val="nil"/>
                    <w:bottom w:val="single" w:sz="4" w:space="0" w:color="777777"/>
                    <w:right w:val="single" w:sz="4" w:space="0" w:color="777777"/>
                  </w:tcBorders>
                  <w:shd w:val="clear" w:color="auto" w:fill="auto"/>
                </w:tcPr>
                <w:p w:rsidR="007C118A" w:rsidRPr="007C118A" w:rsidRDefault="007C118A" w:rsidP="007C118A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Tahoma" w:hAnsi="Tahoma" w:cs="Tahoma"/>
                      <w:color w:val="000000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</w:tbl>
          <w:p w:rsidR="007C118A" w:rsidRDefault="007C118A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7C118A" w:rsidRDefault="007C118A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C01AC4" w:rsidRPr="00D037B1" w:rsidRDefault="00C01AC4" w:rsidP="000F0D38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6571A6" w:rsidRDefault="006571A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br w:type="page"/>
      </w: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614"/>
              <w:gridCol w:w="644"/>
            </w:tblGrid>
            <w:tr w:rsidR="003A38CC" w:rsidTr="00CD2ADE">
              <w:trPr>
                <w:jc w:val="center"/>
              </w:trPr>
              <w:tc>
                <w:tcPr>
                  <w:tcW w:w="6614" w:type="dxa"/>
                  <w:shd w:val="clear" w:color="auto" w:fill="95B3D7" w:themeFill="accent1" w:themeFillTint="99"/>
                </w:tcPr>
                <w:p w:rsidR="003A38CC" w:rsidRDefault="00CD2ADE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23653">
                    <w:rPr>
                      <w:rFonts w:asciiTheme="minorHAnsi" w:hAnsiTheme="minorHAnsi" w:cs="Arial"/>
                      <w:szCs w:val="20"/>
                    </w:rPr>
                    <w:t>Número de estudiantes atendidos por la estrategia de vinculación a la vida universitaria</w:t>
                  </w:r>
                </w:p>
              </w:tc>
              <w:tc>
                <w:tcPr>
                  <w:tcW w:w="644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CD2ADE">
              <w:trPr>
                <w:jc w:val="center"/>
              </w:trPr>
              <w:tc>
                <w:tcPr>
                  <w:tcW w:w="6614" w:type="dxa"/>
                  <w:shd w:val="clear" w:color="auto" w:fill="95B3D7" w:themeFill="accent1" w:themeFillTint="99"/>
                </w:tcPr>
                <w:p w:rsidR="003A38CC" w:rsidRPr="00CD2ADE" w:rsidRDefault="00CD2ADE" w:rsidP="002114F6">
                  <w:pPr>
                    <w:spacing w:line="0" w:lineRule="atLeast"/>
                    <w:rPr>
                      <w:rFonts w:asciiTheme="minorHAnsi" w:hAnsiTheme="minorHAnsi" w:cs="Arial"/>
                      <w:szCs w:val="20"/>
                    </w:rPr>
                  </w:pPr>
                  <w:r w:rsidRPr="00223653">
                    <w:rPr>
                      <w:rFonts w:asciiTheme="minorHAnsi" w:hAnsiTheme="minorHAnsi" w:cs="Arial"/>
                      <w:szCs w:val="20"/>
                    </w:rPr>
                    <w:t>Número total de estudiantes que llevan entre uno y cuatro semestres matriculados en la Universidad.</w:t>
                  </w:r>
                </w:p>
              </w:tc>
              <w:tc>
                <w:tcPr>
                  <w:tcW w:w="644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CD2ADE">
              <w:trPr>
                <w:jc w:val="center"/>
              </w:trPr>
              <w:tc>
                <w:tcPr>
                  <w:tcW w:w="6614" w:type="dxa"/>
                  <w:shd w:val="clear" w:color="auto" w:fill="95B3D7" w:themeFill="accent1" w:themeFillTint="99"/>
                </w:tcPr>
                <w:p w:rsidR="003A38CC" w:rsidRDefault="009922C1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4D617F">
                    <w:rPr>
                      <w:rFonts w:asciiTheme="minorHAnsi" w:hAnsiTheme="minorHAnsi" w:cs="Arial"/>
                      <w:lang w:val="es-CO"/>
                    </w:rPr>
                    <w:t>Cubrimiento de la estrategia de adaptación a la vida universitaria.</w:t>
                  </w:r>
                </w:p>
              </w:tc>
              <w:tc>
                <w:tcPr>
                  <w:tcW w:w="644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FF0CCD" w:rsidRPr="00D037B1" w:rsidRDefault="00FF0CCD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E054D3" w:rsidRPr="000F0D38" w:rsidRDefault="000118BB" w:rsidP="00D80394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6571A6" w:rsidRPr="00D037B1" w:rsidRDefault="006571A6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5F2" w:rsidRDefault="007615F2">
      <w:r>
        <w:separator/>
      </w:r>
    </w:p>
  </w:endnote>
  <w:endnote w:type="continuationSeparator" w:id="0">
    <w:p w:rsidR="007615F2" w:rsidRDefault="00761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8C9" w:rsidRDefault="003908C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8C9" w:rsidRDefault="003908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5F2" w:rsidRDefault="007615F2">
      <w:r>
        <w:separator/>
      </w:r>
    </w:p>
  </w:footnote>
  <w:footnote w:type="continuationSeparator" w:id="0">
    <w:p w:rsidR="007615F2" w:rsidRDefault="00761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8C9" w:rsidRDefault="003908C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6154ABA" wp14:editId="79E064A2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4D617F">
            <w:rPr>
              <w:rFonts w:asciiTheme="minorHAnsi" w:hAnsiTheme="minorHAnsi" w:cs="Arial"/>
              <w:b/>
            </w:rPr>
            <w:t>FORMACIÓN PARA EL DESARROLLO HUM</w:t>
          </w:r>
          <w:r w:rsidR="003908C9">
            <w:rPr>
              <w:rFonts w:asciiTheme="minorHAnsi" w:hAnsiTheme="minorHAnsi" w:cs="Arial"/>
              <w:b/>
            </w:rPr>
            <w:t>ANO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4D617F" w:rsidRPr="004D617F">
            <w:rPr>
              <w:rFonts w:asciiTheme="minorHAnsi" w:hAnsiTheme="minorHAnsi" w:cs="Arial"/>
              <w:lang w:val="es-CO"/>
            </w:rPr>
            <w:t xml:space="preserve"> Cubrimiento de la estrategia de adaptación a la vida universitaria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B21CC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B21CC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8C9" w:rsidRDefault="003908C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0D38"/>
    <w:rsid w:val="000F28FB"/>
    <w:rsid w:val="000F3316"/>
    <w:rsid w:val="000F49D3"/>
    <w:rsid w:val="000F6A51"/>
    <w:rsid w:val="00101D9D"/>
    <w:rsid w:val="00103156"/>
    <w:rsid w:val="0010740B"/>
    <w:rsid w:val="00113273"/>
    <w:rsid w:val="001176FC"/>
    <w:rsid w:val="00124A24"/>
    <w:rsid w:val="00124D81"/>
    <w:rsid w:val="0012661A"/>
    <w:rsid w:val="00132A8C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B6980"/>
    <w:rsid w:val="001C01F5"/>
    <w:rsid w:val="001C0C19"/>
    <w:rsid w:val="001C296C"/>
    <w:rsid w:val="001C3EC1"/>
    <w:rsid w:val="001D17FE"/>
    <w:rsid w:val="001E485A"/>
    <w:rsid w:val="001E49E7"/>
    <w:rsid w:val="001F5100"/>
    <w:rsid w:val="001F5702"/>
    <w:rsid w:val="002006FB"/>
    <w:rsid w:val="00205372"/>
    <w:rsid w:val="002056C2"/>
    <w:rsid w:val="002114F6"/>
    <w:rsid w:val="002227C4"/>
    <w:rsid w:val="00223653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979C2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3699F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08C9"/>
    <w:rsid w:val="003964E4"/>
    <w:rsid w:val="003971FE"/>
    <w:rsid w:val="003A38CC"/>
    <w:rsid w:val="003A6C98"/>
    <w:rsid w:val="003A73F9"/>
    <w:rsid w:val="003A7B2D"/>
    <w:rsid w:val="003B2C2C"/>
    <w:rsid w:val="003C2B98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080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67CE6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17F"/>
    <w:rsid w:val="004D6845"/>
    <w:rsid w:val="004D7A56"/>
    <w:rsid w:val="004E7E4B"/>
    <w:rsid w:val="004F202E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7D9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2AC"/>
    <w:rsid w:val="005E4866"/>
    <w:rsid w:val="00602917"/>
    <w:rsid w:val="0060515A"/>
    <w:rsid w:val="0061031C"/>
    <w:rsid w:val="00613DBB"/>
    <w:rsid w:val="00614A3D"/>
    <w:rsid w:val="006154A0"/>
    <w:rsid w:val="00616AE0"/>
    <w:rsid w:val="0062405D"/>
    <w:rsid w:val="0063218B"/>
    <w:rsid w:val="00632F86"/>
    <w:rsid w:val="00640501"/>
    <w:rsid w:val="00645AD7"/>
    <w:rsid w:val="0065175C"/>
    <w:rsid w:val="006571A6"/>
    <w:rsid w:val="00664840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B6183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18D0"/>
    <w:rsid w:val="0071621E"/>
    <w:rsid w:val="007165F4"/>
    <w:rsid w:val="00716C84"/>
    <w:rsid w:val="007174A1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15F2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118A"/>
    <w:rsid w:val="007C4517"/>
    <w:rsid w:val="007D58B0"/>
    <w:rsid w:val="007E6943"/>
    <w:rsid w:val="007E6ED4"/>
    <w:rsid w:val="007F1918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41E"/>
    <w:rsid w:val="008A663B"/>
    <w:rsid w:val="008B0C4B"/>
    <w:rsid w:val="008B1106"/>
    <w:rsid w:val="008B1AA1"/>
    <w:rsid w:val="008B21CC"/>
    <w:rsid w:val="008C0B97"/>
    <w:rsid w:val="008C0F41"/>
    <w:rsid w:val="008C21A2"/>
    <w:rsid w:val="008C39DD"/>
    <w:rsid w:val="008C4760"/>
    <w:rsid w:val="008C56E9"/>
    <w:rsid w:val="008D2AA8"/>
    <w:rsid w:val="008D5771"/>
    <w:rsid w:val="008D7EDC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07D84"/>
    <w:rsid w:val="00912D92"/>
    <w:rsid w:val="00913A93"/>
    <w:rsid w:val="0091462A"/>
    <w:rsid w:val="00930D3E"/>
    <w:rsid w:val="00942926"/>
    <w:rsid w:val="00947BE5"/>
    <w:rsid w:val="00953228"/>
    <w:rsid w:val="0097292D"/>
    <w:rsid w:val="009801D8"/>
    <w:rsid w:val="00980E9D"/>
    <w:rsid w:val="00984162"/>
    <w:rsid w:val="009922C1"/>
    <w:rsid w:val="009924B1"/>
    <w:rsid w:val="009A1AA5"/>
    <w:rsid w:val="009A64FD"/>
    <w:rsid w:val="009A7BCE"/>
    <w:rsid w:val="009B62EB"/>
    <w:rsid w:val="009B76B7"/>
    <w:rsid w:val="009C17EA"/>
    <w:rsid w:val="009C417B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292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0445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68D4"/>
    <w:rsid w:val="00CB7A63"/>
    <w:rsid w:val="00CC24EE"/>
    <w:rsid w:val="00CC446B"/>
    <w:rsid w:val="00CD2ADE"/>
    <w:rsid w:val="00CE2B1B"/>
    <w:rsid w:val="00CE4D4D"/>
    <w:rsid w:val="00CE5957"/>
    <w:rsid w:val="00CE743C"/>
    <w:rsid w:val="00CF21E6"/>
    <w:rsid w:val="00D00A71"/>
    <w:rsid w:val="00D037B1"/>
    <w:rsid w:val="00D040CF"/>
    <w:rsid w:val="00D05344"/>
    <w:rsid w:val="00D05445"/>
    <w:rsid w:val="00D07176"/>
    <w:rsid w:val="00D07FB9"/>
    <w:rsid w:val="00D11420"/>
    <w:rsid w:val="00D169FA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6DE0"/>
    <w:rsid w:val="00D8015C"/>
    <w:rsid w:val="00D80394"/>
    <w:rsid w:val="00D81538"/>
    <w:rsid w:val="00D848D0"/>
    <w:rsid w:val="00D90733"/>
    <w:rsid w:val="00D92328"/>
    <w:rsid w:val="00DA5785"/>
    <w:rsid w:val="00DB0753"/>
    <w:rsid w:val="00DB108F"/>
    <w:rsid w:val="00DB1F45"/>
    <w:rsid w:val="00DB4EFC"/>
    <w:rsid w:val="00DB6CC7"/>
    <w:rsid w:val="00DB6EDB"/>
    <w:rsid w:val="00DC5DA0"/>
    <w:rsid w:val="00DC6280"/>
    <w:rsid w:val="00DC7631"/>
    <w:rsid w:val="00DC7A0A"/>
    <w:rsid w:val="00DE78CB"/>
    <w:rsid w:val="00DF099F"/>
    <w:rsid w:val="00DF1DDB"/>
    <w:rsid w:val="00E009B7"/>
    <w:rsid w:val="00E00E13"/>
    <w:rsid w:val="00E054D3"/>
    <w:rsid w:val="00E12BDA"/>
    <w:rsid w:val="00E170AF"/>
    <w:rsid w:val="00E24874"/>
    <w:rsid w:val="00E30539"/>
    <w:rsid w:val="00E35CDE"/>
    <w:rsid w:val="00E36606"/>
    <w:rsid w:val="00E37C2B"/>
    <w:rsid w:val="00E44F1F"/>
    <w:rsid w:val="00E53A15"/>
    <w:rsid w:val="00E664B2"/>
    <w:rsid w:val="00E736AE"/>
    <w:rsid w:val="00E73996"/>
    <w:rsid w:val="00E77EE8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0549D"/>
    <w:rsid w:val="00F1533D"/>
    <w:rsid w:val="00F244F1"/>
    <w:rsid w:val="00F24B46"/>
    <w:rsid w:val="00F27E6F"/>
    <w:rsid w:val="00F30B2E"/>
    <w:rsid w:val="00F31E54"/>
    <w:rsid w:val="00F43A75"/>
    <w:rsid w:val="00F47F07"/>
    <w:rsid w:val="00F50800"/>
    <w:rsid w:val="00F5465E"/>
    <w:rsid w:val="00F56736"/>
    <w:rsid w:val="00F576B4"/>
    <w:rsid w:val="00F643F0"/>
    <w:rsid w:val="00F6500E"/>
    <w:rsid w:val="00F75544"/>
    <w:rsid w:val="00F91389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0CCD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4FE86C7-4E4F-4931-905C-A23B5573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2016-10-28T22:21:00Z</dcterms:created>
  <dcterms:modified xsi:type="dcterms:W3CDTF">2019-05-22T15:12:00Z</dcterms:modified>
</cp:coreProperties>
</file>