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A469F">
              <w:rPr>
                <w:rFonts w:asciiTheme="minorHAnsi" w:hAnsiTheme="minorHAnsi" w:cs="Arial"/>
                <w:lang w:val="es-CO"/>
              </w:rPr>
              <w:t>BIE0203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160872" w:rsidRPr="00160872">
              <w:rPr>
                <w:rFonts w:asciiTheme="minorHAnsi" w:hAnsiTheme="minorHAnsi" w:cs="Arial"/>
                <w:lang w:val="es-CO"/>
              </w:rPr>
              <w:t>Porcentaje de la población vulnerable apoyada.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160872" w:rsidRPr="00160872">
              <w:rPr>
                <w:rFonts w:asciiTheme="minorHAnsi" w:hAnsiTheme="minorHAnsi" w:cs="Arial"/>
                <w:lang w:val="es-CO"/>
              </w:rPr>
              <w:t>Porcentaje de la población identificada en condición de vulnerabilidad (dentro de los grupos focales de atención) que solicita apoyo socioeconómico y que es atendida efectivamente.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160872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="00160872"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="00160872"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160872">
              <w:rPr>
                <w:rFonts w:asciiTheme="minorHAnsi" w:hAnsiTheme="minorHAnsi" w:cs="Arial"/>
                <w:lang w:val="es-CO"/>
              </w:rPr>
              <w:t>Medir</w:t>
            </w:r>
            <w:r w:rsidR="00160872" w:rsidRPr="00142D6E">
              <w:rPr>
                <w:rFonts w:asciiTheme="minorHAnsi" w:hAnsiTheme="minorHAnsi" w:cs="Arial"/>
                <w:lang w:val="es-CO"/>
              </w:rPr>
              <w:t xml:space="preserve"> el número de estudiantes identificados en condición de vulnerabilidad socioeconómica y psico-afectiva y que son beneficiados con los apoyos socioeconómicos ofrecidos por la Vicerrectoría.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B81962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160872" w:rsidRPr="00160872">
              <w:rPr>
                <w:rFonts w:asciiTheme="minorHAnsi" w:hAnsiTheme="minorHAnsi" w:cs="Arial"/>
                <w:lang w:val="es-CO"/>
              </w:rPr>
              <w:t xml:space="preserve">Bienestar </w:t>
            </w:r>
            <w:r w:rsidR="00B81962">
              <w:rPr>
                <w:rFonts w:asciiTheme="minorHAnsi" w:hAnsiTheme="minorHAnsi" w:cs="Arial"/>
                <w:lang w:val="es-CO"/>
              </w:rPr>
              <w:t>Institucional.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16087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160872" w:rsidRDefault="00160872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  <w:p w:rsidR="00160872" w:rsidRPr="004036F2" w:rsidRDefault="00160872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142D6E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F503E2" w:rsidRPr="00F503E2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F43A75" w:rsidRPr="004036F2" w:rsidTr="00266C7F">
        <w:trPr>
          <w:trHeight w:val="1670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B81962" w:rsidRDefault="00B81962" w:rsidP="00B81962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</w:p>
          <w:p w:rsidR="00746C16" w:rsidRPr="0039584D" w:rsidRDefault="00746C16" w:rsidP="00746C1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>FACTOR 2. ESTUDIANTES</w:t>
            </w:r>
          </w:p>
          <w:p w:rsidR="00746C16" w:rsidRPr="0039584D" w:rsidRDefault="00746C16" w:rsidP="00746C1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CARACTERISTICA 5. </w:t>
            </w:r>
            <w:r w:rsidRPr="003F1A8F">
              <w:rPr>
                <w:rFonts w:asciiTheme="minorHAnsi" w:hAnsiTheme="minorHAnsi" w:cs="Arial"/>
                <w:lang w:val="es-CO"/>
              </w:rPr>
              <w:t>Admisión y permanencia de estudiantes.</w:t>
            </w:r>
          </w:p>
          <w:p w:rsidR="00746C16" w:rsidRDefault="00746C16" w:rsidP="00746C1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ASPECTO B. </w:t>
            </w:r>
            <w:r w:rsidRPr="003F1A8F">
              <w:rPr>
                <w:rFonts w:asciiTheme="minorHAnsi" w:hAnsiTheme="minorHAnsi" w:cs="Arial"/>
                <w:lang w:val="es-CO"/>
              </w:rPr>
              <w:t>Estrategias que garanticen la integración de los estudiantes a la institución en consideración a su heterogeneidad social y cultural.</w:t>
            </w:r>
          </w:p>
          <w:p w:rsidR="00746C16" w:rsidRDefault="00746C16" w:rsidP="0039584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39584D" w:rsidRPr="0039584D" w:rsidRDefault="0039584D" w:rsidP="0039584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>FACTOR 2. ESTUDIANTES</w:t>
            </w:r>
          </w:p>
          <w:p w:rsidR="0039584D" w:rsidRPr="0039584D" w:rsidRDefault="0039584D" w:rsidP="0039584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CARACTERISTICA 6. </w:t>
            </w:r>
            <w:r w:rsidRPr="003F1A8F">
              <w:rPr>
                <w:rFonts w:asciiTheme="minorHAnsi" w:hAnsiTheme="minorHAnsi" w:cs="Arial"/>
                <w:lang w:val="es-CO"/>
              </w:rPr>
              <w:t>Sistemas de estímulos y créditos para estudiantes.</w:t>
            </w:r>
          </w:p>
          <w:p w:rsidR="0039584D" w:rsidRDefault="0039584D" w:rsidP="0039584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ASPECTO A. </w:t>
            </w:r>
            <w:r w:rsidRPr="003F1A8F">
              <w:rPr>
                <w:rFonts w:asciiTheme="minorHAnsi" w:hAnsiTheme="minorHAnsi" w:cs="Arial"/>
                <w:lang w:val="es-CO"/>
              </w:rPr>
              <w:t xml:space="preserve">Cumplimiento transparente de los criterios </w:t>
            </w:r>
            <w:r w:rsidR="007562C4" w:rsidRPr="003F1A8F">
              <w:rPr>
                <w:rFonts w:asciiTheme="minorHAnsi" w:hAnsiTheme="minorHAnsi" w:cs="Arial"/>
                <w:lang w:val="es-CO"/>
              </w:rPr>
              <w:t>para asignación</w:t>
            </w:r>
            <w:r w:rsidRPr="003F1A8F">
              <w:rPr>
                <w:rFonts w:asciiTheme="minorHAnsi" w:hAnsiTheme="minorHAnsi" w:cs="Arial"/>
                <w:lang w:val="es-CO"/>
              </w:rPr>
              <w:t xml:space="preserve"> de los apoyos estudiantiles.</w:t>
            </w:r>
            <w:r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39584D" w:rsidRDefault="0039584D" w:rsidP="0039584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46C16" w:rsidRPr="0039584D" w:rsidRDefault="00746C16" w:rsidP="00746C1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>FACTOR 7. PERTINENCIA E IMPACTO SOCIAL</w:t>
            </w:r>
          </w:p>
          <w:p w:rsidR="00746C16" w:rsidRPr="0039584D" w:rsidRDefault="00746C16" w:rsidP="00746C1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CARACTERISTICA 19. </w:t>
            </w:r>
            <w:r w:rsidRPr="003F1A8F">
              <w:rPr>
                <w:rFonts w:asciiTheme="minorHAnsi" w:hAnsiTheme="minorHAnsi" w:cs="Arial"/>
                <w:lang w:val="es-CO"/>
              </w:rPr>
              <w:t>Institución y entorno.</w:t>
            </w:r>
          </w:p>
          <w:p w:rsidR="00746C16" w:rsidRPr="003F1A8F" w:rsidRDefault="00746C16" w:rsidP="00746C1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ASPECTO I. </w:t>
            </w:r>
            <w:r w:rsidRPr="003F1A8F">
              <w:rPr>
                <w:rFonts w:asciiTheme="minorHAnsi" w:hAnsiTheme="minorHAnsi" w:cs="Arial"/>
                <w:lang w:val="es-CO"/>
              </w:rPr>
              <w:t>Presencia e impacto de acciones orientadas a poblaciones en condiciones de vulnerabilidad en el área de influencia de la institución.</w:t>
            </w:r>
          </w:p>
          <w:p w:rsidR="00746C16" w:rsidRPr="0039584D" w:rsidRDefault="00746C16" w:rsidP="00746C1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lastRenderedPageBreak/>
              <w:t>FACTOR 9. BIENESTAR INSTITUCIONAL</w:t>
            </w:r>
          </w:p>
          <w:p w:rsidR="00746C16" w:rsidRPr="003F1A8F" w:rsidRDefault="00746C16" w:rsidP="00746C1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CARACTERISTICA 24. </w:t>
            </w:r>
            <w:r w:rsidRPr="003F1A8F">
              <w:rPr>
                <w:rFonts w:asciiTheme="minorHAnsi" w:hAnsiTheme="minorHAnsi" w:cs="Arial"/>
                <w:lang w:val="es-CO"/>
              </w:rPr>
              <w:t xml:space="preserve">Estructura y funcionamiento del bienestar institucional </w:t>
            </w:r>
          </w:p>
          <w:p w:rsidR="00746C16" w:rsidRPr="003F1A8F" w:rsidRDefault="00746C16" w:rsidP="00746C1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ASPECTO A. </w:t>
            </w:r>
            <w:r w:rsidRPr="003F1A8F">
              <w:rPr>
                <w:rFonts w:asciiTheme="minorHAnsi" w:hAnsiTheme="minorHAnsi" w:cs="Arial"/>
                <w:lang w:val="es-CO"/>
              </w:rPr>
              <w:t xml:space="preserve">Existencia y aplicación de políticas de bienestar institucional. </w:t>
            </w:r>
          </w:p>
          <w:p w:rsidR="0039584D" w:rsidRPr="003F1A8F" w:rsidRDefault="0039584D" w:rsidP="0039584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ASPECTO B. </w:t>
            </w:r>
            <w:r w:rsidRPr="003F1A8F">
              <w:rPr>
                <w:rFonts w:asciiTheme="minorHAnsi" w:hAnsiTheme="minorHAnsi" w:cs="Arial"/>
                <w:lang w:val="es-CO"/>
              </w:rPr>
              <w:t>Descripción de los campos de acción y cobertura de los programas del bienestar universitario, sus usuarios y el impacto de sus programas.</w:t>
            </w:r>
          </w:p>
          <w:p w:rsidR="0039584D" w:rsidRPr="003F1A8F" w:rsidRDefault="0039584D" w:rsidP="0039584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ASPECTO F. </w:t>
            </w:r>
            <w:r w:rsidRPr="003F1A8F">
              <w:rPr>
                <w:rFonts w:asciiTheme="minorHAnsi" w:hAnsiTheme="minorHAnsi" w:cs="Arial"/>
                <w:lang w:val="es-CO"/>
              </w:rPr>
              <w:t xml:space="preserve">Evaluación periódica de los servicios ofrecidos. </w:t>
            </w:r>
          </w:p>
          <w:p w:rsidR="00462CE0" w:rsidRPr="003F1A8F" w:rsidRDefault="0039584D" w:rsidP="00746C1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584D">
              <w:rPr>
                <w:rFonts w:asciiTheme="minorHAnsi" w:hAnsiTheme="minorHAnsi" w:cs="Arial"/>
                <w:b/>
                <w:lang w:val="es-CO"/>
              </w:rPr>
              <w:t xml:space="preserve">ASPECTO H. </w:t>
            </w:r>
            <w:r w:rsidRPr="003F1A8F">
              <w:rPr>
                <w:rFonts w:asciiTheme="minorHAnsi" w:hAnsiTheme="minorHAnsi" w:cs="Arial"/>
                <w:lang w:val="es-CO"/>
              </w:rPr>
              <w:t>Estrategias orientadas a la inclusión de la población vulnerable y con discapacidad.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B8196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81962">
              <w:rPr>
                <w:rFonts w:asciiTheme="minorHAnsi" w:hAnsiTheme="minorHAnsi" w:cs="Arial"/>
                <w:lang w:val="es-CO"/>
              </w:rPr>
              <w:t xml:space="preserve">Vicerrectoría de </w:t>
            </w:r>
            <w:r w:rsidR="00B81962" w:rsidRPr="001132A4">
              <w:rPr>
                <w:rFonts w:asciiTheme="minorHAnsi" w:hAnsiTheme="minorHAnsi" w:cs="Arial"/>
                <w:lang w:val="es-CO"/>
              </w:rPr>
              <w:t>Responsabilidad Social y Bienestar Universitario</w:t>
            </w:r>
            <w:r w:rsidR="00B81962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B662E3" w:rsidRPr="003F7165" w:rsidRDefault="007B4CB6" w:rsidP="00B662E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B662E3" w:rsidRPr="003F7165">
              <w:rPr>
                <w:rFonts w:asciiTheme="minorHAnsi" w:hAnsiTheme="minorHAnsi" w:cs="Arial"/>
                <w:lang w:val="es-CO"/>
              </w:rPr>
              <w:t>(</w:t>
            </w:r>
            <w:r w:rsidR="00B662E3">
              <w:rPr>
                <w:rFonts w:asciiTheme="minorHAnsi" w:hAnsiTheme="minorHAnsi" w:cs="Arial"/>
                <w:lang w:val="es-CO"/>
              </w:rPr>
              <w:t>Observatorio Social – Vicerrectoría de Responsabilidad Social y Bienestar Universitario</w:t>
            </w:r>
            <w:r w:rsidR="00B662E3"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B662E3" w:rsidRPr="003F7165">
              <w:rPr>
                <w:rFonts w:asciiTheme="minorHAnsi" w:hAnsiTheme="minorHAnsi" w:cs="Arial"/>
                <w:lang w:val="es-CO"/>
              </w:rPr>
              <w:t>(</w:t>
            </w:r>
            <w:r w:rsidR="00B662E3">
              <w:rPr>
                <w:rFonts w:asciiTheme="minorHAnsi" w:hAnsiTheme="minorHAnsi" w:cs="Arial"/>
                <w:lang w:val="es-CO"/>
              </w:rPr>
              <w:t>Trabajo Social - Observatorio Social – Vicerrectoría de Responsabilidad Social y Bienestar Universitario</w:t>
            </w:r>
            <w:r w:rsidR="00B662E3" w:rsidRPr="003F7165">
              <w:rPr>
                <w:rFonts w:asciiTheme="minorHAnsi" w:hAnsiTheme="minorHAnsi" w:cs="Arial"/>
                <w:lang w:val="es-CO"/>
              </w:rPr>
              <w:t>)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B662E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B662E3">
              <w:rPr>
                <w:rFonts w:asciiTheme="minorHAnsi" w:hAnsiTheme="minorHAnsi" w:cs="Arial"/>
                <w:b/>
                <w:lang w:val="es-CO"/>
              </w:rPr>
              <w:t>29 de marzo 2016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F503E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F503E2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B662E3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4812EC" w:rsidRPr="004812EC" w:rsidRDefault="004812EC" w:rsidP="004812EC">
            <w:pPr>
              <w:pStyle w:val="Sinespaciado"/>
              <w:rPr>
                <w:rFonts w:asciiTheme="minorHAnsi" w:hAnsiTheme="minorHAnsi" w:cs="Arial"/>
              </w:rPr>
            </w:pPr>
            <w:r w:rsidRPr="004812EC">
              <w:rPr>
                <w:rFonts w:asciiTheme="minorHAnsi" w:hAnsiTheme="minorHAnsi" w:cs="Arial"/>
                <w:b/>
              </w:rPr>
              <w:t>Vulnerabilidad</w:t>
            </w:r>
            <w:r w:rsidRPr="004812EC">
              <w:rPr>
                <w:rFonts w:asciiTheme="minorHAnsi" w:hAnsiTheme="minorHAnsi" w:cs="Arial"/>
              </w:rPr>
              <w:t>: Por "vulnerabilidad" se entiende las características de una persona o grupo desde el punto de vista de su capacidad para anticipar, sobrevivir, resistir y recuperarse del impacto de una amenaza natural, implicando una combinación de factores que determinan el grado hasta el cual la vida y la subsistencia de alguien queda en riesgo por un evento distinto e identificable de la naturaleza o de la sociedad.</w:t>
            </w:r>
          </w:p>
          <w:p w:rsidR="004812EC" w:rsidRPr="004812EC" w:rsidRDefault="004812EC" w:rsidP="004812EC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4812EC" w:rsidRPr="004812EC" w:rsidRDefault="004812EC" w:rsidP="004812EC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4812EC">
              <w:rPr>
                <w:rFonts w:asciiTheme="minorHAnsi" w:hAnsiTheme="minorHAnsi" w:cs="Arial"/>
                <w:b/>
              </w:rPr>
              <w:t xml:space="preserve">Bonos de donaciones y de matrículas: </w:t>
            </w:r>
            <w:r w:rsidRPr="004812EC">
              <w:rPr>
                <w:rFonts w:asciiTheme="minorHAnsi" w:hAnsiTheme="minorHAnsi" w:cs="Arial"/>
              </w:rPr>
              <w:t>Se asume el 100% del valor correspondiente a la matrícula de estudiantes nuevos y antiguos respectivamente.</w:t>
            </w:r>
          </w:p>
          <w:p w:rsidR="004812EC" w:rsidRPr="004812EC" w:rsidRDefault="004812EC" w:rsidP="004812EC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p w:rsidR="004812EC" w:rsidRPr="004812EC" w:rsidRDefault="004812EC" w:rsidP="004812EC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4812EC">
              <w:rPr>
                <w:rFonts w:asciiTheme="minorHAnsi" w:hAnsiTheme="minorHAnsi" w:cs="Arial"/>
                <w:b/>
              </w:rPr>
              <w:t xml:space="preserve">Bono de transporte: </w:t>
            </w:r>
            <w:r w:rsidRPr="004812EC">
              <w:rPr>
                <w:rFonts w:asciiTheme="minorHAnsi" w:hAnsiTheme="minorHAnsi" w:cs="Arial"/>
              </w:rPr>
              <w:t>Entrega 2 tiquetes para desplazamiento diario desde el lugar de residencia a la universidad y su retorno.</w:t>
            </w:r>
          </w:p>
          <w:p w:rsidR="004812EC" w:rsidRPr="004812EC" w:rsidRDefault="004812EC" w:rsidP="004812EC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4812EC">
              <w:rPr>
                <w:rFonts w:asciiTheme="minorHAnsi" w:hAnsiTheme="minorHAnsi" w:cs="Arial"/>
                <w:b/>
              </w:rPr>
              <w:lastRenderedPageBreak/>
              <w:t xml:space="preserve">Bono de alimentación: </w:t>
            </w:r>
            <w:r w:rsidRPr="004812EC">
              <w:rPr>
                <w:rFonts w:asciiTheme="minorHAnsi" w:hAnsiTheme="minorHAnsi" w:cs="Arial"/>
              </w:rPr>
              <w:t>Entrega un almuerzo diario de lunes a viernes durante todo el semestre.</w:t>
            </w:r>
          </w:p>
          <w:p w:rsidR="004812EC" w:rsidRPr="004812EC" w:rsidRDefault="004812EC" w:rsidP="004812EC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4812EC" w:rsidRPr="004812EC" w:rsidRDefault="004812EC" w:rsidP="004812EC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4812EC">
              <w:rPr>
                <w:rFonts w:asciiTheme="minorHAnsi" w:hAnsiTheme="minorHAnsi" w:cs="Arial"/>
                <w:b/>
              </w:rPr>
              <w:t xml:space="preserve">Monitoria social: </w:t>
            </w:r>
            <w:r w:rsidRPr="004812EC">
              <w:rPr>
                <w:rFonts w:asciiTheme="minorHAnsi" w:hAnsiTheme="minorHAnsi" w:cs="Arial"/>
              </w:rPr>
              <w:t>Apoyos administrativos en dependencias en proyectos, que los estudiantes realizan, y por los cuales reciben una bonificación en efectivo. Obedeciendo a un proceso de formación.</w:t>
            </w:r>
          </w:p>
          <w:p w:rsidR="004812EC" w:rsidRPr="004812EC" w:rsidRDefault="004812EC" w:rsidP="004812EC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p w:rsidR="004812EC" w:rsidRDefault="004812EC" w:rsidP="004812EC">
            <w:pPr>
              <w:spacing w:line="0" w:lineRule="atLeast"/>
              <w:rPr>
                <w:rFonts w:asciiTheme="minorHAnsi" w:hAnsiTheme="minorHAnsi" w:cs="Arial"/>
              </w:rPr>
            </w:pPr>
            <w:r w:rsidRPr="004812EC">
              <w:rPr>
                <w:rFonts w:asciiTheme="minorHAnsi" w:hAnsiTheme="minorHAnsi" w:cs="Arial"/>
                <w:b/>
              </w:rPr>
              <w:t xml:space="preserve">Servicio médico: </w:t>
            </w:r>
            <w:r w:rsidRPr="004812EC">
              <w:rPr>
                <w:rFonts w:asciiTheme="minorHAnsi" w:hAnsiTheme="minorHAnsi" w:cs="Arial"/>
              </w:rPr>
              <w:t>Brinda la oportunidad a aquellos estudiantes que no cuentan con un sistema de salud que los cubra, de ser atendidos en los servicios médicos de la universidad, con una atención básica y primaria.</w:t>
            </w:r>
          </w:p>
          <w:p w:rsidR="00005EC1" w:rsidRPr="004812EC" w:rsidRDefault="00005EC1" w:rsidP="004812EC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p w:rsidR="008C0138" w:rsidRDefault="004812EC" w:rsidP="004812EC">
            <w:pPr>
              <w:spacing w:line="0" w:lineRule="atLeast"/>
              <w:rPr>
                <w:rFonts w:asciiTheme="minorHAnsi" w:hAnsiTheme="minorHAnsi" w:cs="Arial"/>
              </w:rPr>
            </w:pPr>
            <w:r w:rsidRPr="004812EC">
              <w:rPr>
                <w:rFonts w:asciiTheme="minorHAnsi" w:hAnsiTheme="minorHAnsi" w:cs="Arial"/>
                <w:b/>
              </w:rPr>
              <w:t xml:space="preserve">Re-liquidación de matrícula: </w:t>
            </w:r>
            <w:r w:rsidRPr="004812EC">
              <w:rPr>
                <w:rFonts w:asciiTheme="minorHAnsi" w:hAnsiTheme="minorHAnsi" w:cs="Arial"/>
              </w:rPr>
              <w:t>Posibilita la revisión del valor correspondiente a la matricula por cambios generados en la situación socioeconómica del estudiante o su proveedor económico, desde su ingreso hasta la fecha que lo solicita.</w:t>
            </w:r>
          </w:p>
          <w:p w:rsidR="00D241CD" w:rsidRPr="004812EC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4812EC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4812EC" w:rsidRPr="00D037B1" w:rsidRDefault="004812EC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C74522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D241CD" w:rsidRPr="00142D6E" w:rsidRDefault="00C74522" w:rsidP="00142D6E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C74522">
              <w:rPr>
                <w:rFonts w:asciiTheme="minorHAnsi" w:hAnsiTheme="minorHAnsi" w:cs="Arial"/>
                <w:szCs w:val="20"/>
              </w:rPr>
              <w:t xml:space="preserve">Número de estudiantes que reciben apoyos socioeconómicos </w:t>
            </w:r>
            <w:r w:rsidRPr="00B00A21">
              <w:rPr>
                <w:rFonts w:asciiTheme="minorHAnsi" w:hAnsiTheme="minorHAnsi" w:cs="Arial"/>
                <w:b/>
                <w:sz w:val="32"/>
                <w:szCs w:val="20"/>
              </w:rPr>
              <w:t>/</w:t>
            </w:r>
            <w:r w:rsidRPr="00C74522">
              <w:rPr>
                <w:rFonts w:asciiTheme="minorHAnsi" w:hAnsiTheme="minorHAnsi" w:cs="Arial"/>
                <w:szCs w:val="20"/>
              </w:rPr>
              <w:t xml:space="preserve"> Número de estudiantes identificados dentro de los grupos focales de atención que solicitan apoyo socioeconómico</w:t>
            </w:r>
            <w:r w:rsidR="00B00A21">
              <w:rPr>
                <w:rFonts w:asciiTheme="minorHAnsi" w:hAnsiTheme="minorHAnsi" w:cs="Arial"/>
                <w:szCs w:val="20"/>
              </w:rPr>
              <w:t>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C75D9" w:rsidRPr="00D037B1" w:rsidRDefault="00DC4570" w:rsidP="00DC457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C4570">
              <w:rPr>
                <w:rFonts w:asciiTheme="minorHAnsi" w:hAnsiTheme="minorHAnsi" w:cs="Arial"/>
                <w:szCs w:val="20"/>
              </w:rPr>
              <w:t>Se mide el número de estudiantes atendidos en los programas de apoyo de la vicerrectoría de RSBU con relación a los estudiantes que son identificados en condición de vulnerabilidad mediante los procedimientos establecidos para tal fin en la Vicerrectoría.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11"/>
              <w:gridCol w:w="2014"/>
              <w:gridCol w:w="1755"/>
              <w:gridCol w:w="2234"/>
              <w:gridCol w:w="920"/>
              <w:gridCol w:w="1028"/>
            </w:tblGrid>
            <w:tr w:rsidR="003204A5" w:rsidRPr="00D000DC" w:rsidTr="004D4CD0">
              <w:trPr>
                <w:trHeight w:val="1020"/>
                <w:jc w:val="center"/>
              </w:trPr>
              <w:tc>
                <w:tcPr>
                  <w:tcW w:w="0" w:type="auto"/>
                  <w:shd w:val="clear" w:color="auto" w:fill="8DB3E2" w:themeFill="text2" w:themeFillTint="66"/>
                  <w:vAlign w:val="center"/>
                </w:tcPr>
                <w:p w:rsidR="003204A5" w:rsidRPr="004D4CD0" w:rsidRDefault="003204A5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16"/>
                    </w:rPr>
                  </w:pPr>
                  <w:r w:rsidRPr="004D4CD0">
                    <w:rPr>
                      <w:rFonts w:ascii="Arial" w:hAnsi="Arial" w:cs="Arial"/>
                      <w:b/>
                      <w:noProof/>
                      <w:sz w:val="20"/>
                      <w:szCs w:val="16"/>
                    </w:rPr>
                    <w:t>Tipo doc.</w:t>
                  </w:r>
                </w:p>
              </w:tc>
              <w:tc>
                <w:tcPr>
                  <w:tcW w:w="0" w:type="auto"/>
                  <w:shd w:val="clear" w:color="auto" w:fill="8DB3E2" w:themeFill="text2" w:themeFillTint="66"/>
                  <w:vAlign w:val="center"/>
                </w:tcPr>
                <w:p w:rsidR="003204A5" w:rsidRPr="004D4CD0" w:rsidRDefault="003204A5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noProof/>
                      <w:sz w:val="20"/>
                      <w:szCs w:val="16"/>
                    </w:rPr>
                  </w:pPr>
                  <w:r w:rsidRPr="004D4CD0">
                    <w:rPr>
                      <w:rFonts w:ascii="Arial" w:hAnsi="Arial" w:cs="Arial"/>
                      <w:b/>
                      <w:noProof/>
                      <w:sz w:val="20"/>
                      <w:szCs w:val="16"/>
                    </w:rPr>
                    <w:t>Número de identificación</w:t>
                  </w:r>
                </w:p>
              </w:tc>
              <w:tc>
                <w:tcPr>
                  <w:tcW w:w="0" w:type="auto"/>
                  <w:shd w:val="clear" w:color="auto" w:fill="8DB3E2" w:themeFill="text2" w:themeFillTint="66"/>
                  <w:noWrap/>
                  <w:vAlign w:val="center"/>
                </w:tcPr>
                <w:p w:rsidR="003204A5" w:rsidRPr="004D4CD0" w:rsidRDefault="003204A5" w:rsidP="007F24B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sz w:val="20"/>
                      <w:szCs w:val="16"/>
                      <w:lang w:val="es-CO" w:eastAsia="es-CO"/>
                    </w:rPr>
                  </w:pPr>
                  <w:r w:rsidRPr="004D4CD0">
                    <w:rPr>
                      <w:rFonts w:ascii="Calibri" w:hAnsi="Calibri"/>
                      <w:b/>
                      <w:sz w:val="20"/>
                      <w:szCs w:val="16"/>
                      <w:lang w:val="es-CO" w:eastAsia="es-CO"/>
                    </w:rPr>
                    <w:t>Nombre y apellidos</w:t>
                  </w:r>
                </w:p>
              </w:tc>
              <w:tc>
                <w:tcPr>
                  <w:tcW w:w="0" w:type="auto"/>
                  <w:shd w:val="clear" w:color="auto" w:fill="8DB3E2" w:themeFill="text2" w:themeFillTint="66"/>
                  <w:vAlign w:val="center"/>
                </w:tcPr>
                <w:p w:rsidR="003204A5" w:rsidRPr="004D4CD0" w:rsidRDefault="003204A5" w:rsidP="007F24B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sz w:val="20"/>
                      <w:szCs w:val="16"/>
                      <w:lang w:val="es-CO" w:eastAsia="es-CO"/>
                    </w:rPr>
                  </w:pPr>
                  <w:r w:rsidRPr="004D4CD0">
                    <w:rPr>
                      <w:rFonts w:ascii="Calibri" w:hAnsi="Calibri"/>
                      <w:b/>
                      <w:sz w:val="20"/>
                      <w:szCs w:val="16"/>
                      <w:lang w:val="es-CO" w:eastAsia="es-CO"/>
                    </w:rPr>
                    <w:t>Programa académico / dependencia</w:t>
                  </w:r>
                </w:p>
              </w:tc>
              <w:tc>
                <w:tcPr>
                  <w:tcW w:w="0" w:type="auto"/>
                  <w:shd w:val="clear" w:color="auto" w:fill="8DB3E2" w:themeFill="text2" w:themeFillTint="66"/>
                  <w:vAlign w:val="center"/>
                </w:tcPr>
                <w:p w:rsidR="003204A5" w:rsidRPr="004D4CD0" w:rsidRDefault="003204A5" w:rsidP="007F24B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sz w:val="20"/>
                      <w:szCs w:val="16"/>
                      <w:lang w:val="es-CO" w:eastAsia="es-CO"/>
                    </w:rPr>
                  </w:pPr>
                  <w:r w:rsidRPr="004D4CD0">
                    <w:rPr>
                      <w:rFonts w:ascii="Calibri" w:hAnsi="Calibri"/>
                      <w:b/>
                      <w:sz w:val="20"/>
                      <w:szCs w:val="16"/>
                      <w:lang w:val="es-CO" w:eastAsia="es-CO"/>
                    </w:rPr>
                    <w:t>Semestre</w:t>
                  </w:r>
                </w:p>
              </w:tc>
              <w:tc>
                <w:tcPr>
                  <w:tcW w:w="0" w:type="auto"/>
                  <w:shd w:val="clear" w:color="auto" w:fill="8DB3E2" w:themeFill="text2" w:themeFillTint="66"/>
                  <w:vAlign w:val="center"/>
                </w:tcPr>
                <w:p w:rsidR="003204A5" w:rsidRPr="004D4CD0" w:rsidRDefault="003204A5" w:rsidP="007F24B2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sz w:val="20"/>
                      <w:szCs w:val="16"/>
                      <w:lang w:val="es-CO" w:eastAsia="es-CO"/>
                    </w:rPr>
                  </w:pPr>
                  <w:r w:rsidRPr="004D4CD0">
                    <w:rPr>
                      <w:rFonts w:ascii="Calibri" w:hAnsi="Calibri"/>
                      <w:b/>
                      <w:sz w:val="20"/>
                      <w:szCs w:val="16"/>
                      <w:lang w:val="es-CO" w:eastAsia="es-CO"/>
                    </w:rPr>
                    <w:t>Es Atendido</w:t>
                  </w:r>
                </w:p>
              </w:tc>
            </w:tr>
          </w:tbl>
          <w:p w:rsidR="00C01AC4" w:rsidRPr="00D037B1" w:rsidRDefault="00C01AC4" w:rsidP="00A64B4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59"/>
              <w:gridCol w:w="1289"/>
            </w:tblGrid>
            <w:tr w:rsidR="004D4CD0" w:rsidRPr="00564B21" w:rsidTr="007F24B2">
              <w:trPr>
                <w:trHeight w:val="450"/>
                <w:jc w:val="center"/>
              </w:trPr>
              <w:tc>
                <w:tcPr>
                  <w:tcW w:w="4359" w:type="dxa"/>
                  <w:shd w:val="clear" w:color="auto" w:fill="17365D" w:themeFill="text2" w:themeFillShade="BF"/>
                  <w:vAlign w:val="center"/>
                </w:tcPr>
                <w:p w:rsidR="004D4CD0" w:rsidRPr="00564B21" w:rsidRDefault="004D4CD0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bookmarkStart w:id="1" w:name="OLE_LINK1"/>
                  <w:bookmarkStart w:id="2" w:name="OLE_LINK2"/>
                  <w:r w:rsidRPr="00564B21">
                    <w:rPr>
                      <w:rFonts w:ascii="Arial" w:hAnsi="Arial" w:cs="Arial"/>
                      <w:b/>
                      <w:sz w:val="20"/>
                      <w:szCs w:val="20"/>
                    </w:rPr>
                    <w:t>Variable</w:t>
                  </w:r>
                </w:p>
              </w:tc>
              <w:tc>
                <w:tcPr>
                  <w:tcW w:w="1289" w:type="dxa"/>
                  <w:shd w:val="clear" w:color="auto" w:fill="17365D" w:themeFill="text2" w:themeFillShade="BF"/>
                  <w:vAlign w:val="center"/>
                </w:tcPr>
                <w:p w:rsidR="004D4CD0" w:rsidRPr="00564B21" w:rsidRDefault="004D4CD0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64B21">
                    <w:rPr>
                      <w:rFonts w:ascii="Arial" w:hAnsi="Arial" w:cs="Arial"/>
                      <w:b/>
                      <w:sz w:val="20"/>
                      <w:szCs w:val="20"/>
                    </w:rPr>
                    <w:t>Resultado</w:t>
                  </w:r>
                </w:p>
              </w:tc>
            </w:tr>
            <w:tr w:rsidR="004D4CD0" w:rsidRPr="00564B21" w:rsidTr="007F24B2">
              <w:trPr>
                <w:trHeight w:val="481"/>
                <w:jc w:val="center"/>
              </w:trPr>
              <w:tc>
                <w:tcPr>
                  <w:tcW w:w="4359" w:type="dxa"/>
                  <w:vAlign w:val="center"/>
                </w:tcPr>
                <w:p w:rsidR="004D4CD0" w:rsidRPr="00564B21" w:rsidRDefault="004D4CD0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74522">
                    <w:rPr>
                      <w:rFonts w:asciiTheme="minorHAnsi" w:hAnsiTheme="minorHAnsi" w:cs="Arial"/>
                      <w:szCs w:val="20"/>
                    </w:rPr>
                    <w:t>Número de estudiantes que reciben apoyos socioeconómicos</w:t>
                  </w:r>
                </w:p>
              </w:tc>
              <w:tc>
                <w:tcPr>
                  <w:tcW w:w="1289" w:type="dxa"/>
                  <w:vAlign w:val="center"/>
                </w:tcPr>
                <w:p w:rsidR="004D4CD0" w:rsidRPr="00564B21" w:rsidRDefault="004D4CD0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D4CD0" w:rsidRPr="00564B21" w:rsidTr="007F24B2">
              <w:trPr>
                <w:trHeight w:val="916"/>
                <w:jc w:val="center"/>
              </w:trPr>
              <w:tc>
                <w:tcPr>
                  <w:tcW w:w="4359" w:type="dxa"/>
                  <w:vAlign w:val="center"/>
                </w:tcPr>
                <w:p w:rsidR="004D4CD0" w:rsidRPr="004D4CD0" w:rsidRDefault="004D4CD0" w:rsidP="004D4CD0">
                  <w:pPr>
                    <w:spacing w:line="0" w:lineRule="atLeast"/>
                    <w:rPr>
                      <w:rFonts w:asciiTheme="minorHAnsi" w:hAnsiTheme="minorHAnsi" w:cs="Arial"/>
                      <w:szCs w:val="20"/>
                    </w:rPr>
                  </w:pPr>
                  <w:r w:rsidRPr="00C74522">
                    <w:rPr>
                      <w:rFonts w:asciiTheme="minorHAnsi" w:hAnsiTheme="minorHAnsi" w:cs="Arial"/>
                      <w:szCs w:val="20"/>
                    </w:rPr>
                    <w:t>Número de estudiantes identificados dentro de los grupos focales de atención que solicitan apoyo socioeconómico</w:t>
                  </w:r>
                  <w:r>
                    <w:rPr>
                      <w:rFonts w:asciiTheme="minorHAnsi" w:hAnsiTheme="minorHAnsi" w:cs="Arial"/>
                      <w:szCs w:val="20"/>
                    </w:rPr>
                    <w:t>.</w:t>
                  </w:r>
                </w:p>
              </w:tc>
              <w:tc>
                <w:tcPr>
                  <w:tcW w:w="1289" w:type="dxa"/>
                  <w:vAlign w:val="center"/>
                </w:tcPr>
                <w:p w:rsidR="004D4CD0" w:rsidRPr="00564B21" w:rsidRDefault="004D4CD0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D4CD0" w:rsidRPr="00564B21" w:rsidTr="007F24B2">
              <w:trPr>
                <w:trHeight w:val="488"/>
                <w:jc w:val="center"/>
              </w:trPr>
              <w:tc>
                <w:tcPr>
                  <w:tcW w:w="4359" w:type="dxa"/>
                  <w:shd w:val="clear" w:color="auto" w:fill="8DB3E2" w:themeFill="text2" w:themeFillTint="66"/>
                  <w:vAlign w:val="center"/>
                </w:tcPr>
                <w:p w:rsidR="004D4CD0" w:rsidRPr="00564B21" w:rsidRDefault="004D4CD0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60872">
                    <w:rPr>
                      <w:rFonts w:asciiTheme="minorHAnsi" w:hAnsiTheme="minorHAnsi" w:cs="Arial"/>
                      <w:lang w:val="es-CO"/>
                    </w:rPr>
                    <w:t>Porcentaje de la población vulnerable apoyada</w:t>
                  </w:r>
                </w:p>
              </w:tc>
              <w:tc>
                <w:tcPr>
                  <w:tcW w:w="1289" w:type="dxa"/>
                  <w:shd w:val="clear" w:color="auto" w:fill="8DB3E2" w:themeFill="text2" w:themeFillTint="66"/>
                  <w:vAlign w:val="center"/>
                </w:tcPr>
                <w:p w:rsidR="004D4CD0" w:rsidRPr="00564B21" w:rsidRDefault="004D4CD0" w:rsidP="007F24B2">
                  <w:pPr>
                    <w:spacing w:line="0" w:lineRule="atLeas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bookmarkEnd w:id="1"/>
            <w:bookmarkEnd w:id="2"/>
          </w:tbl>
          <w:p w:rsidR="004D4CD0" w:rsidRPr="00D037B1" w:rsidRDefault="004D4CD0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Default="0091462A" w:rsidP="00F56736">
      <w:pPr>
        <w:spacing w:line="0" w:lineRule="atLeast"/>
        <w:rPr>
          <w:rFonts w:asciiTheme="minorHAnsi" w:hAnsiTheme="minorHAnsi"/>
        </w:rPr>
      </w:pPr>
    </w:p>
    <w:p w:rsidR="003F1A8F" w:rsidRPr="00D037B1" w:rsidRDefault="003F1A8F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D26" w:rsidRDefault="00B94D26">
      <w:r>
        <w:separator/>
      </w:r>
    </w:p>
  </w:endnote>
  <w:endnote w:type="continuationSeparator" w:id="0">
    <w:p w:rsidR="00B94D26" w:rsidRDefault="00B9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D26" w:rsidRDefault="00B94D26">
      <w:r>
        <w:separator/>
      </w:r>
    </w:p>
  </w:footnote>
  <w:footnote w:type="continuationSeparator" w:id="0">
    <w:p w:rsidR="00B94D26" w:rsidRDefault="00B94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37B4014" wp14:editId="0A56277F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7E6D1C">
            <w:rPr>
              <w:rFonts w:asciiTheme="minorHAnsi" w:hAnsiTheme="minorHAnsi" w:cs="Arial"/>
              <w:b/>
            </w:rPr>
            <w:t>GESTIÓN SOCIAL - POBLACIÓN VULNERABLE APOYADA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7E6D1C" w:rsidRPr="00160872">
            <w:rPr>
              <w:rFonts w:asciiTheme="minorHAnsi" w:hAnsiTheme="minorHAnsi" w:cs="Arial"/>
              <w:lang w:val="es-CO"/>
            </w:rPr>
            <w:t xml:space="preserve"> Porcentaje de la población vulnerable apoyada.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F503E2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F503E2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5EC1"/>
    <w:rsid w:val="000072F7"/>
    <w:rsid w:val="00010122"/>
    <w:rsid w:val="000118BB"/>
    <w:rsid w:val="00012C6F"/>
    <w:rsid w:val="00013C40"/>
    <w:rsid w:val="00017131"/>
    <w:rsid w:val="000230D8"/>
    <w:rsid w:val="000301E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42D6E"/>
    <w:rsid w:val="00160872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B2064"/>
    <w:rsid w:val="001C0178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66C7F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E5FC2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04A5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584D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1A8F"/>
    <w:rsid w:val="003F7165"/>
    <w:rsid w:val="0040098C"/>
    <w:rsid w:val="004036F2"/>
    <w:rsid w:val="0040649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62CE0"/>
    <w:rsid w:val="00470821"/>
    <w:rsid w:val="00471699"/>
    <w:rsid w:val="00477120"/>
    <w:rsid w:val="0047742E"/>
    <w:rsid w:val="00477EAB"/>
    <w:rsid w:val="004812EC"/>
    <w:rsid w:val="0048394E"/>
    <w:rsid w:val="004846BA"/>
    <w:rsid w:val="004870E4"/>
    <w:rsid w:val="00493C78"/>
    <w:rsid w:val="004A03EC"/>
    <w:rsid w:val="004A1524"/>
    <w:rsid w:val="004A2B08"/>
    <w:rsid w:val="004A3746"/>
    <w:rsid w:val="004A469F"/>
    <w:rsid w:val="004A5674"/>
    <w:rsid w:val="004B13B6"/>
    <w:rsid w:val="004B39A1"/>
    <w:rsid w:val="004C07CE"/>
    <w:rsid w:val="004C2D13"/>
    <w:rsid w:val="004C4832"/>
    <w:rsid w:val="004C77F3"/>
    <w:rsid w:val="004D3142"/>
    <w:rsid w:val="004D4CD0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3374C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2952"/>
    <w:rsid w:val="006D55B9"/>
    <w:rsid w:val="006D68F1"/>
    <w:rsid w:val="006E2048"/>
    <w:rsid w:val="006E45D4"/>
    <w:rsid w:val="006E7F1B"/>
    <w:rsid w:val="006F0850"/>
    <w:rsid w:val="006F1844"/>
    <w:rsid w:val="006F2145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46C16"/>
    <w:rsid w:val="007562C4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D1C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138"/>
    <w:rsid w:val="008C0B97"/>
    <w:rsid w:val="008C0F41"/>
    <w:rsid w:val="008C21A2"/>
    <w:rsid w:val="008C39DD"/>
    <w:rsid w:val="008C4760"/>
    <w:rsid w:val="008C56E9"/>
    <w:rsid w:val="008D19D5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56484"/>
    <w:rsid w:val="0097292D"/>
    <w:rsid w:val="009801D8"/>
    <w:rsid w:val="00980474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D3FC8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569ED"/>
    <w:rsid w:val="00A61513"/>
    <w:rsid w:val="00A63B68"/>
    <w:rsid w:val="00A64B4C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4326"/>
    <w:rsid w:val="00AE7DC8"/>
    <w:rsid w:val="00AF1DD5"/>
    <w:rsid w:val="00AF3D94"/>
    <w:rsid w:val="00AF4897"/>
    <w:rsid w:val="00B008A3"/>
    <w:rsid w:val="00B00A21"/>
    <w:rsid w:val="00B01685"/>
    <w:rsid w:val="00B049AE"/>
    <w:rsid w:val="00B05843"/>
    <w:rsid w:val="00B114CF"/>
    <w:rsid w:val="00B1186C"/>
    <w:rsid w:val="00B12C28"/>
    <w:rsid w:val="00B203CF"/>
    <w:rsid w:val="00B21911"/>
    <w:rsid w:val="00B244F9"/>
    <w:rsid w:val="00B41567"/>
    <w:rsid w:val="00B429BC"/>
    <w:rsid w:val="00B53B3F"/>
    <w:rsid w:val="00B662E3"/>
    <w:rsid w:val="00B667D5"/>
    <w:rsid w:val="00B66BFD"/>
    <w:rsid w:val="00B670A4"/>
    <w:rsid w:val="00B67736"/>
    <w:rsid w:val="00B7098E"/>
    <w:rsid w:val="00B72A46"/>
    <w:rsid w:val="00B764E7"/>
    <w:rsid w:val="00B81962"/>
    <w:rsid w:val="00B82099"/>
    <w:rsid w:val="00B825E1"/>
    <w:rsid w:val="00B83C9D"/>
    <w:rsid w:val="00B941C8"/>
    <w:rsid w:val="00B948F0"/>
    <w:rsid w:val="00B94D26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4522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4570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2E2C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74DB1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1F65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3E2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C61C2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0042736-6465-4417-B832-2F7927BC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4812EC"/>
    <w:pPr>
      <w:widowControl w:val="0"/>
      <w:adjustRightInd w:val="0"/>
      <w:jc w:val="both"/>
      <w:textAlignment w:val="baseline"/>
    </w:pPr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4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823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23</cp:revision>
  <cp:lastPrinted>2008-11-24T15:14:00Z</cp:lastPrinted>
  <dcterms:created xsi:type="dcterms:W3CDTF">2016-03-30T16:06:00Z</dcterms:created>
  <dcterms:modified xsi:type="dcterms:W3CDTF">2019-05-22T15:14:00Z</dcterms:modified>
</cp:coreProperties>
</file>