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A6EDE" w:rsidRPr="006A6EDE">
              <w:rPr>
                <w:rFonts w:asciiTheme="minorHAnsi" w:hAnsiTheme="minorHAnsi" w:cs="Arial"/>
                <w:b/>
                <w:lang w:val="es-CO"/>
              </w:rPr>
              <w:t>INV0302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3D59E3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290BBD" w:rsidRPr="00290BBD">
              <w:rPr>
                <w:rFonts w:asciiTheme="minorHAnsi" w:hAnsiTheme="minorHAnsi" w:cs="Arial"/>
                <w:lang w:val="es-CO"/>
              </w:rPr>
              <w:t xml:space="preserve">Número de actividades de </w:t>
            </w:r>
            <w:r w:rsidR="003D59E3">
              <w:rPr>
                <w:rFonts w:asciiTheme="minorHAnsi" w:hAnsiTheme="minorHAnsi" w:cs="Arial"/>
                <w:lang w:val="es-CO"/>
              </w:rPr>
              <w:t>Extensión Universitaria.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3D59E3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641B45">
              <w:rPr>
                <w:rFonts w:asciiTheme="minorHAnsi" w:hAnsiTheme="minorHAnsi" w:cs="Arial"/>
                <w:lang w:val="es-CO"/>
              </w:rPr>
              <w:t xml:space="preserve">Representa el número </w:t>
            </w:r>
            <w:r w:rsidR="00290BBD" w:rsidRPr="00290BBD">
              <w:rPr>
                <w:rFonts w:asciiTheme="minorHAnsi" w:hAnsiTheme="minorHAnsi" w:cs="Arial"/>
                <w:lang w:val="es-CO"/>
              </w:rPr>
              <w:t>de actividades de e</w:t>
            </w:r>
            <w:r w:rsidR="003D59E3">
              <w:rPr>
                <w:rFonts w:asciiTheme="minorHAnsi" w:hAnsiTheme="minorHAnsi" w:cs="Arial"/>
                <w:lang w:val="es-CO"/>
              </w:rPr>
              <w:t>xtensión Universitaria bajo las modalidades de Educación continua, Servicios Académicos de Extensión, Servicios de Laboratorio.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CD01C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3D59E3">
              <w:rPr>
                <w:rFonts w:asciiTheme="minorHAnsi" w:hAnsiTheme="minorHAnsi" w:cs="Arial"/>
                <w:lang w:val="es-CO"/>
              </w:rPr>
              <w:t>Medir</w:t>
            </w:r>
            <w:r w:rsidR="00D8036C">
              <w:rPr>
                <w:rFonts w:asciiTheme="minorHAnsi" w:hAnsiTheme="minorHAnsi" w:cs="Arial"/>
                <w:lang w:val="es-CO"/>
              </w:rPr>
              <w:t xml:space="preserve"> el </w:t>
            </w:r>
            <w:r w:rsidR="00290BBD">
              <w:rPr>
                <w:rFonts w:asciiTheme="minorHAnsi" w:hAnsiTheme="minorHAnsi" w:cs="Arial"/>
                <w:lang w:val="es-CO"/>
              </w:rPr>
              <w:t xml:space="preserve">número </w:t>
            </w:r>
            <w:r w:rsidR="00290BBD" w:rsidRPr="00290BBD">
              <w:rPr>
                <w:rFonts w:asciiTheme="minorHAnsi" w:hAnsiTheme="minorHAnsi" w:cs="Arial"/>
                <w:lang w:val="es-CO"/>
              </w:rPr>
              <w:t xml:space="preserve">de actividades de </w:t>
            </w:r>
            <w:r w:rsidR="003D59E3">
              <w:rPr>
                <w:rFonts w:asciiTheme="minorHAnsi" w:hAnsiTheme="minorHAnsi" w:cs="Arial"/>
                <w:lang w:val="es-CO"/>
              </w:rPr>
              <w:t xml:space="preserve">Extensión Universitaria ejecutados en la Institución bajo la modalidad de </w:t>
            </w:r>
            <w:r w:rsidR="00290BBD" w:rsidRPr="00290BBD">
              <w:rPr>
                <w:rFonts w:asciiTheme="minorHAnsi" w:hAnsiTheme="minorHAnsi" w:cs="Arial"/>
                <w:lang w:val="es-CO"/>
              </w:rPr>
              <w:t>educación continua</w:t>
            </w:r>
            <w:r w:rsidR="003D59E3">
              <w:rPr>
                <w:rFonts w:asciiTheme="minorHAnsi" w:hAnsiTheme="minorHAnsi" w:cs="Arial"/>
                <w:lang w:val="es-CO"/>
              </w:rPr>
              <w:t>, Servicios Académicos de Extensión, Servicios de Laboratorio.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5E5BF7" w:rsidRPr="005E5BF7">
              <w:rPr>
                <w:rFonts w:asciiTheme="minorHAnsi" w:hAnsiTheme="minorHAnsi" w:cs="Arial"/>
                <w:lang w:val="es-CO"/>
              </w:rPr>
              <w:t>4. Investigación, Innovación y Extensión</w:t>
            </w:r>
          </w:p>
        </w:tc>
      </w:tr>
      <w:tr w:rsidR="009801D8" w:rsidRPr="004036F2" w:rsidTr="00B05843">
        <w:trPr>
          <w:trHeight w:val="146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RPr="005E5BF7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5E5BF7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  <w:highlight w:val="yellow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DD5686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DD5686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5E5BF7" w:rsidRDefault="00DD5686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  <w:highlight w:val="yellow"/>
                    </w:rPr>
                  </w:pPr>
                  <w:r w:rsidRPr="00DD5686"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022F4B" w:rsidRPr="00022F4B" w:rsidRDefault="00453FBC" w:rsidP="00022F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022F4B" w:rsidRPr="00022F4B">
              <w:rPr>
                <w:rFonts w:asciiTheme="minorHAnsi" w:hAnsiTheme="minorHAnsi" w:cs="Arial"/>
                <w:lang w:val="es-CO"/>
              </w:rPr>
              <w:t xml:space="preserve">Investigación e innovación </w:t>
            </w:r>
          </w:p>
          <w:p w:rsidR="009801D8" w:rsidRPr="004036F2" w:rsidRDefault="00022F4B" w:rsidP="00022F4B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022F4B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84D59" w:rsidRPr="00B7552D" w:rsidRDefault="00B7552D" w:rsidP="00784D59">
            <w:pPr>
              <w:spacing w:line="0" w:lineRule="atLeast"/>
              <w:rPr>
                <w:rFonts w:asciiTheme="minorHAnsi" w:hAnsiTheme="minorHAnsi" w:cs="Arial"/>
                <w:highlight w:val="green"/>
                <w:lang w:val="es-CO"/>
              </w:rPr>
            </w:pPr>
            <w:r w:rsidRPr="00B7552D">
              <w:rPr>
                <w:rFonts w:asciiTheme="minorHAnsi" w:hAnsiTheme="minorHAnsi" w:cs="Arial"/>
                <w:lang w:val="es-CO"/>
              </w:rPr>
              <w:t>D. Evaluación de los resultados de los programas y actividades de educación continuada, consultoría,  extensión, transferencia de tecnología, y de las políticas para el desarrollo y mejoramiento de estos servicios.</w:t>
            </w: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5E5BF7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4036F2" w:rsidRDefault="009801D8" w:rsidP="007A331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B7552D" w:rsidRPr="005E5BF7">
              <w:rPr>
                <w:rFonts w:asciiTheme="minorHAnsi" w:hAnsiTheme="minorHAnsi" w:cs="Arial"/>
                <w:lang w:val="es-CO"/>
              </w:rPr>
              <w:t>Vice</w:t>
            </w:r>
            <w:r w:rsidR="00B7552D">
              <w:rPr>
                <w:rFonts w:asciiTheme="minorHAnsi" w:hAnsiTheme="minorHAnsi" w:cs="Arial"/>
                <w:lang w:val="es-CO"/>
              </w:rPr>
              <w:t>rrectoría de Investigaciones, Innovación y Extensión.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 w:rsidR="003D59E3">
              <w:rPr>
                <w:rFonts w:asciiTheme="minorHAnsi" w:hAnsiTheme="minorHAnsi" w:cs="Arial"/>
                <w:lang w:val="es-CO"/>
              </w:rPr>
              <w:t xml:space="preserve">Maria Valentina </w:t>
            </w:r>
            <w:r w:rsidR="00CD01C7">
              <w:rPr>
                <w:rFonts w:asciiTheme="minorHAnsi" w:hAnsiTheme="minorHAnsi" w:cs="Arial"/>
                <w:lang w:val="es-CO"/>
              </w:rPr>
              <w:t>González</w:t>
            </w:r>
            <w:r w:rsidR="003D59E3">
              <w:rPr>
                <w:rFonts w:asciiTheme="minorHAnsi" w:hAnsiTheme="minorHAnsi" w:cs="Arial"/>
                <w:lang w:val="es-CO"/>
              </w:rPr>
              <w:t xml:space="preserve"> Orozco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4036F2" w:rsidRDefault="007B4CB6" w:rsidP="007B4CB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 w:rsidR="004714F2">
              <w:rPr>
                <w:rFonts w:asciiTheme="minorHAnsi" w:hAnsiTheme="minorHAnsi" w:cs="Arial"/>
                <w:lang w:val="es-CO"/>
              </w:rPr>
              <w:t>Marta Leonor Marulanda Ángel – Yesica Marcela Rojas Orozco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  <w:r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850FA4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ED634D">
              <w:rPr>
                <w:rFonts w:asciiTheme="minorHAnsi" w:hAnsiTheme="minorHAnsi" w:cs="Arial"/>
                <w:lang w:val="es-CO"/>
              </w:rPr>
              <w:t>F</w:t>
            </w:r>
            <w:r w:rsidR="00850FA4">
              <w:rPr>
                <w:rFonts w:asciiTheme="minorHAnsi" w:hAnsiTheme="minorHAnsi" w:cs="Arial"/>
                <w:lang w:val="es-CO"/>
              </w:rPr>
              <w:t>ebrero 2017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022F4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022F4B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9801D8" w:rsidRPr="004F06F7" w:rsidRDefault="001C296C" w:rsidP="004F06F7">
      <w:pPr>
        <w:pStyle w:val="Prrafodelista"/>
        <w:widowControl/>
        <w:numPr>
          <w:ilvl w:val="0"/>
          <w:numId w:val="1"/>
        </w:numPr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4F06F7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99022D" w:rsidRPr="003D59E3" w:rsidRDefault="0099022D" w:rsidP="0099022D">
            <w:pPr>
              <w:spacing w:line="276" w:lineRule="auto"/>
              <w:rPr>
                <w:rFonts w:asciiTheme="minorHAnsi" w:hAnsiTheme="minorHAnsi" w:cs="Arial"/>
                <w:lang w:val="es-CO"/>
              </w:rPr>
            </w:pPr>
          </w:p>
          <w:p w:rsidR="003D59E3" w:rsidRPr="003D59E3" w:rsidRDefault="003D59E3" w:rsidP="003D59E3">
            <w:p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EDUCACIÓN NO FORMAL O CONTINUA</w:t>
            </w:r>
            <w:r w:rsidRPr="003D59E3">
              <w:rPr>
                <w:rFonts w:asciiTheme="minorHAnsi" w:hAnsiTheme="minorHAnsi" w:cs="Arial"/>
              </w:rPr>
              <w:t xml:space="preserve">: Se refiere a las actividades de enseñanza-aprendizaje no conducentes a título sino a certificación de participación o asistencia, que tienen como objetivo complementar y actualizar conocimientos académicos. Incluyen, entre otras, las siguientes actividades: </w:t>
            </w:r>
          </w:p>
          <w:p w:rsidR="003D59E3" w:rsidRPr="003D59E3" w:rsidRDefault="003D59E3" w:rsidP="003D59E3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Taller:</w:t>
            </w:r>
            <w:r w:rsidRPr="003D59E3">
              <w:rPr>
                <w:rFonts w:asciiTheme="minorHAnsi" w:hAnsiTheme="minorHAnsi" w:cs="Arial"/>
              </w:rPr>
              <w:t xml:space="preserve"> Actividad práctica donde los participantes adquieren conocimientos y desarrollan habilidades a partir de su propia experiencia.</w:t>
            </w:r>
          </w:p>
          <w:p w:rsidR="003D59E3" w:rsidRPr="003D59E3" w:rsidRDefault="003D59E3" w:rsidP="001F6460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Seminario:</w:t>
            </w:r>
            <w:r w:rsidRPr="003D59E3">
              <w:rPr>
                <w:rFonts w:asciiTheme="minorHAnsi" w:hAnsiTheme="minorHAnsi" w:cs="Arial"/>
              </w:rPr>
              <w:t xml:space="preserve"> Actividad académica grupal, en la que un número determinado de participantes, presentan y discuten a fondo un tema predeterminado, con el fin de profundizar un área del conocimiento.</w:t>
            </w:r>
          </w:p>
          <w:p w:rsidR="003D59E3" w:rsidRPr="003D59E3" w:rsidRDefault="003D59E3" w:rsidP="001F6460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Curso:</w:t>
            </w:r>
            <w:r w:rsidRPr="003D59E3">
              <w:rPr>
                <w:rFonts w:asciiTheme="minorHAnsi" w:hAnsiTheme="minorHAnsi" w:cs="Arial"/>
              </w:rPr>
              <w:t xml:space="preserve"> Actividad académica de corta duración de carácter teórico o teórico-práctico, que busca difundir o actualizar conocimientos a profesionales o estudiantes en una temática. El curso se imparte a las personas que cumplan con los pre-requisitos establecidos por la institución que lo ofrece.</w:t>
            </w:r>
          </w:p>
          <w:p w:rsidR="003D59E3" w:rsidRPr="003D59E3" w:rsidRDefault="003D59E3" w:rsidP="00AF6CEC">
            <w:pPr>
              <w:pStyle w:val="Prrafodelista"/>
              <w:numPr>
                <w:ilvl w:val="0"/>
                <w:numId w:val="18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Diplomado:</w:t>
            </w:r>
            <w:r w:rsidRPr="003D59E3">
              <w:rPr>
                <w:rFonts w:asciiTheme="minorHAnsi" w:hAnsiTheme="minorHAnsi" w:cs="Arial"/>
              </w:rPr>
              <w:t xml:space="preserve"> Es un programa que tienen como finalidad actualizar, complementar y profundizar los conocimientos, desarrollar y fortalecer habilidades, capacidades y destrezas con aplicabilidad en el campo laboral o desempeño profesional.</w:t>
            </w:r>
          </w:p>
          <w:p w:rsidR="003D59E3" w:rsidRPr="003D59E3" w:rsidRDefault="003D59E3" w:rsidP="00CD01C7">
            <w:pPr>
              <w:pStyle w:val="Prrafodelista"/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</w:rPr>
              <w:tab/>
            </w:r>
          </w:p>
          <w:p w:rsidR="003D59E3" w:rsidRPr="003D59E3" w:rsidRDefault="003D59E3" w:rsidP="003D59E3">
            <w:p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SERVICIOS ACADÉMICOS DE EXTENSIÓN:</w:t>
            </w:r>
            <w:r w:rsidRPr="003D59E3">
              <w:rPr>
                <w:rFonts w:asciiTheme="minorHAnsi" w:hAnsiTheme="minorHAnsi" w:cs="Arial"/>
              </w:rPr>
              <w:t xml:space="preserve"> Son actividades orientadas a responder demandas y necesidades del sector externo. Esta actividad Ia realiza Ia Universidad en cumplimiento de un convenio o contrato suscrito con otra persona, natural o jurídica, con el propósito objetivo básico es la realización de tareas definidas por el contratante, generalmente diferentes a las que son propias de Ia docencia. Dentro de las cuales encontramos los siguientes:</w:t>
            </w:r>
          </w:p>
          <w:p w:rsidR="003D59E3" w:rsidRPr="003D59E3" w:rsidRDefault="003D59E3" w:rsidP="003D59E3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Asesorías y Consultoría.</w:t>
            </w:r>
            <w:r w:rsidRPr="003D59E3">
              <w:rPr>
                <w:rFonts w:asciiTheme="minorHAnsi" w:hAnsiTheme="minorHAnsi" w:cs="Arial"/>
              </w:rPr>
              <w:t xml:space="preserve"> Son conceptos especializados que se emiten como respuesta a solicitudes formuladas sobre asuntos específicos, y que no implican una transferencia significativa de tecnología, no supone investigación o diseño, ni generación de nuevo conocimiento ni desarrollo tecnológico, son acciones orientadas a resolver demandas y necesidades de la comunidad, a nivel técnico, económico o social con el fin de dar las soluciones más adecuadas, soportada en el conocimiento que cuenta la facultad o el personal sobre la temática.</w:t>
            </w:r>
          </w:p>
          <w:p w:rsidR="003D59E3" w:rsidRPr="003D59E3" w:rsidRDefault="003D59E3" w:rsidP="003D59E3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Asistencia Técnica.</w:t>
            </w:r>
            <w:r w:rsidRPr="003D59E3">
              <w:rPr>
                <w:rFonts w:asciiTheme="minorHAnsi" w:hAnsiTheme="minorHAnsi" w:cs="Arial"/>
              </w:rPr>
              <w:t xml:space="preserve"> Es el servicio que la Universidad presta a diferentes </w:t>
            </w:r>
            <w:r w:rsidRPr="003D59E3">
              <w:rPr>
                <w:rFonts w:asciiTheme="minorHAnsi" w:hAnsiTheme="minorHAnsi" w:cs="Arial"/>
              </w:rPr>
              <w:lastRenderedPageBreak/>
              <w:t>instituciones, empresas o entidades, para la solución de problemas puntuales o coyunturales. Generalmente implica el uso de instrumentos, laboratorios, desarrollos operativos, montajes o puesta en marcha de procesos.</w:t>
            </w:r>
          </w:p>
          <w:p w:rsidR="003D59E3" w:rsidRPr="003D59E3" w:rsidRDefault="003D59E3" w:rsidP="003D59E3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Interventoría.</w:t>
            </w:r>
            <w:r w:rsidRPr="003D59E3">
              <w:rPr>
                <w:rFonts w:asciiTheme="minorHAnsi" w:hAnsiTheme="minorHAnsi" w:cs="Arial"/>
              </w:rPr>
              <w:t xml:space="preserve"> Comprende la verificación de que el desarrollo o la ejecución de un proyecto se lleve a cabo de acuerdo con las especificaciones, planos y normas. Tal vigilancia se adelanta en nombre de la entidad que dispone la ejecución del proyecto, se refiere al control y vigilancia que realiza la Universidad sobre la ejecución de un proyecto.</w:t>
            </w:r>
          </w:p>
          <w:p w:rsidR="003D59E3" w:rsidRPr="003D59E3" w:rsidRDefault="003D59E3" w:rsidP="003D59E3">
            <w:pPr>
              <w:pStyle w:val="Prrafodelista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Veeduría.</w:t>
            </w:r>
            <w:r w:rsidRPr="003D59E3">
              <w:rPr>
                <w:rFonts w:asciiTheme="minorHAnsi" w:hAnsiTheme="minorHAnsi" w:cs="Arial"/>
              </w:rPr>
              <w:t xml:space="preserve"> Es una forma de interventoría que se efectúa con fines sociales comúnmente para defender los intereses de la comunidad general en el desarrollo de proyectos de impacto público.</w:t>
            </w:r>
          </w:p>
          <w:p w:rsidR="003D59E3" w:rsidRPr="003D59E3" w:rsidRDefault="003D59E3" w:rsidP="0099022D">
            <w:pPr>
              <w:spacing w:line="276" w:lineRule="auto"/>
              <w:rPr>
                <w:rFonts w:asciiTheme="minorHAnsi" w:hAnsiTheme="minorHAnsi" w:cs="Arial"/>
              </w:rPr>
            </w:pPr>
          </w:p>
          <w:p w:rsidR="003D59E3" w:rsidRPr="003D59E3" w:rsidRDefault="003D59E3" w:rsidP="003D59E3">
            <w:pPr>
              <w:spacing w:line="276" w:lineRule="auto"/>
              <w:rPr>
                <w:rFonts w:asciiTheme="minorHAnsi" w:hAnsiTheme="minorHAnsi" w:cs="Arial"/>
              </w:rPr>
            </w:pPr>
            <w:r w:rsidRPr="003D59E3">
              <w:rPr>
                <w:rFonts w:asciiTheme="minorHAnsi" w:hAnsiTheme="minorHAnsi" w:cs="Arial"/>
                <w:b/>
              </w:rPr>
              <w:t>SERVICIOS DE LABORATORIO</w:t>
            </w:r>
            <w:r w:rsidRPr="003D59E3">
              <w:rPr>
                <w:rFonts w:asciiTheme="minorHAnsi" w:hAnsiTheme="minorHAnsi" w:cs="Arial"/>
              </w:rPr>
              <w:t>: los laboratorios son unidades estructuradas y equipadas con los medios que buscan atender necesidades permanentes del medio, los instrumentos, las técnicas y la capacidad instalada necesaria para desarrollar múltiples potencialidades de formación, investigación y extensión en diferentes campos de las ciencias.</w:t>
            </w:r>
          </w:p>
          <w:p w:rsidR="003D59E3" w:rsidRPr="003D59E3" w:rsidRDefault="003D59E3" w:rsidP="003D59E3">
            <w:pPr>
              <w:spacing w:line="276" w:lineRule="auto"/>
              <w:rPr>
                <w:rFonts w:asciiTheme="minorHAnsi" w:hAnsiTheme="minorHAnsi" w:cs="Arial"/>
              </w:rPr>
            </w:pPr>
          </w:p>
          <w:p w:rsidR="003D59E3" w:rsidRPr="00D037B1" w:rsidRDefault="003D59E3" w:rsidP="003D59E3">
            <w:pPr>
              <w:spacing w:line="276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3D59E3">
              <w:rPr>
                <w:rFonts w:asciiTheme="minorHAnsi" w:hAnsiTheme="minorHAnsi" w:cs="Arial"/>
              </w:rPr>
              <w:t>La Universidad Tecnológica de Pereira oferta servicios de laboratorio en las diferentes áreas académicas con fines de investigación, prácticas académicas y de extensión, esto implica la realización de ensayos, interpretación y modelación de datos y procesos, diseños operativos, mantenimiento de equipos, entre otros.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0766E2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0"/>
              <w:gridCol w:w="6652"/>
            </w:tblGrid>
            <w:tr w:rsidR="003D59E3" w:rsidRPr="001D3CCC" w:rsidTr="002E198E">
              <w:tc>
                <w:tcPr>
                  <w:tcW w:w="2127" w:type="dxa"/>
                </w:tcPr>
                <w:p w:rsidR="003D59E3" w:rsidRDefault="003D59E3" w:rsidP="003D59E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</w:p>
                <w:p w:rsidR="003D59E3" w:rsidRPr="001D3CCC" w:rsidRDefault="003D59E3" w:rsidP="003D59E3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 xml:space="preserve">No. De </w:t>
                  </w:r>
                  <w:r>
                    <w:rPr>
                      <w:rFonts w:asciiTheme="minorHAnsi" w:hAnsiTheme="minorHAnsi" w:cs="Arial"/>
                    </w:rPr>
                    <w:t xml:space="preserve">Actividades de </w:t>
                  </w:r>
                  <w:r w:rsidRPr="001D3CCC">
                    <w:rPr>
                      <w:rFonts w:asciiTheme="minorHAnsi" w:hAnsiTheme="minorHAnsi" w:cs="Arial"/>
                    </w:rPr>
                    <w:t>extensión</w:t>
                  </w:r>
                </w:p>
              </w:tc>
              <w:tc>
                <w:tcPr>
                  <w:tcW w:w="6698" w:type="dxa"/>
                </w:tcPr>
                <w:p w:rsidR="003D59E3" w:rsidRPr="001D3CCC" w:rsidRDefault="003D59E3" w:rsidP="003D59E3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</w:p>
                <w:p w:rsidR="003D59E3" w:rsidRPr="001D3CCC" w:rsidRDefault="003D59E3" w:rsidP="003D3DEC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>= ∑</w:t>
                  </w:r>
                  <w:r>
                    <w:rPr>
                      <w:rFonts w:asciiTheme="minorHAnsi" w:hAnsiTheme="minorHAnsi" w:cs="Arial"/>
                    </w:rPr>
                    <w:t xml:space="preserve"> No. De</w:t>
                  </w:r>
                  <w:r w:rsidRPr="001D3CCC">
                    <w:rPr>
                      <w:rFonts w:asciiTheme="minorHAnsi" w:hAnsiTheme="minorHAnsi" w:cs="Arial"/>
                    </w:rPr>
                    <w:t xml:space="preserve"> servicios de laboratorio + ∑ </w:t>
                  </w:r>
                  <w:r w:rsidR="004409FF">
                    <w:rPr>
                      <w:rFonts w:asciiTheme="minorHAnsi" w:hAnsiTheme="minorHAnsi" w:cs="Arial"/>
                    </w:rPr>
                    <w:t>No.</w:t>
                  </w:r>
                  <w:r w:rsidR="003D3DEC">
                    <w:rPr>
                      <w:rFonts w:asciiTheme="minorHAnsi" w:hAnsiTheme="minorHAnsi" w:cs="Arial"/>
                    </w:rPr>
                    <w:t xml:space="preserve"> De actividades de</w:t>
                  </w:r>
                  <w:r w:rsidR="004409FF">
                    <w:rPr>
                      <w:rFonts w:asciiTheme="minorHAnsi" w:hAnsiTheme="minorHAnsi" w:cs="Arial"/>
                    </w:rPr>
                    <w:t xml:space="preserve"> Educación con</w:t>
                  </w:r>
                  <w:r w:rsidR="003D3DEC">
                    <w:rPr>
                      <w:rFonts w:asciiTheme="minorHAnsi" w:hAnsiTheme="minorHAnsi" w:cs="Arial"/>
                    </w:rPr>
                    <w:t>tinua</w:t>
                  </w:r>
                  <w:r w:rsidRPr="001D3CCC">
                    <w:rPr>
                      <w:rFonts w:asciiTheme="minorHAnsi" w:hAnsiTheme="minorHAnsi" w:cs="Arial"/>
                    </w:rPr>
                    <w:t xml:space="preserve"> + ∑ </w:t>
                  </w:r>
                  <w:r w:rsidR="003D3DEC">
                    <w:rPr>
                      <w:rFonts w:asciiTheme="minorHAnsi" w:hAnsiTheme="minorHAnsi" w:cs="Arial"/>
                    </w:rPr>
                    <w:t>No de</w:t>
                  </w:r>
                  <w:r>
                    <w:rPr>
                      <w:rFonts w:asciiTheme="minorHAnsi" w:hAnsiTheme="minorHAnsi" w:cs="Arial"/>
                    </w:rPr>
                    <w:t xml:space="preserve"> servicios académicos de Extensión (Asesorías y consultorías, interventorías, asistencias técnicas)</w:t>
                  </w:r>
                </w:p>
              </w:tc>
            </w:tr>
          </w:tbl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D037B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lastRenderedPageBreak/>
              <w:t>Consideraciones metodológicas para el cálculo: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4C0A91" w:rsidRDefault="00FE7483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  <w:r w:rsidRPr="00FE7483"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  <w:t xml:space="preserve">EDUCACIÓN CONTINUA O NO FORMAL </w:t>
            </w:r>
            <w:r w:rsidR="003D3DEC"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  <w:t xml:space="preserve"> y SERVICIOS ACADEMICOS DE EXTENSION</w:t>
            </w:r>
          </w:p>
          <w:p w:rsidR="00FE7483" w:rsidRDefault="00FE7483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tbl>
            <w:tblPr>
              <w:tblStyle w:val="Tablaconcuadrcula"/>
              <w:tblW w:w="4850" w:type="pct"/>
              <w:tblLook w:val="04A0" w:firstRow="1" w:lastRow="0" w:firstColumn="1" w:lastColumn="0" w:noHBand="0" w:noVBand="1"/>
            </w:tblPr>
            <w:tblGrid>
              <w:gridCol w:w="1305"/>
              <w:gridCol w:w="1461"/>
              <w:gridCol w:w="776"/>
              <w:gridCol w:w="774"/>
              <w:gridCol w:w="1267"/>
              <w:gridCol w:w="1116"/>
              <w:gridCol w:w="613"/>
              <w:gridCol w:w="1187"/>
            </w:tblGrid>
            <w:tr w:rsidR="003D3DEC" w:rsidRPr="00CD01C7" w:rsidTr="003D3DEC">
              <w:trPr>
                <w:trHeight w:val="420"/>
              </w:trPr>
              <w:tc>
                <w:tcPr>
                  <w:tcW w:w="648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Dependencia</w:t>
                  </w:r>
                </w:p>
              </w:tc>
              <w:tc>
                <w:tcPr>
                  <w:tcW w:w="980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Nombre</w:t>
                  </w:r>
                </w:p>
              </w:tc>
              <w:tc>
                <w:tcPr>
                  <w:tcW w:w="577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Fecha Inicio</w:t>
                  </w:r>
                </w:p>
              </w:tc>
              <w:tc>
                <w:tcPr>
                  <w:tcW w:w="576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Fecha Final</w:t>
                  </w:r>
                </w:p>
              </w:tc>
              <w:tc>
                <w:tcPr>
                  <w:tcW w:w="577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Responsable</w:t>
                  </w:r>
                </w:p>
              </w:tc>
              <w:tc>
                <w:tcPr>
                  <w:tcW w:w="494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Modalidad</w:t>
                  </w:r>
                </w:p>
              </w:tc>
              <w:tc>
                <w:tcPr>
                  <w:tcW w:w="481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Tipo</w:t>
                  </w:r>
                </w:p>
              </w:tc>
              <w:tc>
                <w:tcPr>
                  <w:tcW w:w="667" w:type="pct"/>
                  <w:hideMark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Población Beneficiada</w:t>
                  </w:r>
                </w:p>
              </w:tc>
            </w:tr>
            <w:tr w:rsidR="003D3DEC" w:rsidRPr="00CD01C7" w:rsidTr="003D3DEC">
              <w:trPr>
                <w:trHeight w:val="420"/>
              </w:trPr>
              <w:tc>
                <w:tcPr>
                  <w:tcW w:w="648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980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77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76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577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94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81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67" w:type="pct"/>
                </w:tcPr>
                <w:p w:rsidR="003D3DEC" w:rsidRPr="00CD01C7" w:rsidRDefault="003D3DEC" w:rsidP="00FE7483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3D68CE" w:rsidRDefault="003D68CE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p w:rsidR="00DB2734" w:rsidRDefault="00DB2734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  <w:r w:rsidRPr="00DB2734"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  <w:t>SERVICIOS</w:t>
            </w:r>
            <w:r w:rsidR="00CD01C7"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  <w:t xml:space="preserve"> DE LABORATORIO.</w:t>
            </w:r>
          </w:p>
          <w:p w:rsidR="00CD01C7" w:rsidRDefault="00CD01C7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tbl>
            <w:tblPr>
              <w:tblW w:w="862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000"/>
              <w:gridCol w:w="1500"/>
              <w:gridCol w:w="1560"/>
              <w:gridCol w:w="1500"/>
              <w:gridCol w:w="1520"/>
              <w:gridCol w:w="1540"/>
            </w:tblGrid>
            <w:tr w:rsidR="00321FCC" w:rsidRPr="00321FCC" w:rsidTr="00CD01C7">
              <w:trPr>
                <w:trHeight w:val="591"/>
              </w:trPr>
              <w:tc>
                <w:tcPr>
                  <w:tcW w:w="1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Facultad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Nombre del Laboratorio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Tipo de servicio</w:t>
                  </w:r>
                </w:p>
              </w:tc>
              <w:tc>
                <w:tcPr>
                  <w:tcW w:w="15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Cantidad de servicios prestados</w:t>
                  </w:r>
                </w:p>
              </w:tc>
              <w:tc>
                <w:tcPr>
                  <w:tcW w:w="15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Nombre del contratante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321FCC" w:rsidRPr="00321FCC" w:rsidRDefault="00321FCC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</w:pPr>
                  <w:r w:rsidRPr="00321FCC">
                    <w:rPr>
                      <w:rFonts w:ascii="Calibri" w:hAnsi="Calibri"/>
                      <w:b/>
                      <w:bCs/>
                      <w:color w:val="000000"/>
                      <w:sz w:val="20"/>
                      <w:szCs w:val="20"/>
                      <w:lang w:val="es-CO" w:eastAsia="es-CO"/>
                    </w:rPr>
                    <w:t>Tipo de contratante</w:t>
                  </w:r>
                </w:p>
              </w:tc>
            </w:tr>
          </w:tbl>
          <w:p w:rsidR="00DB2734" w:rsidRDefault="00DB2734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  <w:lang w:val="es-CO"/>
              </w:rPr>
            </w:pPr>
          </w:p>
          <w:p w:rsidR="004A2B08" w:rsidRPr="00D037B1" w:rsidRDefault="004A2B08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noProof/>
                <w:sz w:val="20"/>
                <w:szCs w:val="20"/>
              </w:rPr>
              <w:t xml:space="preserve">Nota: </w:t>
            </w:r>
            <w:r w:rsidRPr="004A2B08">
              <w:rPr>
                <w:rFonts w:asciiTheme="minorHAnsi" w:hAnsiTheme="minorHAnsi" w:cs="Arial"/>
                <w:noProof/>
                <w:sz w:val="20"/>
                <w:szCs w:val="20"/>
              </w:rPr>
              <w:t>En el caso de que la información lo permita se debe desagregar los registros hasta nivel de Facultad y/o Programa académico.</w:t>
            </w:r>
          </w:p>
          <w:p w:rsidR="00C01AC4" w:rsidRPr="00D037B1" w:rsidRDefault="00C01AC4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BA1D56" w:rsidRPr="00D037B1" w:rsidRDefault="00BA1D56" w:rsidP="00BA1D56">
      <w:pPr>
        <w:pStyle w:val="Prrafodelista"/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FC06A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tbl>
            <w:tblPr>
              <w:tblW w:w="4300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1354"/>
            </w:tblGrid>
            <w:tr w:rsidR="00FC06A1" w:rsidRPr="00FC06A1" w:rsidTr="00FC06A1">
              <w:trPr>
                <w:trHeight w:val="885"/>
                <w:jc w:val="center"/>
              </w:trPr>
              <w:tc>
                <w:tcPr>
                  <w:tcW w:w="43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FC06A1" w:rsidRPr="00FC06A1" w:rsidRDefault="00FC06A1" w:rsidP="00321FCC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 xml:space="preserve">NÚMERO DE ACTIVIDADES DE </w:t>
                  </w:r>
                  <w:r w:rsidR="00321FCC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EXTENSION UNIVERSITARIA</w:t>
                  </w:r>
                </w:p>
              </w:tc>
            </w:tr>
            <w:tr w:rsidR="00FC06A1" w:rsidRPr="00FC06A1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CARACTERÍSTICA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CANTIDAD</w:t>
                  </w:r>
                </w:p>
              </w:tc>
            </w:tr>
            <w:tr w:rsidR="00FC06A1" w:rsidRPr="00FC06A1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Educación Continua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FC06A1" w:rsidRPr="00FC06A1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321FCC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Servicios académicos de Extensión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FC06A1" w:rsidRPr="00FC06A1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Servicios de Laboratorio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FC06A1" w:rsidRPr="00FC06A1" w:rsidTr="00FC06A1">
              <w:trPr>
                <w:trHeight w:val="300"/>
                <w:jc w:val="center"/>
              </w:trPr>
              <w:tc>
                <w:tcPr>
                  <w:tcW w:w="294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135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06A1" w:rsidRPr="00FC06A1" w:rsidRDefault="00FC06A1" w:rsidP="00FC06A1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  <w:r w:rsidR="00490B36">
              <w:rPr>
                <w:rFonts w:asciiTheme="minorHAnsi" w:hAnsiTheme="minorHAnsi" w:cs="Arial"/>
                <w:szCs w:val="20"/>
              </w:rPr>
              <w:t xml:space="preserve"> </w:t>
            </w:r>
            <w:r w:rsidR="009209EF">
              <w:rPr>
                <w:rFonts w:asciiTheme="minorHAnsi" w:hAnsiTheme="minorHAnsi" w:cs="Arial"/>
                <w:lang w:val="es-CO"/>
              </w:rPr>
              <w:t xml:space="preserve">Representa el número </w:t>
            </w:r>
            <w:r w:rsidR="009209EF" w:rsidRPr="00290BBD">
              <w:rPr>
                <w:rFonts w:asciiTheme="minorHAnsi" w:hAnsiTheme="minorHAnsi" w:cs="Arial"/>
                <w:lang w:val="es-CO"/>
              </w:rPr>
              <w:t xml:space="preserve">de actividades de </w:t>
            </w:r>
            <w:r w:rsidR="00321FCC">
              <w:rPr>
                <w:rFonts w:asciiTheme="minorHAnsi" w:hAnsiTheme="minorHAnsi" w:cs="Arial"/>
                <w:lang w:val="es-CO"/>
              </w:rPr>
              <w:lastRenderedPageBreak/>
              <w:t>Extensión Universitaria</w:t>
            </w:r>
          </w:p>
          <w:p w:rsidR="000118BB" w:rsidRPr="00DA03A7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DA03A7">
              <w:rPr>
                <w:rFonts w:asciiTheme="minorHAnsi" w:hAnsiTheme="minorHAnsi" w:cs="Arial"/>
                <w:szCs w:val="20"/>
              </w:rPr>
              <w:t>Per</w:t>
            </w:r>
            <w:r w:rsidR="00797881" w:rsidRPr="00DA03A7">
              <w:rPr>
                <w:rFonts w:asciiTheme="minorHAnsi" w:hAnsiTheme="minorHAnsi" w:cs="Arial"/>
                <w:szCs w:val="20"/>
              </w:rPr>
              <w:t>í</w:t>
            </w:r>
            <w:r w:rsidRPr="00DA03A7">
              <w:rPr>
                <w:rFonts w:asciiTheme="minorHAnsi" w:hAnsiTheme="minorHAnsi" w:cs="Arial"/>
                <w:szCs w:val="20"/>
              </w:rPr>
              <w:t>odo de medición:</w:t>
            </w:r>
            <w:r w:rsidR="00490B36" w:rsidRPr="00DA03A7">
              <w:rPr>
                <w:rFonts w:asciiTheme="minorHAnsi" w:hAnsiTheme="minorHAnsi" w:cs="Arial"/>
                <w:szCs w:val="20"/>
              </w:rPr>
              <w:t xml:space="preserve"> Trimestral</w:t>
            </w:r>
          </w:p>
          <w:p w:rsidR="000118BB" w:rsidRPr="00DA03A7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DA03A7">
              <w:rPr>
                <w:rFonts w:asciiTheme="minorHAnsi" w:hAnsiTheme="minorHAnsi" w:cs="Arial"/>
                <w:szCs w:val="20"/>
              </w:rPr>
              <w:t>Resultado</w:t>
            </w:r>
            <w:r w:rsidR="00797881" w:rsidRPr="00DA03A7">
              <w:rPr>
                <w:rFonts w:asciiTheme="minorHAnsi" w:hAnsiTheme="minorHAnsi" w:cs="Arial"/>
                <w:szCs w:val="20"/>
              </w:rPr>
              <w:t>s</w:t>
            </w:r>
            <w:r w:rsidRPr="00DA03A7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 w:rsidRPr="00DA03A7">
              <w:rPr>
                <w:rFonts w:asciiTheme="minorHAnsi" w:hAnsiTheme="minorHAnsi" w:cs="Arial"/>
                <w:szCs w:val="20"/>
              </w:rPr>
              <w:t>í</w:t>
            </w:r>
            <w:r w:rsidRPr="00DA03A7">
              <w:rPr>
                <w:rFonts w:asciiTheme="minorHAnsi" w:hAnsiTheme="minorHAnsi" w:cs="Arial"/>
                <w:szCs w:val="20"/>
              </w:rPr>
              <w:t>odo reportado:</w:t>
            </w:r>
            <w:r w:rsidR="00490B36" w:rsidRPr="00DA03A7">
              <w:rPr>
                <w:rFonts w:asciiTheme="minorHAnsi" w:hAnsiTheme="minorHAnsi" w:cs="Arial"/>
                <w:szCs w:val="20"/>
              </w:rPr>
              <w:t xml:space="preserve"> Seguimiento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  <w:r w:rsidR="00490B36">
              <w:rPr>
                <w:rFonts w:asciiTheme="minorHAnsi" w:hAnsiTheme="minorHAnsi" w:cs="Arial"/>
                <w:szCs w:val="20"/>
              </w:rPr>
              <w:t xml:space="preserve"> Seguimiento al reporte de este tipo de actividades.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  <w:r w:rsidR="00AA44FF">
              <w:rPr>
                <w:rFonts w:asciiTheme="minorHAnsi" w:hAnsiTheme="minorHAnsi" w:cs="Arial"/>
                <w:szCs w:val="20"/>
              </w:rPr>
              <w:t xml:space="preserve"> Digital</w:t>
            </w:r>
          </w:p>
          <w:p w:rsidR="000118BB" w:rsidRPr="000118BB" w:rsidRDefault="000118BB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</w:p>
          <w:p w:rsidR="00D80394" w:rsidRPr="00E054D3" w:rsidRDefault="00E054D3" w:rsidP="00D80394">
            <w:pPr>
              <w:spacing w:line="0" w:lineRule="atLeast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adicionales</w:t>
            </w:r>
            <w:r w:rsidRPr="00E054D3">
              <w:rPr>
                <w:rFonts w:asciiTheme="minorHAnsi" w:hAnsiTheme="minorHAnsi" w:cs="Arial"/>
                <w:b/>
                <w:szCs w:val="20"/>
              </w:rPr>
              <w:t xml:space="preserve"> para la gestión del objetivo:</w:t>
            </w:r>
            <w:r>
              <w:rPr>
                <w:rFonts w:asciiTheme="minorHAnsi" w:hAnsiTheme="minorHAnsi" w:cs="Arial"/>
                <w:b/>
                <w:szCs w:val="20"/>
              </w:rPr>
              <w:t xml:space="preserve"> </w:t>
            </w:r>
            <w:r>
              <w:rPr>
                <w:rFonts w:asciiTheme="minorHAnsi" w:hAnsiTheme="minorHAnsi" w:cs="Arial"/>
                <w:szCs w:val="20"/>
              </w:rPr>
              <w:t>(en caso de requerirse)</w:t>
            </w:r>
          </w:p>
          <w:p w:rsidR="00D80394" w:rsidRPr="00CD01C7" w:rsidRDefault="00D80394" w:rsidP="00CD01C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B941C8" w:rsidRPr="00D037B1" w:rsidRDefault="00B941C8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B941C8" w:rsidRDefault="00AA44FF" w:rsidP="008C39DD">
      <w:pPr>
        <w:spacing w:line="0" w:lineRule="atLeast"/>
        <w:ind w:left="708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Martha Leonor Marulanda Ángel</w:t>
      </w:r>
      <w:r w:rsidR="0097292D" w:rsidRPr="00703AF9">
        <w:rPr>
          <w:rFonts w:asciiTheme="minorHAnsi" w:hAnsiTheme="minorHAnsi"/>
        </w:rPr>
        <w:tab/>
        <w:t xml:space="preserve">                </w:t>
      </w:r>
      <w:r w:rsidR="008C39DD" w:rsidRPr="00703AF9">
        <w:rPr>
          <w:rFonts w:asciiTheme="minorHAnsi" w:hAnsiTheme="minorHAnsi"/>
        </w:rPr>
        <w:t xml:space="preserve">    </w:t>
      </w:r>
      <w:r w:rsidR="00EB32C8" w:rsidRPr="00703AF9">
        <w:rPr>
          <w:rFonts w:asciiTheme="minorHAnsi" w:hAnsiTheme="minorHAnsi"/>
        </w:rPr>
        <w:t xml:space="preserve">  </w:t>
      </w:r>
      <w:r w:rsidR="00321FCC">
        <w:rPr>
          <w:rFonts w:asciiTheme="minorHAnsi" w:hAnsiTheme="minorHAnsi" w:cs="Arial"/>
          <w:lang w:val="es-CO"/>
        </w:rPr>
        <w:t>Maria Valentina González Orozco</w:t>
      </w: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Default="00355B47" w:rsidP="008C39DD">
      <w:pPr>
        <w:spacing w:line="0" w:lineRule="atLeast"/>
        <w:ind w:left="708"/>
        <w:rPr>
          <w:rFonts w:asciiTheme="minorHAnsi" w:hAnsiTheme="minorHAnsi" w:cs="Arial"/>
        </w:rPr>
      </w:pPr>
    </w:p>
    <w:p w:rsidR="00355B47" w:rsidRPr="00703AF9" w:rsidRDefault="00355B47" w:rsidP="00355B47">
      <w:pPr>
        <w:spacing w:line="0" w:lineRule="atLeast"/>
        <w:rPr>
          <w:rFonts w:asciiTheme="minorHAnsi" w:hAnsiTheme="minorHAnsi" w:cs="Arial"/>
        </w:rPr>
      </w:pPr>
    </w:p>
    <w:sectPr w:rsidR="00355B47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4DC" w:rsidRDefault="00C274DC">
      <w:r>
        <w:separator/>
      </w:r>
    </w:p>
  </w:endnote>
  <w:endnote w:type="continuationSeparator" w:id="0">
    <w:p w:rsidR="00C274DC" w:rsidRDefault="00C27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4DC" w:rsidRDefault="00C274DC">
      <w:r>
        <w:separator/>
      </w:r>
    </w:p>
  </w:footnote>
  <w:footnote w:type="continuationSeparator" w:id="0">
    <w:p w:rsidR="00C274DC" w:rsidRDefault="00C274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03C7B2D8" wp14:editId="1F24C863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--TEMA DEL INDICADOR--</w:t>
          </w:r>
        </w:p>
        <w:p w:rsidR="00B05843" w:rsidRPr="00355B47" w:rsidRDefault="00290BBD" w:rsidP="003D59E3">
          <w:pPr>
            <w:jc w:val="center"/>
            <w:rPr>
              <w:rFonts w:asciiTheme="minorHAnsi" w:hAnsiTheme="minorHAnsi" w:cs="Arial"/>
              <w:b/>
              <w:sz w:val="22"/>
            </w:rPr>
          </w:pPr>
          <w:r w:rsidRPr="00290BBD">
            <w:rPr>
              <w:rFonts w:asciiTheme="minorHAnsi" w:hAnsiTheme="minorHAnsi" w:cs="Arial"/>
              <w:b/>
              <w:lang w:val="es-CO"/>
            </w:rPr>
            <w:t xml:space="preserve">NÚMERO DE ACTIVIDADES DE </w:t>
          </w:r>
          <w:r w:rsidR="003D59E3">
            <w:rPr>
              <w:rFonts w:asciiTheme="minorHAnsi" w:hAnsiTheme="minorHAnsi" w:cs="Arial"/>
              <w:b/>
              <w:lang w:val="es-CO"/>
            </w:rPr>
            <w:t>EXTENSIÓN UNIVERSITARIA.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022F4B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022F4B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5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E0740B"/>
    <w:multiLevelType w:val="hybridMultilevel"/>
    <w:tmpl w:val="35380B2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843DBF"/>
    <w:multiLevelType w:val="hybridMultilevel"/>
    <w:tmpl w:val="2126068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082384"/>
    <w:multiLevelType w:val="hybridMultilevel"/>
    <w:tmpl w:val="7A02250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13"/>
  </w:num>
  <w:num w:numId="4">
    <w:abstractNumId w:val="1"/>
  </w:num>
  <w:num w:numId="5">
    <w:abstractNumId w:val="15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6"/>
  </w:num>
  <w:num w:numId="11">
    <w:abstractNumId w:val="2"/>
  </w:num>
  <w:num w:numId="12">
    <w:abstractNumId w:val="11"/>
  </w:num>
  <w:num w:numId="13">
    <w:abstractNumId w:val="3"/>
  </w:num>
  <w:num w:numId="14">
    <w:abstractNumId w:val="0"/>
  </w:num>
  <w:num w:numId="15">
    <w:abstractNumId w:val="10"/>
  </w:num>
  <w:num w:numId="16">
    <w:abstractNumId w:val="18"/>
  </w:num>
  <w:num w:numId="17">
    <w:abstractNumId w:val="14"/>
  </w:num>
  <w:num w:numId="18">
    <w:abstractNumId w:val="8"/>
  </w:num>
  <w:num w:numId="19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22F4B"/>
    <w:rsid w:val="00036D46"/>
    <w:rsid w:val="00042F98"/>
    <w:rsid w:val="00045487"/>
    <w:rsid w:val="000507E7"/>
    <w:rsid w:val="000519BF"/>
    <w:rsid w:val="000578E4"/>
    <w:rsid w:val="0006072B"/>
    <w:rsid w:val="00070214"/>
    <w:rsid w:val="00072BFA"/>
    <w:rsid w:val="00075ABC"/>
    <w:rsid w:val="000762FE"/>
    <w:rsid w:val="000766E2"/>
    <w:rsid w:val="00084BF7"/>
    <w:rsid w:val="00085CA0"/>
    <w:rsid w:val="00090316"/>
    <w:rsid w:val="00096CFF"/>
    <w:rsid w:val="000A54CF"/>
    <w:rsid w:val="000B0CAB"/>
    <w:rsid w:val="000B7721"/>
    <w:rsid w:val="000C4FF3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0BBD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484A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1FCC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5B47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D3DEC"/>
    <w:rsid w:val="003D59E3"/>
    <w:rsid w:val="003D68CE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09FF"/>
    <w:rsid w:val="0044379E"/>
    <w:rsid w:val="00453FBC"/>
    <w:rsid w:val="004558E1"/>
    <w:rsid w:val="00456052"/>
    <w:rsid w:val="004603BD"/>
    <w:rsid w:val="00462608"/>
    <w:rsid w:val="00470821"/>
    <w:rsid w:val="004714F2"/>
    <w:rsid w:val="00471699"/>
    <w:rsid w:val="00477120"/>
    <w:rsid w:val="0047742E"/>
    <w:rsid w:val="00477EAB"/>
    <w:rsid w:val="0048394E"/>
    <w:rsid w:val="004846BA"/>
    <w:rsid w:val="004870E4"/>
    <w:rsid w:val="00490B36"/>
    <w:rsid w:val="00493C78"/>
    <w:rsid w:val="004A03EC"/>
    <w:rsid w:val="004A1524"/>
    <w:rsid w:val="004A2B08"/>
    <w:rsid w:val="004A3746"/>
    <w:rsid w:val="004A5674"/>
    <w:rsid w:val="004B13B6"/>
    <w:rsid w:val="004B39A1"/>
    <w:rsid w:val="004B4257"/>
    <w:rsid w:val="004C07CE"/>
    <w:rsid w:val="004C0A91"/>
    <w:rsid w:val="004C2D13"/>
    <w:rsid w:val="004C4832"/>
    <w:rsid w:val="004C77F3"/>
    <w:rsid w:val="004D3142"/>
    <w:rsid w:val="004D6845"/>
    <w:rsid w:val="004D7A56"/>
    <w:rsid w:val="004E7E4B"/>
    <w:rsid w:val="004F06F7"/>
    <w:rsid w:val="004F3697"/>
    <w:rsid w:val="004F5A91"/>
    <w:rsid w:val="00505204"/>
    <w:rsid w:val="005105A3"/>
    <w:rsid w:val="00510729"/>
    <w:rsid w:val="00511298"/>
    <w:rsid w:val="00516803"/>
    <w:rsid w:val="005254F7"/>
    <w:rsid w:val="005355B1"/>
    <w:rsid w:val="00536763"/>
    <w:rsid w:val="005403C8"/>
    <w:rsid w:val="0054597A"/>
    <w:rsid w:val="00547BD0"/>
    <w:rsid w:val="005527AF"/>
    <w:rsid w:val="00555134"/>
    <w:rsid w:val="00560492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E5BF7"/>
    <w:rsid w:val="00602917"/>
    <w:rsid w:val="0060515A"/>
    <w:rsid w:val="00613DBB"/>
    <w:rsid w:val="00614A3D"/>
    <w:rsid w:val="006154A0"/>
    <w:rsid w:val="00616AE0"/>
    <w:rsid w:val="0062405D"/>
    <w:rsid w:val="0062607B"/>
    <w:rsid w:val="00632F86"/>
    <w:rsid w:val="00640501"/>
    <w:rsid w:val="00641B45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A6EDE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2F06"/>
    <w:rsid w:val="00703AF9"/>
    <w:rsid w:val="00705881"/>
    <w:rsid w:val="0070675C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1502"/>
    <w:rsid w:val="007450DE"/>
    <w:rsid w:val="00756B67"/>
    <w:rsid w:val="00767501"/>
    <w:rsid w:val="0077229A"/>
    <w:rsid w:val="0077272D"/>
    <w:rsid w:val="0077403F"/>
    <w:rsid w:val="00784D59"/>
    <w:rsid w:val="007967E9"/>
    <w:rsid w:val="00797881"/>
    <w:rsid w:val="007A3319"/>
    <w:rsid w:val="007A726B"/>
    <w:rsid w:val="007B4CB6"/>
    <w:rsid w:val="007B6272"/>
    <w:rsid w:val="007C4517"/>
    <w:rsid w:val="007D58B0"/>
    <w:rsid w:val="007E6943"/>
    <w:rsid w:val="007E6ED4"/>
    <w:rsid w:val="00800136"/>
    <w:rsid w:val="00804F40"/>
    <w:rsid w:val="00805B8F"/>
    <w:rsid w:val="008150B8"/>
    <w:rsid w:val="00817987"/>
    <w:rsid w:val="00820821"/>
    <w:rsid w:val="008222CB"/>
    <w:rsid w:val="0082401A"/>
    <w:rsid w:val="008309EC"/>
    <w:rsid w:val="00833163"/>
    <w:rsid w:val="00840188"/>
    <w:rsid w:val="00842C59"/>
    <w:rsid w:val="00842E0A"/>
    <w:rsid w:val="00847891"/>
    <w:rsid w:val="00850FA4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76D7"/>
    <w:rsid w:val="008F7A18"/>
    <w:rsid w:val="009037C2"/>
    <w:rsid w:val="00904AC3"/>
    <w:rsid w:val="00912D92"/>
    <w:rsid w:val="0091462A"/>
    <w:rsid w:val="009209EF"/>
    <w:rsid w:val="00942926"/>
    <w:rsid w:val="00947BE5"/>
    <w:rsid w:val="00953228"/>
    <w:rsid w:val="0097292D"/>
    <w:rsid w:val="009801D8"/>
    <w:rsid w:val="00980E9D"/>
    <w:rsid w:val="00984162"/>
    <w:rsid w:val="0099022D"/>
    <w:rsid w:val="009924B1"/>
    <w:rsid w:val="009A1AA5"/>
    <w:rsid w:val="009A64FD"/>
    <w:rsid w:val="009A7BCE"/>
    <w:rsid w:val="009B62EB"/>
    <w:rsid w:val="009C17EA"/>
    <w:rsid w:val="009D28C7"/>
    <w:rsid w:val="009D3DE4"/>
    <w:rsid w:val="009E295C"/>
    <w:rsid w:val="009F46B9"/>
    <w:rsid w:val="009F5809"/>
    <w:rsid w:val="009F6E2D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4FF"/>
    <w:rsid w:val="00AA4BD5"/>
    <w:rsid w:val="00AA55A3"/>
    <w:rsid w:val="00AA6EFD"/>
    <w:rsid w:val="00AB1D38"/>
    <w:rsid w:val="00AB20A9"/>
    <w:rsid w:val="00AB4508"/>
    <w:rsid w:val="00AC02DF"/>
    <w:rsid w:val="00AC700E"/>
    <w:rsid w:val="00AC78D2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382A"/>
    <w:rsid w:val="00B244F9"/>
    <w:rsid w:val="00B41567"/>
    <w:rsid w:val="00B429BC"/>
    <w:rsid w:val="00B53B3F"/>
    <w:rsid w:val="00B667D5"/>
    <w:rsid w:val="00B66BFD"/>
    <w:rsid w:val="00B670A4"/>
    <w:rsid w:val="00B67736"/>
    <w:rsid w:val="00B7147E"/>
    <w:rsid w:val="00B72A46"/>
    <w:rsid w:val="00B7552D"/>
    <w:rsid w:val="00B764E7"/>
    <w:rsid w:val="00B81001"/>
    <w:rsid w:val="00B825E1"/>
    <w:rsid w:val="00B83C9D"/>
    <w:rsid w:val="00B941C8"/>
    <w:rsid w:val="00B948F0"/>
    <w:rsid w:val="00B951B3"/>
    <w:rsid w:val="00BA0BD8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274DC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D01C7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36A7E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6C"/>
    <w:rsid w:val="00D80394"/>
    <w:rsid w:val="00D81538"/>
    <w:rsid w:val="00D848D0"/>
    <w:rsid w:val="00D90733"/>
    <w:rsid w:val="00D92328"/>
    <w:rsid w:val="00D96013"/>
    <w:rsid w:val="00DA03A7"/>
    <w:rsid w:val="00DA5785"/>
    <w:rsid w:val="00DB108F"/>
    <w:rsid w:val="00DB1F45"/>
    <w:rsid w:val="00DB2734"/>
    <w:rsid w:val="00DB4EFC"/>
    <w:rsid w:val="00DB6CC7"/>
    <w:rsid w:val="00DB6EDB"/>
    <w:rsid w:val="00DC6280"/>
    <w:rsid w:val="00DC7631"/>
    <w:rsid w:val="00DD5686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634D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819FB"/>
    <w:rsid w:val="00F90442"/>
    <w:rsid w:val="00F9325B"/>
    <w:rsid w:val="00F9728D"/>
    <w:rsid w:val="00FA321C"/>
    <w:rsid w:val="00FA44C2"/>
    <w:rsid w:val="00FA6DEB"/>
    <w:rsid w:val="00FB5281"/>
    <w:rsid w:val="00FB7EEB"/>
    <w:rsid w:val="00FC06A1"/>
    <w:rsid w:val="00FC0D43"/>
    <w:rsid w:val="00FC44D7"/>
    <w:rsid w:val="00FD668B"/>
    <w:rsid w:val="00FD737A"/>
    <w:rsid w:val="00FE0E24"/>
    <w:rsid w:val="00FE2C99"/>
    <w:rsid w:val="00FE7483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16AF04A5-5DF9-42A0-B0B6-E6D79BB99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1055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5</cp:revision>
  <cp:lastPrinted>2008-11-24T15:14:00Z</cp:lastPrinted>
  <dcterms:created xsi:type="dcterms:W3CDTF">2018-08-14T22:48:00Z</dcterms:created>
  <dcterms:modified xsi:type="dcterms:W3CDTF">2019-05-22T15:17:00Z</dcterms:modified>
</cp:coreProperties>
</file>