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4036F2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="00377D9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377D95" w:rsidRPr="00113142">
              <w:rPr>
                <w:rFonts w:ascii="Arial" w:hAnsi="Arial" w:cs="Arial"/>
                <w:b/>
                <w:lang w:val="es-CO"/>
              </w:rPr>
              <w:t>INT0103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="00AE5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36623" w:rsidRPr="00436623">
              <w:rPr>
                <w:rFonts w:asciiTheme="minorHAnsi" w:hAnsiTheme="minorHAnsi" w:cs="Arial"/>
                <w:lang w:val="es-CO"/>
              </w:rPr>
              <w:t>Nivel alcanzado de formación en segunda lengua en administrativos</w:t>
            </w:r>
            <w:r w:rsidR="00436623">
              <w:rPr>
                <w:rFonts w:asciiTheme="minorHAnsi" w:hAnsiTheme="minorHAnsi" w:cs="Arial"/>
                <w:lang w:val="es-CO"/>
              </w:rPr>
              <w:t xml:space="preserve"> </w:t>
            </w:r>
            <w:r w:rsidR="00AE56F2">
              <w:rPr>
                <w:rFonts w:asciiTheme="minorHAnsi" w:hAnsiTheme="minorHAnsi" w:cs="Arial"/>
                <w:lang w:val="es-CO"/>
              </w:rPr>
              <w:t>(BA)</w:t>
            </w:r>
            <w:r w:rsidR="00436623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="00AE5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AE56F2" w:rsidRPr="00AE56F2">
              <w:rPr>
                <w:rFonts w:asciiTheme="minorHAnsi" w:hAnsiTheme="minorHAnsi" w:cs="Arial"/>
                <w:lang w:val="es-CO"/>
              </w:rPr>
              <w:t>Porcentaje de funcionarios administrativos que han alcanzado nivel B+ en suficiencia en lengua extranjera.</w:t>
            </w:r>
            <w:r w:rsidR="00AE56F2" w:rsidRPr="00AE5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AE56F2" w:rsidRPr="00AE56F2">
              <w:rPr>
                <w:rFonts w:asciiTheme="minorHAnsi" w:hAnsiTheme="minorHAnsi" w:cs="Arial"/>
                <w:lang w:val="es-CO"/>
              </w:rPr>
              <w:t>Medir la suficiencia en lengua extranjera por parte de los funcionarios administrativos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AE56F2" w:rsidRPr="00AE56F2">
              <w:rPr>
                <w:rFonts w:asciiTheme="minorHAnsi" w:hAnsiTheme="minorHAnsi" w:cs="Arial"/>
                <w:lang w:val="es-CO"/>
              </w:rPr>
              <w:t>Internacionalización</w:t>
            </w:r>
          </w:p>
        </w:tc>
      </w:tr>
      <w:tr w:rsidR="009801D8" w:rsidRPr="004036F2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AE56F2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9D737C" w:rsidRPr="009D737C">
              <w:rPr>
                <w:rFonts w:asciiTheme="minorHAnsi" w:hAnsiTheme="minorHAnsi" w:cs="Arial"/>
                <w:lang w:val="es-CO"/>
              </w:rPr>
              <w:t>Internacionalización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436623" w:rsidRDefault="00436623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436623" w:rsidRDefault="00436623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 xml:space="preserve">Factor </w:t>
            </w:r>
            <w:r w:rsidRPr="00436623">
              <w:rPr>
                <w:rFonts w:asciiTheme="minorHAnsi" w:hAnsiTheme="minorHAnsi" w:cs="Arial"/>
                <w:b/>
                <w:lang w:val="es-CO"/>
              </w:rPr>
              <w:t>10. ORGANIZACIÓN, GESTIÓN Y ADMINISTRACIÓN</w:t>
            </w:r>
          </w:p>
          <w:p w:rsidR="00436623" w:rsidRDefault="00436623" w:rsidP="00456052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36623">
              <w:rPr>
                <w:rFonts w:asciiTheme="minorHAnsi" w:hAnsiTheme="minorHAnsi" w:cs="Arial"/>
                <w:lang w:val="es-CO"/>
              </w:rPr>
              <w:t>Característica</w:t>
            </w:r>
            <w:r>
              <w:rPr>
                <w:rFonts w:asciiTheme="minorHAnsi" w:hAnsiTheme="minorHAnsi" w:cs="Arial"/>
                <w:lang w:val="es-CO"/>
              </w:rPr>
              <w:t>:</w:t>
            </w:r>
            <w:r w:rsidRPr="00436623">
              <w:rPr>
                <w:rFonts w:asciiTheme="minorHAnsi" w:hAnsiTheme="minorHAnsi" w:cs="Arial"/>
                <w:lang w:val="es-CO"/>
              </w:rPr>
              <w:t xml:space="preserve"> 25</w:t>
            </w:r>
            <w:r>
              <w:rPr>
                <w:rFonts w:asciiTheme="minorHAnsi" w:hAnsiTheme="minorHAnsi" w:cs="Arial"/>
                <w:lang w:val="es-CO"/>
              </w:rPr>
              <w:t>.</w:t>
            </w:r>
            <w:r w:rsidRPr="00436623">
              <w:rPr>
                <w:rFonts w:asciiTheme="minorHAnsi" w:hAnsiTheme="minorHAnsi" w:cs="Arial"/>
                <w:lang w:val="es-CO"/>
              </w:rPr>
              <w:t xml:space="preserve"> Administración y gestión.</w:t>
            </w:r>
          </w:p>
          <w:p w:rsidR="00436623" w:rsidRPr="00436623" w:rsidRDefault="00436623" w:rsidP="00456052">
            <w:pPr>
              <w:spacing w:line="0" w:lineRule="atLeast"/>
              <w:rPr>
                <w:rFonts w:asciiTheme="minorHAnsi" w:hAnsiTheme="minorHAnsi" w:cs="Arial"/>
                <w:highlight w:val="green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Aspecto: </w:t>
            </w:r>
            <w:r w:rsidRPr="00436623">
              <w:rPr>
                <w:rFonts w:asciiTheme="minorHAnsi" w:hAnsiTheme="minorHAnsi" w:cs="Arial"/>
                <w:lang w:val="es-CO"/>
              </w:rPr>
              <w:t>F. Programas de capacitación que redunden en la cualificación del desempeño de sus funcionarios.</w:t>
            </w: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436623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</w:p>
          <w:p w:rsidR="00AE56F2" w:rsidRPr="004036F2" w:rsidRDefault="0090089C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="Arial" w:hAnsi="Arial" w:cs="Arial"/>
                <w:noProof/>
                <w:lang w:val="es-CO"/>
              </w:rPr>
              <w:t>Vicer</w:t>
            </w:r>
            <w:r w:rsidR="00AE56F2" w:rsidRPr="00113142">
              <w:rPr>
                <w:rFonts w:ascii="Arial" w:hAnsi="Arial" w:cs="Arial"/>
                <w:noProof/>
                <w:lang w:val="es-CO"/>
              </w:rPr>
              <w:t>r</w:t>
            </w:r>
            <w:r>
              <w:rPr>
                <w:rFonts w:ascii="Arial" w:hAnsi="Arial" w:cs="Arial"/>
                <w:noProof/>
                <w:lang w:val="es-CO"/>
              </w:rPr>
              <w:t>e</w:t>
            </w:r>
            <w:r w:rsidR="00AE56F2" w:rsidRPr="00113142">
              <w:rPr>
                <w:rFonts w:ascii="Arial" w:hAnsi="Arial" w:cs="Arial"/>
                <w:noProof/>
                <w:lang w:val="es-CO"/>
              </w:rPr>
              <w:t>ctoría Administrativa</w:t>
            </w:r>
            <w:r w:rsidR="00E7414B">
              <w:rPr>
                <w:rFonts w:ascii="Arial" w:hAnsi="Arial" w:cs="Arial"/>
                <w:noProof/>
                <w:lang w:val="es-CO"/>
              </w:rPr>
              <w:t>.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7B4CB6" w:rsidRPr="003F7165" w:rsidRDefault="007B4CB6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Cálculo: </w:t>
            </w:r>
            <w:r w:rsidR="00AE56F2" w:rsidRPr="00AE56F2">
              <w:rPr>
                <w:rFonts w:asciiTheme="minorHAnsi" w:hAnsiTheme="minorHAnsi" w:cs="Arial"/>
                <w:lang w:val="es-CO"/>
              </w:rPr>
              <w:t>Vicerrectoría Administrativa</w:t>
            </w:r>
            <w:r w:rsidR="00E7414B">
              <w:rPr>
                <w:rFonts w:asciiTheme="minorHAnsi" w:hAnsiTheme="minorHAnsi" w:cs="Arial"/>
                <w:lang w:val="es-CO"/>
              </w:rPr>
              <w:t>.</w:t>
            </w:r>
            <w:r w:rsidR="00AE56F2" w:rsidRPr="00AE56F2">
              <w:rPr>
                <w:rFonts w:asciiTheme="minorHAnsi" w:hAnsiTheme="minorHAnsi" w:cs="Arial"/>
                <w:lang w:val="es-CO"/>
              </w:rPr>
              <w:t xml:space="preserve">             </w:t>
            </w:r>
          </w:p>
          <w:p w:rsidR="007B4CB6" w:rsidRPr="004036F2" w:rsidRDefault="007B4CB6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Gestión y análisis: </w:t>
            </w:r>
            <w:r w:rsidR="00AE56F2" w:rsidRPr="00AE56F2">
              <w:rPr>
                <w:rFonts w:asciiTheme="minorHAnsi" w:hAnsiTheme="minorHAnsi" w:cs="Arial"/>
                <w:lang w:val="es-CO"/>
              </w:rPr>
              <w:t>Vicerrectoría Administrativa</w:t>
            </w:r>
            <w:r w:rsidR="00E7414B">
              <w:rPr>
                <w:rFonts w:asciiTheme="minorHAnsi" w:hAnsiTheme="minorHAnsi" w:cs="Arial"/>
                <w:lang w:val="es-CO"/>
              </w:rPr>
              <w:t xml:space="preserve"> y </w:t>
            </w:r>
            <w:r w:rsidR="00AE56F2" w:rsidRPr="00AE56F2">
              <w:rPr>
                <w:rFonts w:asciiTheme="minorHAnsi" w:hAnsiTheme="minorHAnsi" w:cs="Arial"/>
                <w:lang w:val="es-CO"/>
              </w:rPr>
              <w:t>Oficina de Relaciones Internacionales</w:t>
            </w:r>
            <w:r w:rsidR="00E7414B">
              <w:rPr>
                <w:rFonts w:asciiTheme="minorHAnsi" w:hAnsiTheme="minorHAnsi" w:cs="Arial"/>
                <w:lang w:val="es-CO"/>
              </w:rPr>
              <w:t>.</w:t>
            </w:r>
            <w:r w:rsidR="00AE56F2" w:rsidRPr="00113142">
              <w:rPr>
                <w:rFonts w:ascii="Arial" w:hAnsi="Arial" w:cs="Arial"/>
                <w:lang w:val="es-CO"/>
              </w:rPr>
              <w:t xml:space="preserve">             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Fecha de creación:</w:t>
            </w:r>
            <w:r w:rsidR="00AE5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AE56F2" w:rsidRPr="00AE56F2">
              <w:rPr>
                <w:rFonts w:asciiTheme="minorHAnsi" w:hAnsiTheme="minorHAnsi" w:cs="Arial"/>
                <w:lang w:val="es-CO"/>
              </w:rPr>
              <w:t>4 de Diciembre de 2007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4036F2" w:rsidRDefault="00C01AC4" w:rsidP="009D737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9D737C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D241CD" w:rsidRDefault="00D241CD" w:rsidP="00D241CD">
      <w:pPr>
        <w:pStyle w:val="Prrafodelista"/>
        <w:spacing w:line="0" w:lineRule="atLeast"/>
        <w:rPr>
          <w:rFonts w:ascii="Arial" w:hAnsi="Arial" w:cs="Arial"/>
          <w:b/>
          <w:sz w:val="28"/>
          <w:szCs w:val="22"/>
        </w:rPr>
      </w:pPr>
    </w:p>
    <w:p w:rsidR="009801D8" w:rsidRPr="00D037B1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8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CA0BD8" w:rsidRPr="00D037B1" w:rsidRDefault="00CA0BD8" w:rsidP="00D6274A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:rsidR="00AE56F2" w:rsidRPr="00AE56F2" w:rsidRDefault="00AE56F2" w:rsidP="00AE56F2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</w:rPr>
            </w:pPr>
          </w:p>
          <w:p w:rsidR="00AE56F2" w:rsidRPr="00AE56F2" w:rsidRDefault="00AE56F2" w:rsidP="00AE56F2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</w:rPr>
            </w:pPr>
            <w:r w:rsidRPr="00AE56F2">
              <w:rPr>
                <w:rFonts w:asciiTheme="minorHAnsi" w:hAnsiTheme="minorHAnsi" w:cs="Arial"/>
                <w:b/>
                <w:bCs/>
                <w:noProof/>
              </w:rPr>
              <w:t xml:space="preserve">Bilingüismo: </w:t>
            </w:r>
            <w:r w:rsidRPr="00AE56F2">
              <w:rPr>
                <w:rFonts w:asciiTheme="minorHAnsi" w:hAnsiTheme="minorHAnsi" w:cs="Arial"/>
                <w:bCs/>
                <w:noProof/>
              </w:rPr>
              <w:t>Es la capacidad que posee una persona para comunicarse a través de una segunda lengua diferente a la nativa.</w:t>
            </w:r>
          </w:p>
          <w:p w:rsidR="00AE56F2" w:rsidRPr="00AE56F2" w:rsidRDefault="00AE56F2" w:rsidP="00AE56F2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</w:rPr>
            </w:pPr>
          </w:p>
          <w:p w:rsidR="00D241CD" w:rsidRPr="00D037B1" w:rsidRDefault="00AE56F2" w:rsidP="00D241CD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</w:pPr>
            <w:r w:rsidRPr="00AE56F2">
              <w:rPr>
                <w:rFonts w:asciiTheme="minorHAnsi" w:hAnsiTheme="minorHAnsi" w:cs="Arial"/>
                <w:b/>
                <w:bCs/>
                <w:noProof/>
              </w:rPr>
              <w:t>Comunidad universitaria:</w:t>
            </w:r>
            <w:r w:rsidRPr="00AE56F2">
              <w:rPr>
                <w:rFonts w:asciiTheme="minorHAnsi" w:hAnsiTheme="minorHAnsi" w:cs="Arial"/>
                <w:bCs/>
                <w:noProof/>
              </w:rPr>
              <w:t xml:space="preserve"> Docentes, estudiantes y administrativos.</w:t>
            </w:r>
          </w:p>
          <w:p w:rsidR="00D241CD" w:rsidRPr="00D037B1" w:rsidRDefault="00D241CD" w:rsidP="00D241CD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</w:pPr>
          </w:p>
          <w:p w:rsidR="00D241CD" w:rsidRPr="00D037B1" w:rsidRDefault="00D241CD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AE56F2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4A5674" w:rsidRPr="00D037B1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9801D8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</w:p>
          <w:p w:rsidR="00AE56F2" w:rsidRPr="00AE56F2" w:rsidRDefault="00AE56F2" w:rsidP="00D241CD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Cs w:val="20"/>
                  </w:rPr>
                  <m:t>BA=</m:t>
                </m:r>
                <m:f>
                  <m:fPr>
                    <m:ctrlPr>
                      <w:rPr>
                        <w:rFonts w:ascii="Cambria Math" w:hAnsi="Cambria Math" w:cs="Arial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Número de administrativos que alcanzaron nivel B+ en segunda lengua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 xml:space="preserve">total de administrativos </m:t>
                    </m:r>
                  </m:den>
                </m:f>
                <m:r>
                  <w:rPr>
                    <w:rFonts w:ascii="Cambria Math" w:hAnsi="Cambria Math" w:cs="Arial"/>
                    <w:szCs w:val="20"/>
                  </w:rPr>
                  <m:t>*100</m:t>
                </m:r>
              </m:oMath>
            </m:oMathPara>
          </w:p>
          <w:p w:rsidR="00D241CD" w:rsidRPr="00D037B1" w:rsidRDefault="00D241CD" w:rsidP="00AE56F2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9D3DE4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</w:p>
          <w:p w:rsidR="005C1B1E" w:rsidRDefault="005C1B1E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5C1B1E" w:rsidRPr="005C1B1E" w:rsidRDefault="005C1B1E" w:rsidP="005C1B1E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Pr="005C1B1E">
              <w:rPr>
                <w:rFonts w:ascii="Arial" w:hAnsi="Arial" w:cs="Arial"/>
              </w:rPr>
              <w:t>ste indicador es acumulativo y corresponde a todos aquellos funcionarios</w:t>
            </w:r>
            <w:r>
              <w:rPr>
                <w:rFonts w:ascii="Arial" w:hAnsi="Arial" w:cs="Arial"/>
              </w:rPr>
              <w:t xml:space="preserve"> (transitorios y de planta)</w:t>
            </w:r>
            <w:r w:rsidRPr="005C1B1E">
              <w:rPr>
                <w:rFonts w:ascii="Arial" w:hAnsi="Arial" w:cs="Arial"/>
              </w:rPr>
              <w:t xml:space="preserve"> adscritos a las diferentes dependencias administrativas que desde el 2010 han venido presentando la prueba Oxford y que se encuentran catalogados como mínimo en nivel de competencia en el idioma ingles B1</w:t>
            </w:r>
            <w:r>
              <w:rPr>
                <w:rFonts w:ascii="Arial" w:hAnsi="Arial" w:cs="Arial"/>
              </w:rPr>
              <w:t>.</w:t>
            </w:r>
          </w:p>
          <w:p w:rsidR="005C1B1E" w:rsidRDefault="005C1B1E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AE56F2" w:rsidRPr="00113142" w:rsidRDefault="00AE56F2" w:rsidP="00AE56F2">
            <w:pPr>
              <w:spacing w:line="240" w:lineRule="auto"/>
              <w:rPr>
                <w:rFonts w:ascii="Arial" w:hAnsi="Arial" w:cs="Arial"/>
              </w:rPr>
            </w:pPr>
            <w:r w:rsidRPr="00113142">
              <w:rPr>
                <w:rFonts w:ascii="Arial" w:hAnsi="Arial" w:cs="Arial"/>
              </w:rPr>
              <w:t xml:space="preserve">Los niveles de suficiencia de bilingüismo son definidos de acuerdo con el marco común </w:t>
            </w:r>
            <w:r w:rsidR="0090089C">
              <w:rPr>
                <w:rFonts w:ascii="Arial" w:hAnsi="Arial" w:cs="Arial"/>
              </w:rPr>
              <w:t xml:space="preserve">europeo </w:t>
            </w:r>
            <w:r w:rsidRPr="00113142">
              <w:rPr>
                <w:rFonts w:ascii="Arial" w:hAnsi="Arial" w:cs="Arial"/>
              </w:rPr>
              <w:t>de referencia para lenguas</w:t>
            </w:r>
            <w:r w:rsidR="0090089C">
              <w:rPr>
                <w:rFonts w:ascii="Arial" w:hAnsi="Arial" w:cs="Arial"/>
              </w:rPr>
              <w:t>, el cual</w:t>
            </w:r>
            <w:r w:rsidRPr="00113142">
              <w:rPr>
                <w:rFonts w:ascii="Arial" w:hAnsi="Arial" w:cs="Arial"/>
              </w:rPr>
              <w:t xml:space="preserve"> establece los siguientes seis niveles de acuerdo con las competencias en el manejo del idioma:</w:t>
            </w:r>
          </w:p>
          <w:p w:rsidR="00AE56F2" w:rsidRPr="00113142" w:rsidRDefault="00AE56F2" w:rsidP="00AE56F2">
            <w:pPr>
              <w:spacing w:line="240" w:lineRule="auto"/>
              <w:rPr>
                <w:rFonts w:ascii="Arial" w:hAnsi="Arial" w:cs="Arial"/>
              </w:rPr>
            </w:pPr>
          </w:p>
          <w:p w:rsidR="00AE56F2" w:rsidRPr="00113142" w:rsidRDefault="00AE56F2" w:rsidP="00AE56F2">
            <w:pPr>
              <w:spacing w:line="240" w:lineRule="auto"/>
              <w:rPr>
                <w:rFonts w:ascii="Arial" w:hAnsi="Arial" w:cs="Arial"/>
              </w:rPr>
            </w:pPr>
            <w:r w:rsidRPr="00113142">
              <w:rPr>
                <w:rFonts w:ascii="Arial" w:hAnsi="Arial" w:cs="Arial"/>
              </w:rPr>
              <w:t>A1 Beginner: personas con la capacidad básica de comunicarse e intercambiar información.</w:t>
            </w:r>
          </w:p>
          <w:p w:rsidR="00AE56F2" w:rsidRPr="00113142" w:rsidRDefault="00AE56F2" w:rsidP="00AE56F2">
            <w:pPr>
              <w:spacing w:line="240" w:lineRule="auto"/>
              <w:rPr>
                <w:rFonts w:ascii="Arial" w:hAnsi="Arial" w:cs="Arial"/>
              </w:rPr>
            </w:pPr>
          </w:p>
          <w:p w:rsidR="00AE56F2" w:rsidRPr="00113142" w:rsidRDefault="00AE56F2" w:rsidP="00AE56F2">
            <w:pPr>
              <w:spacing w:line="240" w:lineRule="auto"/>
              <w:rPr>
                <w:rFonts w:ascii="Arial" w:hAnsi="Arial" w:cs="Arial"/>
              </w:rPr>
            </w:pPr>
            <w:r w:rsidRPr="00113142">
              <w:rPr>
                <w:rFonts w:ascii="Arial" w:hAnsi="Arial" w:cs="Arial"/>
              </w:rPr>
              <w:t>A2 Elementay: personas con la capacidad para manejar información simple y situaciones rutinarias.</w:t>
            </w:r>
          </w:p>
          <w:p w:rsidR="00AE56F2" w:rsidRPr="00113142" w:rsidRDefault="00AE56F2" w:rsidP="00AE56F2">
            <w:pPr>
              <w:spacing w:line="240" w:lineRule="auto"/>
              <w:rPr>
                <w:rFonts w:ascii="Arial" w:hAnsi="Arial" w:cs="Arial"/>
              </w:rPr>
            </w:pPr>
          </w:p>
          <w:p w:rsidR="00AE56F2" w:rsidRPr="00113142" w:rsidRDefault="00AE56F2" w:rsidP="00AE56F2">
            <w:pPr>
              <w:spacing w:line="240" w:lineRule="auto"/>
              <w:rPr>
                <w:rFonts w:ascii="Arial" w:hAnsi="Arial" w:cs="Arial"/>
              </w:rPr>
            </w:pPr>
            <w:r w:rsidRPr="00113142">
              <w:rPr>
                <w:rFonts w:ascii="Arial" w:hAnsi="Arial" w:cs="Arial"/>
              </w:rPr>
              <w:t>B1 Low-Intermediate: personas que pueden manejar una gama más amplia de situaciones y expresar opiniones y actitudes de forma limitada.</w:t>
            </w:r>
          </w:p>
          <w:p w:rsidR="00AE56F2" w:rsidRPr="00113142" w:rsidRDefault="00AE56F2" w:rsidP="00AE56F2">
            <w:pPr>
              <w:spacing w:line="240" w:lineRule="auto"/>
              <w:rPr>
                <w:rFonts w:ascii="Arial" w:hAnsi="Arial" w:cs="Arial"/>
              </w:rPr>
            </w:pPr>
          </w:p>
          <w:p w:rsidR="00AE56F2" w:rsidRPr="00113142" w:rsidRDefault="00AE56F2" w:rsidP="00AE56F2">
            <w:pPr>
              <w:spacing w:line="240" w:lineRule="auto"/>
              <w:rPr>
                <w:rFonts w:ascii="Arial" w:hAnsi="Arial" w:cs="Arial"/>
              </w:rPr>
            </w:pPr>
            <w:r w:rsidRPr="00113142">
              <w:rPr>
                <w:rFonts w:ascii="Arial" w:hAnsi="Arial" w:cs="Arial"/>
              </w:rPr>
              <w:t>B2 Upper-Intermediate: personas con la habilidad para usar el inglés en una variedad de situaciones y una conciencia mayor de las normas de uso del lenguaje.</w:t>
            </w:r>
          </w:p>
          <w:p w:rsidR="00AE56F2" w:rsidRPr="00113142" w:rsidRDefault="00AE56F2" w:rsidP="00AE56F2">
            <w:pPr>
              <w:spacing w:line="240" w:lineRule="auto"/>
              <w:rPr>
                <w:rFonts w:ascii="Arial" w:hAnsi="Arial" w:cs="Arial"/>
              </w:rPr>
            </w:pPr>
          </w:p>
          <w:p w:rsidR="00AE56F2" w:rsidRPr="00113142" w:rsidRDefault="00AE56F2" w:rsidP="00AE56F2">
            <w:pPr>
              <w:spacing w:line="240" w:lineRule="auto"/>
              <w:rPr>
                <w:rFonts w:ascii="Arial" w:hAnsi="Arial" w:cs="Arial"/>
              </w:rPr>
            </w:pPr>
            <w:r w:rsidRPr="00113142">
              <w:rPr>
                <w:rFonts w:ascii="Arial" w:hAnsi="Arial" w:cs="Arial"/>
              </w:rPr>
              <w:t>C1 Advanced: personas con la fluidez, adaptabilidad, sensibilidad y capacidad para manejar situaciones que salen de lo habitual.</w:t>
            </w:r>
          </w:p>
          <w:p w:rsidR="00AE56F2" w:rsidRPr="00113142" w:rsidRDefault="00AE56F2" w:rsidP="00AE56F2">
            <w:pPr>
              <w:spacing w:line="240" w:lineRule="auto"/>
              <w:rPr>
                <w:rFonts w:ascii="Arial" w:hAnsi="Arial" w:cs="Arial"/>
              </w:rPr>
            </w:pPr>
          </w:p>
          <w:p w:rsidR="00AE56F2" w:rsidRPr="00D037B1" w:rsidRDefault="00AE56F2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113142">
              <w:rPr>
                <w:rFonts w:ascii="Arial" w:hAnsi="Arial" w:cs="Arial"/>
              </w:rPr>
              <w:t>C2 Proficiency: personas que dominan el idioma casi como un nativo.</w:t>
            </w:r>
          </w:p>
          <w:p w:rsidR="005C75D9" w:rsidRPr="00D037B1" w:rsidRDefault="005C75D9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lastRenderedPageBreak/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395A85" w:rsidRDefault="00395A85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395A85">
              <w:rPr>
                <w:noProof/>
                <w:lang w:val="es-CO" w:eastAsia="es-CO"/>
              </w:rPr>
              <w:drawing>
                <wp:anchor distT="0" distB="0" distL="114300" distR="114300" simplePos="0" relativeHeight="251658240" behindDoc="0" locked="0" layoutInCell="1" allowOverlap="1" wp14:anchorId="28887D9E" wp14:editId="1747E8AC">
                  <wp:simplePos x="0" y="0"/>
                  <wp:positionH relativeFrom="column">
                    <wp:posOffset>578485</wp:posOffset>
                  </wp:positionH>
                  <wp:positionV relativeFrom="paragraph">
                    <wp:posOffset>90805</wp:posOffset>
                  </wp:positionV>
                  <wp:extent cx="3819525" cy="390525"/>
                  <wp:effectExtent l="0" t="0" r="9525" b="9525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952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95A85" w:rsidRPr="00D037B1" w:rsidRDefault="00395A85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p w:rsidR="004A03EC" w:rsidRDefault="004A03EC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:rsidR="005739BB" w:rsidRDefault="005739BB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:rsidR="00395A85" w:rsidRPr="00113142" w:rsidRDefault="00395A85" w:rsidP="00395A85">
            <w:pPr>
              <w:spacing w:line="240" w:lineRule="auto"/>
              <w:rPr>
                <w:rFonts w:ascii="Arial" w:hAnsi="Arial" w:cs="Arial"/>
                <w:noProof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</w:rPr>
              <w:t>CEF</w:t>
            </w:r>
            <w:r w:rsidRPr="00113142">
              <w:rPr>
                <w:rFonts w:ascii="Arial" w:hAnsi="Arial" w:cs="Arial"/>
                <w:b/>
                <w:noProof/>
                <w:szCs w:val="20"/>
              </w:rPr>
              <w:t xml:space="preserve">: </w:t>
            </w:r>
            <w:r w:rsidRPr="00113142">
              <w:rPr>
                <w:rFonts w:ascii="Arial" w:hAnsi="Arial" w:cs="Arial"/>
                <w:noProof/>
                <w:szCs w:val="20"/>
              </w:rPr>
              <w:t>A1, A2, B1, B2, C1, C2.</w:t>
            </w:r>
          </w:p>
          <w:p w:rsidR="00395A85" w:rsidRDefault="00395A85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:rsidR="004A2B08" w:rsidRPr="00D037B1" w:rsidRDefault="004A2B08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noProof/>
                <w:sz w:val="20"/>
                <w:szCs w:val="20"/>
              </w:rPr>
              <w:t xml:space="preserve">Nota: </w:t>
            </w:r>
            <w:r w:rsidR="00395A85">
              <w:rPr>
                <w:rFonts w:asciiTheme="minorHAnsi" w:hAnsiTheme="minorHAnsi" w:cs="Arial"/>
                <w:noProof/>
                <w:sz w:val="20"/>
                <w:szCs w:val="20"/>
              </w:rPr>
              <w:t>Este so</w:t>
            </w:r>
            <w:r w:rsidR="0090089C">
              <w:rPr>
                <w:rFonts w:asciiTheme="minorHAnsi" w:hAnsiTheme="minorHAnsi" w:cs="Arial"/>
                <w:noProof/>
                <w:sz w:val="20"/>
                <w:szCs w:val="20"/>
              </w:rPr>
              <w:t>porte no se carga en el seguimiento, debido a que contiene</w:t>
            </w:r>
            <w:r w:rsidR="00395A85">
              <w:rPr>
                <w:rFonts w:asciiTheme="minorHAnsi" w:hAnsiTheme="minorHAnsi" w:cs="Arial"/>
                <w:noProof/>
                <w:sz w:val="20"/>
                <w:szCs w:val="20"/>
              </w:rPr>
              <w:t xml:space="preserve"> información personal</w:t>
            </w:r>
            <w:r w:rsidR="0090089C">
              <w:rPr>
                <w:rFonts w:asciiTheme="minorHAnsi" w:hAnsiTheme="minorHAnsi" w:cs="Arial"/>
                <w:noProof/>
                <w:sz w:val="20"/>
                <w:szCs w:val="20"/>
              </w:rPr>
              <w:t>;</w:t>
            </w:r>
            <w:r w:rsidR="00395A85">
              <w:rPr>
                <w:rFonts w:asciiTheme="minorHAnsi" w:hAnsiTheme="minorHAnsi" w:cs="Arial"/>
                <w:noProof/>
                <w:sz w:val="20"/>
                <w:szCs w:val="20"/>
              </w:rPr>
              <w:t xml:space="preserve"> por lo tanto</w:t>
            </w:r>
            <w:r w:rsidR="0090089C">
              <w:rPr>
                <w:rFonts w:asciiTheme="minorHAnsi" w:hAnsiTheme="minorHAnsi" w:cs="Arial"/>
                <w:noProof/>
                <w:sz w:val="20"/>
                <w:szCs w:val="20"/>
              </w:rPr>
              <w:t>,</w:t>
            </w:r>
            <w:r w:rsidR="00395A85">
              <w:rPr>
                <w:rFonts w:asciiTheme="minorHAnsi" w:hAnsiTheme="minorHAnsi" w:cs="Arial"/>
                <w:noProof/>
                <w:sz w:val="20"/>
                <w:szCs w:val="20"/>
              </w:rPr>
              <w:t xml:space="preserve"> reposa en el computador de la </w:t>
            </w:r>
            <w:r w:rsidR="00517274">
              <w:rPr>
                <w:rFonts w:asciiTheme="minorHAnsi" w:hAnsiTheme="minorHAnsi" w:cs="Arial"/>
                <w:noProof/>
                <w:sz w:val="20"/>
                <w:szCs w:val="20"/>
              </w:rPr>
              <w:t xml:space="preserve">Profesional </w:t>
            </w:r>
            <w:r w:rsidR="00395A85">
              <w:rPr>
                <w:rFonts w:asciiTheme="minorHAnsi" w:hAnsiTheme="minorHAnsi" w:cs="Arial"/>
                <w:noProof/>
                <w:sz w:val="20"/>
                <w:szCs w:val="20"/>
              </w:rPr>
              <w:t xml:space="preserve">de la </w:t>
            </w:r>
            <w:r w:rsidR="00517274">
              <w:rPr>
                <w:rFonts w:asciiTheme="minorHAnsi" w:hAnsiTheme="minorHAnsi" w:cs="Arial"/>
                <w:noProof/>
                <w:sz w:val="20"/>
                <w:szCs w:val="20"/>
              </w:rPr>
              <w:t xml:space="preserve">Vicerrectoría Administrativa </w:t>
            </w:r>
            <w:r w:rsidR="00395A85">
              <w:rPr>
                <w:rFonts w:asciiTheme="minorHAnsi" w:hAnsiTheme="minorHAnsi" w:cs="Arial"/>
                <w:noProof/>
                <w:sz w:val="20"/>
                <w:szCs w:val="20"/>
              </w:rPr>
              <w:t>encargada de realizar el reporte de avance del indicador.</w:t>
            </w:r>
          </w:p>
          <w:p w:rsidR="00C01AC4" w:rsidRPr="00D037B1" w:rsidRDefault="00C01AC4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E53A15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F49D3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5C1B1E" w:rsidRDefault="005C1B1E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5C1B1E">
              <w:rPr>
                <w:noProof/>
                <w:lang w:val="es-CO" w:eastAsia="es-CO"/>
              </w:rPr>
              <w:drawing>
                <wp:anchor distT="0" distB="0" distL="114300" distR="114300" simplePos="0" relativeHeight="251659264" behindDoc="0" locked="0" layoutInCell="1" allowOverlap="1" wp14:anchorId="04AE3347" wp14:editId="29F1D74D">
                  <wp:simplePos x="0" y="0"/>
                  <wp:positionH relativeFrom="column">
                    <wp:posOffset>670560</wp:posOffset>
                  </wp:positionH>
                  <wp:positionV relativeFrom="paragraph">
                    <wp:posOffset>88265</wp:posOffset>
                  </wp:positionV>
                  <wp:extent cx="4029075" cy="809625"/>
                  <wp:effectExtent l="0" t="0" r="9525" b="9525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90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C1B1E" w:rsidRDefault="005C1B1E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5C1B1E" w:rsidRDefault="005C1B1E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5C1B1E" w:rsidRPr="00D037B1" w:rsidRDefault="005C1B1E" w:rsidP="002114F6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0F49D3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:rsidR="009801D8" w:rsidRPr="00D037B1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118BB" w:rsidRPr="000118BB" w:rsidRDefault="000118BB" w:rsidP="00377D95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  <w:r w:rsidR="00377D95">
              <w:rPr>
                <w:rFonts w:asciiTheme="minorHAnsi" w:hAnsiTheme="minorHAnsi" w:cs="Arial"/>
                <w:szCs w:val="20"/>
              </w:rPr>
              <w:t xml:space="preserve"> </w:t>
            </w:r>
            <w:r w:rsidR="00377D95" w:rsidRPr="00377D95">
              <w:rPr>
                <w:rFonts w:asciiTheme="minorHAnsi" w:hAnsiTheme="minorHAnsi" w:cs="Arial"/>
                <w:szCs w:val="20"/>
              </w:rPr>
              <w:t xml:space="preserve">Número de administrativos en formación de </w:t>
            </w:r>
            <w:r w:rsidR="00377D95" w:rsidRPr="00377D95">
              <w:rPr>
                <w:rFonts w:asciiTheme="minorHAnsi" w:hAnsiTheme="minorHAnsi" w:cs="Arial"/>
                <w:szCs w:val="20"/>
              </w:rPr>
              <w:lastRenderedPageBreak/>
              <w:t>lengua extranjera</w:t>
            </w:r>
            <w:r w:rsidR="00517274">
              <w:rPr>
                <w:rFonts w:asciiTheme="minorHAnsi" w:hAnsiTheme="minorHAnsi" w:cs="Arial"/>
                <w:szCs w:val="20"/>
              </w:rPr>
              <w:t>.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  <w:r w:rsidR="00517274">
              <w:rPr>
                <w:rFonts w:asciiTheme="minorHAnsi" w:hAnsiTheme="minorHAnsi" w:cs="Arial"/>
                <w:szCs w:val="20"/>
              </w:rPr>
              <w:t xml:space="preserve"> desde el 01 enero hasta el 31 de diciembre 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  <w:r w:rsidR="00517274">
              <w:rPr>
                <w:rFonts w:asciiTheme="minorHAnsi" w:hAnsiTheme="minorHAnsi" w:cs="Arial"/>
                <w:szCs w:val="20"/>
              </w:rPr>
              <w:t xml:space="preserve"> Número total de administrativos que alcanzaron un nivel B+ en un segundo idioma </w:t>
            </w:r>
          </w:p>
          <w:p w:rsidR="00D241CD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>
              <w:rPr>
                <w:rFonts w:asciiTheme="minorHAnsi" w:hAnsiTheme="minorHAnsi" w:cs="Arial"/>
                <w:szCs w:val="20"/>
              </w:rPr>
              <w:t>:</w:t>
            </w:r>
            <w:r w:rsidR="00517274">
              <w:rPr>
                <w:rFonts w:asciiTheme="minorHAnsi" w:hAnsiTheme="minorHAnsi" w:cs="Arial"/>
                <w:szCs w:val="20"/>
              </w:rPr>
              <w:t xml:space="preserve"> La información soporte se encuentra en el </w:t>
            </w:r>
            <w:r w:rsidR="00517274" w:rsidRPr="00517274">
              <w:rPr>
                <w:rFonts w:asciiTheme="minorHAnsi" w:hAnsiTheme="minorHAnsi" w:cs="Arial"/>
                <w:szCs w:val="20"/>
              </w:rPr>
              <w:t>computador de la Profesional de la Vicerrectoría Administrativa encargada de realizar el reporte de avance del indicador.</w:t>
            </w:r>
          </w:p>
          <w:p w:rsidR="000118BB" w:rsidRPr="000118BB" w:rsidRDefault="000118BB" w:rsidP="00D80394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  <w:p w:rsidR="00D80394" w:rsidRPr="00E054D3" w:rsidRDefault="00E054D3" w:rsidP="00D80394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adicionales</w:t>
            </w:r>
            <w:r w:rsidRPr="00E054D3">
              <w:rPr>
                <w:rFonts w:asciiTheme="minorHAnsi" w:hAnsiTheme="minorHAnsi" w:cs="Arial"/>
                <w:b/>
                <w:szCs w:val="20"/>
              </w:rPr>
              <w:t xml:space="preserve"> para la gestión del objetivo:</w:t>
            </w:r>
            <w:r>
              <w:rPr>
                <w:rFonts w:asciiTheme="minorHAnsi" w:hAnsiTheme="minorHAnsi" w:cs="Arial"/>
                <w:b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Cs w:val="20"/>
              </w:rPr>
              <w:t>(en caso de requerirse)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D80394" w:rsidRPr="00D037B1" w:rsidRDefault="00D80394" w:rsidP="00D241CD">
            <w:pPr>
              <w:pStyle w:val="Prrafodelista"/>
              <w:spacing w:line="0" w:lineRule="atLeast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91462A" w:rsidRPr="00D037B1" w:rsidRDefault="0091462A" w:rsidP="00F56736">
      <w:pPr>
        <w:spacing w:line="0" w:lineRule="atLeast"/>
        <w:rPr>
          <w:rFonts w:asciiTheme="minorHAnsi" w:hAnsiTheme="minorHAnsi"/>
        </w:rPr>
      </w:pPr>
    </w:p>
    <w:p w:rsidR="00B941C8" w:rsidRDefault="00B941C8" w:rsidP="00F56736">
      <w:pPr>
        <w:spacing w:line="0" w:lineRule="atLeast"/>
        <w:rPr>
          <w:rFonts w:asciiTheme="minorHAnsi" w:hAnsiTheme="minorHAnsi"/>
        </w:rPr>
      </w:pPr>
    </w:p>
    <w:p w:rsidR="0028587D" w:rsidRPr="00D037B1" w:rsidRDefault="0028587D" w:rsidP="00F56736">
      <w:pPr>
        <w:spacing w:line="0" w:lineRule="atLeast"/>
        <w:rPr>
          <w:rFonts w:asciiTheme="minorHAnsi" w:hAnsiTheme="minorHAnsi"/>
        </w:rPr>
      </w:pPr>
    </w:p>
    <w:p w:rsidR="00536763" w:rsidRPr="00D037B1" w:rsidRDefault="00536763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9"/>
      <w:footerReference w:type="default" r:id="rId10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74C" w:rsidRDefault="00F4474C">
      <w:r>
        <w:separator/>
      </w:r>
    </w:p>
  </w:endnote>
  <w:endnote w:type="continuationSeparator" w:id="0">
    <w:p w:rsidR="00F4474C" w:rsidRDefault="00F44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74C" w:rsidRDefault="00F4474C">
      <w:r>
        <w:separator/>
      </w:r>
    </w:p>
  </w:footnote>
  <w:footnote w:type="continuationSeparator" w:id="0">
    <w:p w:rsidR="00F4474C" w:rsidRDefault="00F44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598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51CC403B" wp14:editId="23C8F71E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377D95" w:rsidRDefault="00377D95">
          <w:pPr>
            <w:jc w:val="center"/>
            <w:rPr>
              <w:rFonts w:asciiTheme="minorHAnsi" w:hAnsiTheme="minorHAnsi" w:cs="Arial"/>
              <w:b/>
              <w:sz w:val="22"/>
              <w:szCs w:val="22"/>
            </w:rPr>
          </w:pPr>
          <w:r w:rsidRPr="00377D95">
            <w:rPr>
              <w:rFonts w:asciiTheme="minorHAnsi" w:hAnsiTheme="minorHAnsi" w:cs="Arial"/>
              <w:b/>
              <w:sz w:val="22"/>
              <w:szCs w:val="22"/>
            </w:rPr>
            <w:t>Plan de Desarrollo Institucional 2016 – 2017</w:t>
          </w:r>
        </w:p>
        <w:p w:rsidR="00B05843" w:rsidRPr="00377D95" w:rsidRDefault="00436623">
          <w:pPr>
            <w:jc w:val="center"/>
            <w:rPr>
              <w:rFonts w:asciiTheme="minorHAnsi" w:hAnsiTheme="minorHAnsi" w:cs="Arial"/>
              <w:b/>
              <w:sz w:val="22"/>
              <w:szCs w:val="22"/>
            </w:rPr>
          </w:pPr>
          <w:r w:rsidRPr="00436623">
            <w:rPr>
              <w:rFonts w:asciiTheme="minorHAnsi" w:hAnsiTheme="minorHAnsi" w:cs="Arial"/>
              <w:b/>
              <w:sz w:val="22"/>
              <w:szCs w:val="22"/>
            </w:rPr>
            <w:t>Nivel alcanzado de formación en segunda lengua en administrativos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9D737C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1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9D737C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0CD0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731D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2514"/>
    <w:rsid w:val="0010740B"/>
    <w:rsid w:val="00113273"/>
    <w:rsid w:val="001176FC"/>
    <w:rsid w:val="00124A24"/>
    <w:rsid w:val="00124D81"/>
    <w:rsid w:val="00136324"/>
    <w:rsid w:val="0013744F"/>
    <w:rsid w:val="00137FC8"/>
    <w:rsid w:val="00164965"/>
    <w:rsid w:val="00164F96"/>
    <w:rsid w:val="001660DE"/>
    <w:rsid w:val="00171ABD"/>
    <w:rsid w:val="00172EC0"/>
    <w:rsid w:val="00176758"/>
    <w:rsid w:val="001804C0"/>
    <w:rsid w:val="00181138"/>
    <w:rsid w:val="00181294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E485A"/>
    <w:rsid w:val="001F5100"/>
    <w:rsid w:val="001F5702"/>
    <w:rsid w:val="002006FB"/>
    <w:rsid w:val="00205372"/>
    <w:rsid w:val="002056C2"/>
    <w:rsid w:val="002114F6"/>
    <w:rsid w:val="002227C4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5EEC"/>
    <w:rsid w:val="002611D9"/>
    <w:rsid w:val="00263F64"/>
    <w:rsid w:val="0026498D"/>
    <w:rsid w:val="002661CC"/>
    <w:rsid w:val="00272854"/>
    <w:rsid w:val="0028587D"/>
    <w:rsid w:val="00285FF8"/>
    <w:rsid w:val="00290B90"/>
    <w:rsid w:val="00293440"/>
    <w:rsid w:val="00293CF1"/>
    <w:rsid w:val="002A5CE3"/>
    <w:rsid w:val="002B03BE"/>
    <w:rsid w:val="002B43E9"/>
    <w:rsid w:val="002B4FD6"/>
    <w:rsid w:val="002B554B"/>
    <w:rsid w:val="002B78D8"/>
    <w:rsid w:val="002C0322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7401F"/>
    <w:rsid w:val="00377D95"/>
    <w:rsid w:val="00380B52"/>
    <w:rsid w:val="00382346"/>
    <w:rsid w:val="00387619"/>
    <w:rsid w:val="00390606"/>
    <w:rsid w:val="00395A85"/>
    <w:rsid w:val="003964E4"/>
    <w:rsid w:val="003971FE"/>
    <w:rsid w:val="003A38CC"/>
    <w:rsid w:val="003A6C98"/>
    <w:rsid w:val="003A73F9"/>
    <w:rsid w:val="003A7B2D"/>
    <w:rsid w:val="003B2C2C"/>
    <w:rsid w:val="003E274B"/>
    <w:rsid w:val="003E34AF"/>
    <w:rsid w:val="003F14AA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623"/>
    <w:rsid w:val="00436855"/>
    <w:rsid w:val="00440919"/>
    <w:rsid w:val="0044379E"/>
    <w:rsid w:val="00453FBC"/>
    <w:rsid w:val="004558E1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D13"/>
    <w:rsid w:val="004C4832"/>
    <w:rsid w:val="004C77F3"/>
    <w:rsid w:val="004D3142"/>
    <w:rsid w:val="004D6845"/>
    <w:rsid w:val="004D7A56"/>
    <w:rsid w:val="004E7E4B"/>
    <w:rsid w:val="004F3697"/>
    <w:rsid w:val="004F5A91"/>
    <w:rsid w:val="00505204"/>
    <w:rsid w:val="005105A3"/>
    <w:rsid w:val="00510729"/>
    <w:rsid w:val="00511298"/>
    <w:rsid w:val="00516803"/>
    <w:rsid w:val="00517274"/>
    <w:rsid w:val="005355B1"/>
    <w:rsid w:val="00536763"/>
    <w:rsid w:val="0054597A"/>
    <w:rsid w:val="00547BD0"/>
    <w:rsid w:val="00560492"/>
    <w:rsid w:val="00562A9B"/>
    <w:rsid w:val="00563FBB"/>
    <w:rsid w:val="005670C7"/>
    <w:rsid w:val="005739BB"/>
    <w:rsid w:val="00591FC4"/>
    <w:rsid w:val="005A2D0F"/>
    <w:rsid w:val="005A561E"/>
    <w:rsid w:val="005A6B09"/>
    <w:rsid w:val="005B670E"/>
    <w:rsid w:val="005C1B1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602917"/>
    <w:rsid w:val="0060515A"/>
    <w:rsid w:val="00613DBB"/>
    <w:rsid w:val="00614A3D"/>
    <w:rsid w:val="006154A0"/>
    <w:rsid w:val="00616AE0"/>
    <w:rsid w:val="0062405D"/>
    <w:rsid w:val="00632F86"/>
    <w:rsid w:val="00640501"/>
    <w:rsid w:val="00645AD7"/>
    <w:rsid w:val="0065175C"/>
    <w:rsid w:val="0066488A"/>
    <w:rsid w:val="006668A6"/>
    <w:rsid w:val="0067030D"/>
    <w:rsid w:val="006704E7"/>
    <w:rsid w:val="00670CC0"/>
    <w:rsid w:val="00674960"/>
    <w:rsid w:val="00676B38"/>
    <w:rsid w:val="006774A0"/>
    <w:rsid w:val="00696A91"/>
    <w:rsid w:val="006A1D7D"/>
    <w:rsid w:val="006C00D5"/>
    <w:rsid w:val="006D02CC"/>
    <w:rsid w:val="006D0BF2"/>
    <w:rsid w:val="006D0C54"/>
    <w:rsid w:val="006D55B9"/>
    <w:rsid w:val="006D68F1"/>
    <w:rsid w:val="006E0E98"/>
    <w:rsid w:val="006E45D4"/>
    <w:rsid w:val="006E7F1B"/>
    <w:rsid w:val="006F0850"/>
    <w:rsid w:val="006F1844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6B67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C4517"/>
    <w:rsid w:val="007D58B0"/>
    <w:rsid w:val="007E6943"/>
    <w:rsid w:val="007E6ED4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3C18"/>
    <w:rsid w:val="00865900"/>
    <w:rsid w:val="008664F5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76D7"/>
    <w:rsid w:val="008F7A18"/>
    <w:rsid w:val="0090089C"/>
    <w:rsid w:val="009037C2"/>
    <w:rsid w:val="00904AC3"/>
    <w:rsid w:val="00912D92"/>
    <w:rsid w:val="0091462A"/>
    <w:rsid w:val="00942926"/>
    <w:rsid w:val="00947BE5"/>
    <w:rsid w:val="00953228"/>
    <w:rsid w:val="0097292D"/>
    <w:rsid w:val="009801D8"/>
    <w:rsid w:val="00980E9D"/>
    <w:rsid w:val="00984162"/>
    <w:rsid w:val="009924B1"/>
    <w:rsid w:val="009A1AA5"/>
    <w:rsid w:val="009A64FD"/>
    <w:rsid w:val="009A7BCE"/>
    <w:rsid w:val="009B62EB"/>
    <w:rsid w:val="009C17EA"/>
    <w:rsid w:val="009D28C7"/>
    <w:rsid w:val="009D3DE4"/>
    <w:rsid w:val="009D737C"/>
    <w:rsid w:val="009F46B9"/>
    <w:rsid w:val="009F5809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83651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E1706"/>
    <w:rsid w:val="00AE56F2"/>
    <w:rsid w:val="00AE7DC8"/>
    <w:rsid w:val="00AF1DD5"/>
    <w:rsid w:val="00AF3D94"/>
    <w:rsid w:val="00AF4897"/>
    <w:rsid w:val="00B008A3"/>
    <w:rsid w:val="00B01685"/>
    <w:rsid w:val="00B049AE"/>
    <w:rsid w:val="00B05843"/>
    <w:rsid w:val="00B10071"/>
    <w:rsid w:val="00B114CF"/>
    <w:rsid w:val="00B1186C"/>
    <w:rsid w:val="00B12C28"/>
    <w:rsid w:val="00B203CF"/>
    <w:rsid w:val="00B244F9"/>
    <w:rsid w:val="00B41567"/>
    <w:rsid w:val="00B429BC"/>
    <w:rsid w:val="00B53B3F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51B3"/>
    <w:rsid w:val="00BA1C71"/>
    <w:rsid w:val="00BA1D56"/>
    <w:rsid w:val="00BA4B52"/>
    <w:rsid w:val="00BA762F"/>
    <w:rsid w:val="00BB2C7F"/>
    <w:rsid w:val="00BB4682"/>
    <w:rsid w:val="00BC058B"/>
    <w:rsid w:val="00BC56E3"/>
    <w:rsid w:val="00BD633A"/>
    <w:rsid w:val="00BE2A3C"/>
    <w:rsid w:val="00BE5487"/>
    <w:rsid w:val="00BF2ED1"/>
    <w:rsid w:val="00BF67A3"/>
    <w:rsid w:val="00C00D45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7AA2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B3D95"/>
    <w:rsid w:val="00CB7A63"/>
    <w:rsid w:val="00CC24EE"/>
    <w:rsid w:val="00CC446B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80394"/>
    <w:rsid w:val="00D81538"/>
    <w:rsid w:val="00D848D0"/>
    <w:rsid w:val="00D90733"/>
    <w:rsid w:val="00D92328"/>
    <w:rsid w:val="00DA5785"/>
    <w:rsid w:val="00DB108F"/>
    <w:rsid w:val="00DB1F45"/>
    <w:rsid w:val="00DB4EFC"/>
    <w:rsid w:val="00DB6CC7"/>
    <w:rsid w:val="00DB6EDB"/>
    <w:rsid w:val="00DC6280"/>
    <w:rsid w:val="00DC7631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53A15"/>
    <w:rsid w:val="00E664B2"/>
    <w:rsid w:val="00E736AE"/>
    <w:rsid w:val="00E73996"/>
    <w:rsid w:val="00E7414B"/>
    <w:rsid w:val="00E81B79"/>
    <w:rsid w:val="00E81C5A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D7F0E"/>
    <w:rsid w:val="00EE005E"/>
    <w:rsid w:val="00EE3E21"/>
    <w:rsid w:val="00EE594B"/>
    <w:rsid w:val="00EF4CE4"/>
    <w:rsid w:val="00EF7EDC"/>
    <w:rsid w:val="00F019B5"/>
    <w:rsid w:val="00F1533D"/>
    <w:rsid w:val="00F244F1"/>
    <w:rsid w:val="00F24B46"/>
    <w:rsid w:val="00F27E6F"/>
    <w:rsid w:val="00F30B2E"/>
    <w:rsid w:val="00F31E54"/>
    <w:rsid w:val="00F43A75"/>
    <w:rsid w:val="00F4474C"/>
    <w:rsid w:val="00F50800"/>
    <w:rsid w:val="00F5465E"/>
    <w:rsid w:val="00F56736"/>
    <w:rsid w:val="00F576B4"/>
    <w:rsid w:val="00F75544"/>
    <w:rsid w:val="00F9325B"/>
    <w:rsid w:val="00F9728D"/>
    <w:rsid w:val="00FA321C"/>
    <w:rsid w:val="00FA44C2"/>
    <w:rsid w:val="00FA6DEB"/>
    <w:rsid w:val="00FB5281"/>
    <w:rsid w:val="00FB7EEB"/>
    <w:rsid w:val="00FC0D43"/>
    <w:rsid w:val="00FC44D7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5:docId w15:val="{73928F74-90C6-4507-BBAC-1AC84C144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632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4102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6</cp:revision>
  <cp:lastPrinted>2008-11-24T15:14:00Z</cp:lastPrinted>
  <dcterms:created xsi:type="dcterms:W3CDTF">2016-04-14T15:21:00Z</dcterms:created>
  <dcterms:modified xsi:type="dcterms:W3CDTF">2019-05-22T15:22:00Z</dcterms:modified>
</cp:coreProperties>
</file>