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charts/chart18.xml" ContentType="application/vnd.openxmlformats-officedocument.drawingml.chart+xml"/>
  <Override PartName="/word/charts/chart19.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charts/chart24.xml" ContentType="application/vnd.openxmlformats-officedocument.drawingml.chart+xml"/>
  <Override PartName="/word/charts/chart25.xml" ContentType="application/vnd.openxmlformats-officedocument.drawingml.chart+xml"/>
  <Override PartName="/word/charts/chart26.xml" ContentType="application/vnd.openxmlformats-officedocument.drawingml.chart+xml"/>
  <Override PartName="/word/charts/chart27.xml" ContentType="application/vnd.openxmlformats-officedocument.drawingml.chart+xml"/>
  <Override PartName="/word/charts/chart28.xml" ContentType="application/vnd.openxmlformats-officedocument.drawingml.chart+xml"/>
  <Override PartName="/word/charts/chart29.xml" ContentType="application/vnd.openxmlformats-officedocument.drawingml.chart+xml"/>
  <Override PartName="/word/charts/chart30.xml" ContentType="application/vnd.openxmlformats-officedocument.drawingml.chart+xml"/>
  <Override PartName="/word/charts/chart31.xml" ContentType="application/vnd.openxmlformats-officedocument.drawingml.chart+xml"/>
  <Override PartName="/word/charts/chart32.xml" ContentType="application/vnd.openxmlformats-officedocument.drawingml.chart+xml"/>
  <Override PartName="/word/charts/chart33.xml" ContentType="application/vnd.openxmlformats-officedocument.drawingml.chart+xml"/>
  <Override PartName="/word/charts/chart34.xml" ContentType="application/vnd.openxmlformats-officedocument.drawingml.chart+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charts/chart35.xml" ContentType="application/vnd.openxmlformats-officedocument.drawingml.chart+xml"/>
  <Override PartName="/word/charts/chart36.xml" ContentType="application/vnd.openxmlformats-officedocument.drawingml.chart+xml"/>
  <Override PartName="/word/charts/chart37.xml" ContentType="application/vnd.openxmlformats-officedocument.drawingml.chart+xml"/>
  <Override PartName="/word/charts/chart38.xml" ContentType="application/vnd.openxmlformats-officedocument.drawingml.chart+xml"/>
  <Override PartName="/word/charts/chart39.xml" ContentType="application/vnd.openxmlformats-officedocument.drawingml.chart+xml"/>
  <Override PartName="/word/charts/chart40.xml" ContentType="application/vnd.openxmlformats-officedocument.drawingml.chart+xml"/>
  <Override PartName="/word/charts/chart41.xml" ContentType="application/vnd.openxmlformats-officedocument.drawingml.chart+xml"/>
  <Override PartName="/word/charts/chart42.xml" ContentType="application/vnd.openxmlformats-officedocument.drawingml.chart+xml"/>
  <Override PartName="/word/charts/chart43.xml" ContentType="application/vnd.openxmlformats-officedocument.drawingml.chart+xml"/>
  <Override PartName="/word/charts/chart44.xml" ContentType="application/vnd.openxmlformats-officedocument.drawingml.chart+xml"/>
  <Override PartName="/word/charts/chart45.xml" ContentType="application/vnd.openxmlformats-officedocument.drawingml.chart+xml"/>
  <Override PartName="/word/charts/chart46.xml" ContentType="application/vnd.openxmlformats-officedocument.drawingml.chart+xml"/>
  <Override PartName="/word/charts/chart47.xml" ContentType="application/vnd.openxmlformats-officedocument.drawingml.chart+xml"/>
  <Override PartName="/word/charts/chart48.xml" ContentType="application/vnd.openxmlformats-officedocument.drawingml.chart+xml"/>
  <Override PartName="/word/charts/chart49.xml" ContentType="application/vnd.openxmlformats-officedocument.drawingml.chart+xml"/>
  <Override PartName="/word/charts/chart50.xml" ContentType="application/vnd.openxmlformats-officedocument.drawingml.chart+xml"/>
  <Override PartName="/word/charts/chart51.xml" ContentType="application/vnd.openxmlformats-officedocument.drawingml.chart+xml"/>
  <Override PartName="/word/charts/chart52.xml" ContentType="application/vnd.openxmlformats-officedocument.drawingml.chart+xml"/>
  <Override PartName="/word/charts/chart53.xml" ContentType="application/vnd.openxmlformats-officedocument.drawingml.chart+xml"/>
  <Override PartName="/word/charts/chart54.xml" ContentType="application/vnd.openxmlformats-officedocument.drawingml.chart+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140D4" w:rsidRPr="00535E30" w:rsidRDefault="000E4B39" w:rsidP="00F80905">
      <w:pPr>
        <w:spacing w:after="0" w:line="276" w:lineRule="auto"/>
        <w:rPr>
          <w:rFonts w:asciiTheme="minorHAnsi" w:hAnsiTheme="minorHAnsi" w:cs="Arial"/>
          <w:highlight w:val="yellow"/>
        </w:rPr>
      </w:pPr>
      <w:r>
        <w:rPr>
          <w:rFonts w:asciiTheme="minorHAnsi" w:hAnsiTheme="minorHAnsi"/>
          <w:noProof/>
          <w:lang w:val="es-CO" w:eastAsia="es-CO"/>
        </w:rPr>
        <w:pict>
          <v:rect id="Rectangle 69" o:spid="_x0000_s1026" style="position:absolute;left:0;text-align:left;margin-left:4500.8pt;margin-top:0;width:612.4pt;height:793.2pt;flip:x;z-index:251718656;visibility:visible;mso-wrap-distance-top:7.2pt;mso-wrap-distance-bottom:7.2pt;mso-position-horizontal:outside;mso-position-horizontal-relative:page;mso-position-vertical:center;mso-position-vertical-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" o:allowincell="f" fillcolor="#365f91 [2404]" stroked="f" strokecolor="black [3213]" strokeweight="1.5pt">
            <v:shadow color="#f79646 [3209]" opacity=".5" offset="-15pt,0"/>
            <v:textbox inset="21.6pt,21.6pt,21.6pt,21.6pt">
              <w:txbxContent>
                <w:p w:rsidR="00EB79AD" w:rsidRDefault="00EB79AD" w:rsidP="0012174F">
                  <w:pPr>
                    <w:jc w:val="left"/>
                    <w:rPr>
                      <w:rFonts w:asciiTheme="minorHAnsi" w:hAnsiTheme="minorHAnsi"/>
                      <w:noProof/>
                      <w:sz w:val="16"/>
                      <w:lang w:val="es-CO" w:eastAsia="es-CO"/>
                    </w:rPr>
                  </w:pPr>
                </w:p>
                <w:p w:rsidR="00EB79AD" w:rsidRDefault="00EB79AD" w:rsidP="0012174F">
                  <w:pPr>
                    <w:jc w:val="left"/>
                    <w:rPr>
                      <w:rFonts w:asciiTheme="minorHAnsi" w:hAnsiTheme="minorHAnsi"/>
                      <w:noProof/>
                      <w:sz w:val="16"/>
                      <w:lang w:val="es-CO" w:eastAsia="es-CO"/>
                    </w:rPr>
                  </w:pPr>
                </w:p>
                <w:p w:rsidR="00EB79AD" w:rsidRDefault="00EB79AD" w:rsidP="0012174F">
                  <w:pPr>
                    <w:jc w:val="left"/>
                    <w:rPr>
                      <w:rFonts w:asciiTheme="minorHAnsi" w:hAnsiTheme="minorHAnsi"/>
                      <w:noProof/>
                      <w:sz w:val="16"/>
                      <w:lang w:val="es-CO" w:eastAsia="es-CO"/>
                    </w:rPr>
                  </w:pPr>
                </w:p>
                <w:p w:rsidR="00EB79AD" w:rsidRDefault="00EB79AD" w:rsidP="0012174F">
                  <w:pPr>
                    <w:jc w:val="left"/>
                    <w:rPr>
                      <w:rFonts w:asciiTheme="minorHAnsi" w:hAnsiTheme="minorHAnsi"/>
                      <w:noProof/>
                      <w:sz w:val="16"/>
                      <w:lang w:val="es-CO" w:eastAsia="es-CO"/>
                    </w:rPr>
                  </w:pPr>
                </w:p>
                <w:p w:rsidR="00EB79AD" w:rsidRDefault="00EB79AD" w:rsidP="0012174F">
                  <w:pPr>
                    <w:jc w:val="left"/>
                    <w:rPr>
                      <w:rFonts w:asciiTheme="minorHAnsi" w:hAnsiTheme="minorHAnsi"/>
                      <w:noProof/>
                      <w:sz w:val="16"/>
                      <w:lang w:val="es-CO" w:eastAsia="es-CO"/>
                    </w:rPr>
                  </w:pPr>
                </w:p>
                <w:p w:rsidR="00EB79AD" w:rsidRDefault="00EB79AD" w:rsidP="0012174F">
                  <w:pPr>
                    <w:jc w:val="left"/>
                    <w:rPr>
                      <w:rFonts w:asciiTheme="minorHAnsi" w:hAnsiTheme="minorHAnsi"/>
                      <w:noProof/>
                      <w:sz w:val="16"/>
                      <w:lang w:val="es-CO" w:eastAsia="es-CO"/>
                    </w:rPr>
                  </w:pPr>
                </w:p>
                <w:p w:rsidR="00EB79AD" w:rsidRDefault="00EB79AD" w:rsidP="00C340EE">
                  <w:pPr>
                    <w:jc w:val="center"/>
                    <w:rPr>
                      <w:color w:val="FFFFFF" w:themeColor="background1"/>
                      <w:sz w:val="96"/>
                      <w:szCs w:val="18"/>
                    </w:rPr>
                  </w:pPr>
                  <w:r>
                    <w:rPr>
                      <w:noProof/>
                      <w:color w:val="FFFFFF" w:themeColor="background1"/>
                      <w:sz w:val="96"/>
                      <w:szCs w:val="18"/>
                      <w:lang w:val="es-CO" w:eastAsia="es-CO"/>
                    </w:rPr>
                    <w:drawing>
                      <wp:inline distT="0" distB="0" distL="0" distR="0">
                        <wp:extent cx="1876425" cy="2983675"/>
                        <wp:effectExtent l="0" t="0" r="0" b="0"/>
                        <wp:docPr id="37" name="38 Imagen" descr="a blanco - negro vertic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 blanco - negro vertical.png"/>
                                <pic:cNvPicPr/>
                              </pic:nvPicPr>
                              <pic:blipFill>
                                <a:blip r:embed="rId9"/>
                                <a:stretch>
                                  <a:fillRect/>
                                </a:stretch>
                              </pic:blipFill>
                              <pic:spPr>
                                <a:xfrm>
                                  <a:off x="0" y="0"/>
                                  <a:ext cx="1878212" cy="2986517"/>
                                </a:xfrm>
                                <a:prstGeom prst="rect">
                                  <a:avLst/>
                                </a:prstGeom>
                              </pic:spPr>
                            </pic:pic>
                          </a:graphicData>
                        </a:graphic>
                      </wp:inline>
                    </w:drawing>
                  </w:r>
                </w:p>
                <w:p w:rsidR="00EB79AD" w:rsidRPr="001965C8" w:rsidRDefault="00EB79AD" w:rsidP="0012174F">
                  <w:pPr>
                    <w:jc w:val="left"/>
                    <w:rPr>
                      <w:color w:val="FFFFFF" w:themeColor="background1"/>
                      <w:sz w:val="72"/>
                      <w:szCs w:val="72"/>
                    </w:rPr>
                  </w:pPr>
                </w:p>
                <w:p w:rsidR="00EB79AD" w:rsidRDefault="00EB79AD" w:rsidP="00C340EE">
                  <w:pPr>
                    <w:jc w:val="center"/>
                    <w:rPr>
                      <w:b/>
                      <w:color w:val="FFFFFF" w:themeColor="background1"/>
                      <w:sz w:val="72"/>
                      <w:szCs w:val="18"/>
                    </w:rPr>
                  </w:pPr>
                  <w:r>
                    <w:rPr>
                      <w:b/>
                      <w:color w:val="FFFFFF" w:themeColor="background1"/>
                      <w:sz w:val="72"/>
                      <w:szCs w:val="18"/>
                    </w:rPr>
                    <w:t>PLAN DE DESARROLLO</w:t>
                  </w:r>
                </w:p>
                <w:p w:rsidR="00EB79AD" w:rsidRDefault="00EB79AD" w:rsidP="00C340EE">
                  <w:pPr>
                    <w:jc w:val="center"/>
                    <w:rPr>
                      <w:b/>
                      <w:color w:val="FFFFFF" w:themeColor="background1"/>
                      <w:sz w:val="72"/>
                      <w:szCs w:val="18"/>
                    </w:rPr>
                  </w:pPr>
                  <w:r>
                    <w:rPr>
                      <w:b/>
                      <w:color w:val="FFFFFF" w:themeColor="background1"/>
                      <w:sz w:val="72"/>
                      <w:szCs w:val="18"/>
                    </w:rPr>
                    <w:t>“La Universidad que tienes en mente”</w:t>
                  </w:r>
                </w:p>
                <w:p w:rsidR="00EB79AD" w:rsidRDefault="00EB79AD" w:rsidP="00C340EE">
                  <w:pPr>
                    <w:jc w:val="center"/>
                    <w:rPr>
                      <w:b/>
                      <w:color w:val="FFFFFF" w:themeColor="background1"/>
                      <w:sz w:val="72"/>
                      <w:szCs w:val="18"/>
                    </w:rPr>
                  </w:pPr>
                  <w:r>
                    <w:rPr>
                      <w:b/>
                      <w:color w:val="FFFFFF" w:themeColor="background1"/>
                      <w:sz w:val="72"/>
                      <w:szCs w:val="18"/>
                    </w:rPr>
                    <w:t>2009 – 2019</w:t>
                  </w:r>
                </w:p>
                <w:p w:rsidR="00EB79AD" w:rsidRDefault="00EB79AD" w:rsidP="00C340EE">
                  <w:pPr>
                    <w:jc w:val="center"/>
                    <w:rPr>
                      <w:b/>
                      <w:color w:val="FFFFFF" w:themeColor="background1"/>
                      <w:sz w:val="72"/>
                      <w:szCs w:val="18"/>
                    </w:rPr>
                  </w:pPr>
                </w:p>
                <w:p w:rsidR="00EB79AD" w:rsidRPr="00C340EE" w:rsidRDefault="00EB79AD" w:rsidP="00C340EE">
                  <w:pPr>
                    <w:jc w:val="center"/>
                    <w:rPr>
                      <w:b/>
                      <w:color w:val="FFFFFF" w:themeColor="background1"/>
                      <w:sz w:val="72"/>
                      <w:szCs w:val="18"/>
                    </w:rPr>
                  </w:pPr>
                  <w:r>
                    <w:rPr>
                      <w:b/>
                      <w:color w:val="FFFFFF" w:themeColor="background1"/>
                      <w:sz w:val="72"/>
                      <w:szCs w:val="18"/>
                    </w:rPr>
                    <w:t>INFORME DE RESULTADOS 2012</w:t>
                  </w:r>
                </w:p>
              </w:txbxContent>
            </v:textbox>
            <w10:wrap type="square" anchorx="page" anchory="page"/>
          </v:rect>
        </w:pict>
      </w:r>
    </w:p>
    <w:p w:rsidR="00054D18" w:rsidRPr="00535E30" w:rsidRDefault="00054D18" w:rsidP="00F80905">
      <w:pPr>
        <w:spacing w:line="276" w:lineRule="auto"/>
        <w:rPr>
          <w:rFonts w:asciiTheme="minorHAnsi" w:hAnsiTheme="minorHAnsi"/>
          <w:sz w:val="28"/>
          <w:szCs w:val="28"/>
        </w:rPr>
      </w:pPr>
      <w:bookmarkStart w:id="0" w:name="_Toc319421842"/>
      <w:bookmarkStart w:id="1" w:name="_Toc334174800"/>
      <w:bookmarkStart w:id="2" w:name="_Toc334174875"/>
      <w:bookmarkStart w:id="3" w:name="_Toc334193982"/>
      <w:r w:rsidRPr="00535E30">
        <w:rPr>
          <w:rFonts w:asciiTheme="minorHAnsi" w:hAnsiTheme="minorHAnsi"/>
          <w:sz w:val="28"/>
          <w:szCs w:val="28"/>
        </w:rPr>
        <w:lastRenderedPageBreak/>
        <w:t xml:space="preserve">Informe de </w:t>
      </w:r>
      <w:r w:rsidR="001965C8">
        <w:rPr>
          <w:rFonts w:asciiTheme="minorHAnsi" w:hAnsiTheme="minorHAnsi"/>
          <w:sz w:val="28"/>
          <w:szCs w:val="28"/>
        </w:rPr>
        <w:t xml:space="preserve">Resultado </w:t>
      </w:r>
      <w:r w:rsidRPr="00535E30">
        <w:rPr>
          <w:rFonts w:asciiTheme="minorHAnsi" w:hAnsiTheme="minorHAnsi"/>
          <w:sz w:val="28"/>
          <w:szCs w:val="28"/>
        </w:rPr>
        <w:t>2012</w:t>
      </w:r>
    </w:p>
    <w:p w:rsidR="00054D18" w:rsidRPr="00535E30" w:rsidRDefault="001965C8" w:rsidP="00F80905">
      <w:pPr>
        <w:spacing w:line="276" w:lineRule="auto"/>
        <w:rPr>
          <w:rFonts w:asciiTheme="minorHAnsi" w:hAnsiTheme="minorHAnsi"/>
          <w:sz w:val="28"/>
          <w:szCs w:val="28"/>
        </w:rPr>
      </w:pPr>
      <w:r>
        <w:rPr>
          <w:rFonts w:asciiTheme="minorHAnsi" w:hAnsiTheme="minorHAnsi"/>
          <w:sz w:val="28"/>
          <w:szCs w:val="28"/>
        </w:rPr>
        <w:t>Marzo</w:t>
      </w:r>
      <w:r w:rsidR="00054D18" w:rsidRPr="00535E30">
        <w:rPr>
          <w:rFonts w:asciiTheme="minorHAnsi" w:hAnsiTheme="minorHAnsi"/>
          <w:sz w:val="28"/>
          <w:szCs w:val="28"/>
        </w:rPr>
        <w:t xml:space="preserve"> de 2013 – Pereira, Colombia</w:t>
      </w:r>
    </w:p>
    <w:p w:rsidR="00054D18" w:rsidRPr="00535E30" w:rsidRDefault="00054D18" w:rsidP="00F80905">
      <w:pPr>
        <w:spacing w:line="276" w:lineRule="auto"/>
        <w:rPr>
          <w:rFonts w:asciiTheme="minorHAnsi" w:hAnsiTheme="minorHAnsi"/>
          <w:sz w:val="28"/>
          <w:szCs w:val="28"/>
        </w:rPr>
      </w:pPr>
    </w:p>
    <w:p w:rsidR="00054D18" w:rsidRPr="00535E30" w:rsidRDefault="00054D18" w:rsidP="00F80905">
      <w:pPr>
        <w:spacing w:line="276" w:lineRule="auto"/>
        <w:rPr>
          <w:rFonts w:asciiTheme="minorHAnsi" w:hAnsiTheme="minorHAnsi"/>
          <w:b/>
          <w:sz w:val="28"/>
          <w:szCs w:val="28"/>
        </w:rPr>
      </w:pPr>
      <w:r w:rsidRPr="00535E30">
        <w:rPr>
          <w:rFonts w:asciiTheme="minorHAnsi" w:hAnsiTheme="minorHAnsi"/>
          <w:b/>
          <w:sz w:val="28"/>
          <w:szCs w:val="28"/>
        </w:rPr>
        <w:t>Dirección</w:t>
      </w:r>
    </w:p>
    <w:p w:rsidR="00054D18" w:rsidRPr="00535E30" w:rsidRDefault="00054D18" w:rsidP="00F80905">
      <w:pPr>
        <w:spacing w:line="276" w:lineRule="auto"/>
        <w:rPr>
          <w:rFonts w:asciiTheme="minorHAnsi" w:hAnsiTheme="minorHAnsi"/>
          <w:sz w:val="28"/>
          <w:szCs w:val="28"/>
        </w:rPr>
      </w:pPr>
      <w:r w:rsidRPr="00535E30">
        <w:rPr>
          <w:rFonts w:asciiTheme="minorHAnsi" w:hAnsiTheme="minorHAnsi"/>
          <w:sz w:val="28"/>
          <w:szCs w:val="28"/>
        </w:rPr>
        <w:t xml:space="preserve">Viviana Lucía </w:t>
      </w:r>
      <w:proofErr w:type="spellStart"/>
      <w:r w:rsidRPr="00535E30">
        <w:rPr>
          <w:rFonts w:asciiTheme="minorHAnsi" w:hAnsiTheme="minorHAnsi"/>
          <w:sz w:val="28"/>
          <w:szCs w:val="28"/>
        </w:rPr>
        <w:t>Barney</w:t>
      </w:r>
      <w:proofErr w:type="spellEnd"/>
      <w:r w:rsidRPr="00535E30">
        <w:rPr>
          <w:rFonts w:asciiTheme="minorHAnsi" w:hAnsiTheme="minorHAnsi"/>
          <w:sz w:val="28"/>
          <w:szCs w:val="28"/>
        </w:rPr>
        <w:t xml:space="preserve"> </w:t>
      </w:r>
      <w:proofErr w:type="spellStart"/>
      <w:r w:rsidRPr="00535E30">
        <w:rPr>
          <w:rFonts w:asciiTheme="minorHAnsi" w:hAnsiTheme="minorHAnsi"/>
          <w:sz w:val="28"/>
          <w:szCs w:val="28"/>
        </w:rPr>
        <w:t>Palacín</w:t>
      </w:r>
      <w:proofErr w:type="spellEnd"/>
    </w:p>
    <w:p w:rsidR="00054D18" w:rsidRPr="00535E30" w:rsidRDefault="00054D18" w:rsidP="00F80905">
      <w:pPr>
        <w:spacing w:line="276" w:lineRule="auto"/>
        <w:rPr>
          <w:rFonts w:asciiTheme="minorHAnsi" w:hAnsiTheme="minorHAnsi"/>
          <w:sz w:val="28"/>
          <w:szCs w:val="28"/>
        </w:rPr>
      </w:pPr>
      <w:r w:rsidRPr="00535E30">
        <w:rPr>
          <w:rFonts w:asciiTheme="minorHAnsi" w:hAnsiTheme="minorHAnsi"/>
          <w:sz w:val="28"/>
          <w:szCs w:val="28"/>
        </w:rPr>
        <w:t>Jefe (e) Oficina de Planeación</w:t>
      </w:r>
    </w:p>
    <w:p w:rsidR="00054D18" w:rsidRPr="00535E30" w:rsidRDefault="00054D18" w:rsidP="00F80905">
      <w:pPr>
        <w:spacing w:line="276" w:lineRule="auto"/>
        <w:rPr>
          <w:rFonts w:asciiTheme="minorHAnsi" w:hAnsiTheme="minorHAnsi"/>
          <w:sz w:val="28"/>
          <w:szCs w:val="28"/>
        </w:rPr>
      </w:pPr>
    </w:p>
    <w:p w:rsidR="00054D18" w:rsidRPr="00535E30" w:rsidRDefault="00054D18" w:rsidP="00F80905">
      <w:pPr>
        <w:spacing w:line="276" w:lineRule="auto"/>
        <w:rPr>
          <w:rFonts w:asciiTheme="minorHAnsi" w:hAnsiTheme="minorHAnsi"/>
          <w:b/>
          <w:sz w:val="28"/>
          <w:szCs w:val="28"/>
        </w:rPr>
      </w:pPr>
      <w:r w:rsidRPr="00535E30">
        <w:rPr>
          <w:rFonts w:asciiTheme="minorHAnsi" w:hAnsiTheme="minorHAnsi"/>
          <w:b/>
          <w:sz w:val="28"/>
          <w:szCs w:val="28"/>
        </w:rPr>
        <w:t>Elaboración informe y acopio de información</w:t>
      </w:r>
    </w:p>
    <w:p w:rsidR="001965C8" w:rsidRDefault="001965C8" w:rsidP="001965C8">
      <w:pPr>
        <w:spacing w:line="276" w:lineRule="auto"/>
        <w:rPr>
          <w:rFonts w:asciiTheme="minorHAnsi" w:hAnsiTheme="minorHAnsi"/>
          <w:sz w:val="28"/>
          <w:szCs w:val="28"/>
        </w:rPr>
      </w:pPr>
      <w:r w:rsidRPr="00535E30">
        <w:rPr>
          <w:rFonts w:asciiTheme="minorHAnsi" w:hAnsiTheme="minorHAnsi"/>
          <w:sz w:val="28"/>
          <w:szCs w:val="28"/>
        </w:rPr>
        <w:t>Andrés Mateo Gómez Gallego</w:t>
      </w:r>
    </w:p>
    <w:p w:rsidR="00054D18" w:rsidRDefault="00054D18" w:rsidP="00F80905">
      <w:pPr>
        <w:spacing w:line="276" w:lineRule="auto"/>
        <w:rPr>
          <w:rFonts w:asciiTheme="minorHAnsi" w:hAnsiTheme="minorHAnsi"/>
          <w:sz w:val="28"/>
          <w:szCs w:val="28"/>
        </w:rPr>
      </w:pPr>
      <w:r w:rsidRPr="00535E30">
        <w:rPr>
          <w:rFonts w:asciiTheme="minorHAnsi" w:hAnsiTheme="minorHAnsi"/>
          <w:sz w:val="28"/>
          <w:szCs w:val="28"/>
        </w:rPr>
        <w:t>Délany Ramírez del Río</w:t>
      </w:r>
    </w:p>
    <w:p w:rsidR="001965C8" w:rsidRDefault="001965C8" w:rsidP="00F80905">
      <w:pPr>
        <w:spacing w:line="276" w:lineRule="auto"/>
        <w:rPr>
          <w:rFonts w:asciiTheme="minorHAnsi" w:hAnsiTheme="minorHAnsi"/>
          <w:sz w:val="28"/>
          <w:szCs w:val="28"/>
        </w:rPr>
      </w:pPr>
      <w:r>
        <w:rPr>
          <w:rFonts w:asciiTheme="minorHAnsi" w:hAnsiTheme="minorHAnsi"/>
          <w:sz w:val="28"/>
          <w:szCs w:val="28"/>
        </w:rPr>
        <w:t>Jessica Natalia Villa Montes</w:t>
      </w:r>
    </w:p>
    <w:p w:rsidR="00054D18" w:rsidRDefault="00054D18" w:rsidP="00F80905">
      <w:pPr>
        <w:spacing w:line="276" w:lineRule="auto"/>
        <w:rPr>
          <w:rFonts w:asciiTheme="minorHAnsi" w:hAnsiTheme="minorHAnsi"/>
          <w:sz w:val="28"/>
          <w:szCs w:val="28"/>
        </w:rPr>
      </w:pPr>
      <w:r w:rsidRPr="00535E30">
        <w:rPr>
          <w:rFonts w:asciiTheme="minorHAnsi" w:hAnsiTheme="minorHAnsi"/>
          <w:sz w:val="28"/>
          <w:szCs w:val="28"/>
        </w:rPr>
        <w:t>Julián Andrés Valencia Quintero</w:t>
      </w:r>
    </w:p>
    <w:p w:rsidR="001965C8" w:rsidRPr="00535E30" w:rsidRDefault="001965C8" w:rsidP="00F80905">
      <w:pPr>
        <w:spacing w:line="276" w:lineRule="auto"/>
        <w:rPr>
          <w:rFonts w:asciiTheme="minorHAnsi" w:hAnsiTheme="minorHAnsi"/>
          <w:sz w:val="28"/>
          <w:szCs w:val="28"/>
        </w:rPr>
      </w:pPr>
      <w:r>
        <w:rPr>
          <w:rFonts w:asciiTheme="minorHAnsi" w:hAnsiTheme="minorHAnsi"/>
          <w:sz w:val="28"/>
          <w:szCs w:val="28"/>
        </w:rPr>
        <w:t>Viviana Marcela Carmona Arias</w:t>
      </w:r>
    </w:p>
    <w:p w:rsidR="00720E2A" w:rsidRPr="00535E30" w:rsidRDefault="00720E2A" w:rsidP="00F80905">
      <w:pPr>
        <w:spacing w:line="276" w:lineRule="auto"/>
        <w:rPr>
          <w:rFonts w:asciiTheme="minorHAnsi" w:hAnsiTheme="minorHAnsi"/>
          <w:sz w:val="28"/>
          <w:szCs w:val="28"/>
        </w:rPr>
      </w:pPr>
    </w:p>
    <w:p w:rsidR="009A39A2" w:rsidRDefault="009A39A2">
      <w:pPr>
        <w:spacing w:after="200" w:line="276" w:lineRule="auto"/>
        <w:jc w:val="left"/>
        <w:rPr>
          <w:rFonts w:asciiTheme="minorHAnsi" w:hAnsiTheme="minorHAnsi"/>
        </w:rPr>
      </w:pPr>
      <w:r>
        <w:rPr>
          <w:rFonts w:asciiTheme="minorHAnsi" w:hAnsiTheme="minorHAnsi"/>
        </w:rPr>
        <w:br w:type="page"/>
      </w:r>
    </w:p>
    <w:p w:rsidR="009A39A2" w:rsidRPr="009A39A2" w:rsidRDefault="009A39A2" w:rsidP="009A39A2">
      <w:pPr>
        <w:ind w:left="2832"/>
        <w:rPr>
          <w:rFonts w:asciiTheme="minorHAnsi" w:hAnsiTheme="minorHAnsi"/>
          <w:sz w:val="28"/>
          <w:szCs w:val="28"/>
        </w:rPr>
      </w:pPr>
      <w:r w:rsidRPr="009A39A2">
        <w:rPr>
          <w:rFonts w:asciiTheme="minorHAnsi" w:hAnsiTheme="minorHAnsi"/>
          <w:b/>
          <w:bCs/>
          <w:sz w:val="28"/>
          <w:szCs w:val="28"/>
        </w:rPr>
        <w:lastRenderedPageBreak/>
        <w:t xml:space="preserve">Agradecimientos especiales </w:t>
      </w:r>
      <w:r w:rsidRPr="009A39A2">
        <w:rPr>
          <w:rFonts w:asciiTheme="minorHAnsi" w:hAnsiTheme="minorHAnsi"/>
          <w:sz w:val="28"/>
          <w:szCs w:val="28"/>
        </w:rPr>
        <w:t>al Rector, Comité Ejecutivo y de Estrategias, redes de trabajo de los diferentes objetivos institucionales, equipos técnicos y fuentes primarias de información.</w:t>
      </w:r>
    </w:p>
    <w:p w:rsidR="00054D18" w:rsidRPr="00535E30" w:rsidRDefault="00054D18" w:rsidP="00F80905">
      <w:pPr>
        <w:spacing w:line="276" w:lineRule="auto"/>
        <w:rPr>
          <w:rFonts w:asciiTheme="minorHAnsi" w:eastAsiaTheme="majorEastAsia" w:hAnsiTheme="minorHAnsi" w:cstheme="majorBidi"/>
          <w:b/>
          <w:bCs/>
          <w:sz w:val="32"/>
          <w:szCs w:val="28"/>
        </w:rPr>
      </w:pPr>
      <w:r w:rsidRPr="00535E30">
        <w:rPr>
          <w:rFonts w:asciiTheme="minorHAnsi" w:hAnsiTheme="minorHAnsi"/>
        </w:rPr>
        <w:br w:type="page"/>
      </w:r>
    </w:p>
    <w:p w:rsidR="008D5B37" w:rsidRDefault="008D5B37" w:rsidP="00F80905">
      <w:pPr>
        <w:spacing w:after="200" w:line="276" w:lineRule="auto"/>
        <w:jc w:val="center"/>
        <w:rPr>
          <w:rFonts w:asciiTheme="minorHAnsi" w:hAnsiTheme="minorHAnsi"/>
          <w:b/>
          <w:sz w:val="36"/>
        </w:rPr>
      </w:pPr>
      <w:bookmarkStart w:id="4" w:name="_Toc319421843"/>
      <w:bookmarkStart w:id="5" w:name="_Toc334174801"/>
      <w:bookmarkStart w:id="6" w:name="_Toc334174876"/>
      <w:bookmarkStart w:id="7" w:name="_Toc334193983"/>
      <w:bookmarkEnd w:id="0"/>
      <w:bookmarkEnd w:id="1"/>
      <w:bookmarkEnd w:id="2"/>
      <w:bookmarkEnd w:id="3"/>
    </w:p>
    <w:p w:rsidR="00054D18" w:rsidRPr="00535E30" w:rsidRDefault="00054D18" w:rsidP="00F80905">
      <w:pPr>
        <w:spacing w:after="200" w:line="276" w:lineRule="auto"/>
        <w:jc w:val="center"/>
        <w:rPr>
          <w:rFonts w:asciiTheme="minorHAnsi" w:hAnsiTheme="minorHAnsi"/>
          <w:b/>
          <w:sz w:val="36"/>
        </w:rPr>
      </w:pPr>
      <w:r w:rsidRPr="00535E30">
        <w:rPr>
          <w:rFonts w:asciiTheme="minorHAnsi" w:hAnsiTheme="minorHAnsi"/>
          <w:b/>
          <w:sz w:val="36"/>
        </w:rPr>
        <w:t>CONSEJO SUPERIOR</w:t>
      </w:r>
    </w:p>
    <w:p w:rsidR="00054D18" w:rsidRPr="00535E30" w:rsidRDefault="00054D18" w:rsidP="00F80905">
      <w:pPr>
        <w:spacing w:after="200" w:line="276" w:lineRule="auto"/>
        <w:jc w:val="left"/>
        <w:rPr>
          <w:rFonts w:asciiTheme="minorHAnsi" w:hAnsiTheme="minorHAnsi"/>
          <w:b/>
          <w:sz w:val="36"/>
        </w:rPr>
      </w:pPr>
    </w:p>
    <w:tbl>
      <w:tblPr>
        <w:tblW w:w="0" w:type="auto"/>
        <w:tblLook w:val="04A0" w:firstRow="1" w:lastRow="0" w:firstColumn="1" w:lastColumn="0" w:noHBand="0" w:noVBand="1"/>
      </w:tblPr>
      <w:tblGrid>
        <w:gridCol w:w="4489"/>
        <w:gridCol w:w="4489"/>
      </w:tblGrid>
      <w:tr w:rsidR="00054D18" w:rsidRPr="00535E30" w:rsidTr="00054D18">
        <w:tc>
          <w:tcPr>
            <w:tcW w:w="4489" w:type="dxa"/>
          </w:tcPr>
          <w:p w:rsidR="00054D18" w:rsidRPr="00535E30" w:rsidRDefault="002F0834" w:rsidP="00F80905">
            <w:pPr>
              <w:spacing w:after="0" w:line="276" w:lineRule="auto"/>
              <w:rPr>
                <w:rFonts w:asciiTheme="minorHAnsi" w:hAnsiTheme="minorHAnsi"/>
                <w:sz w:val="24"/>
                <w:szCs w:val="28"/>
                <w:u w:val="single"/>
              </w:rPr>
            </w:pPr>
            <w:r>
              <w:rPr>
                <w:rFonts w:asciiTheme="minorHAnsi" w:hAnsiTheme="minorHAnsi"/>
                <w:sz w:val="24"/>
                <w:szCs w:val="28"/>
                <w:u w:val="single"/>
              </w:rPr>
              <w:t>Dra. Alexandra Hernández Moreno</w:t>
            </w:r>
          </w:p>
          <w:p w:rsidR="00054D18" w:rsidRPr="00535E30" w:rsidRDefault="00054D18" w:rsidP="00F80905">
            <w:pPr>
              <w:spacing w:line="276" w:lineRule="auto"/>
              <w:rPr>
                <w:rFonts w:asciiTheme="minorHAnsi" w:hAnsiTheme="minorHAnsi"/>
                <w:sz w:val="24"/>
                <w:szCs w:val="28"/>
              </w:rPr>
            </w:pPr>
            <w:r w:rsidRPr="00535E30">
              <w:rPr>
                <w:rFonts w:asciiTheme="minorHAnsi" w:hAnsiTheme="minorHAnsi"/>
                <w:sz w:val="24"/>
                <w:szCs w:val="28"/>
              </w:rPr>
              <w:t>Representante del Ministerio de Educación Nacional.</w:t>
            </w:r>
          </w:p>
          <w:p w:rsidR="00054D18" w:rsidRPr="00535E30" w:rsidRDefault="00054D18" w:rsidP="00F80905">
            <w:pPr>
              <w:spacing w:after="0" w:line="276" w:lineRule="auto"/>
              <w:rPr>
                <w:rFonts w:asciiTheme="minorHAnsi" w:hAnsiTheme="minorHAnsi"/>
                <w:sz w:val="24"/>
                <w:szCs w:val="28"/>
                <w:u w:val="single"/>
              </w:rPr>
            </w:pPr>
            <w:r w:rsidRPr="00535E30">
              <w:rPr>
                <w:rFonts w:asciiTheme="minorHAnsi" w:hAnsiTheme="minorHAnsi"/>
                <w:sz w:val="24"/>
                <w:szCs w:val="28"/>
                <w:u w:val="single"/>
              </w:rPr>
              <w:t>Dr. John Jaime Jiménez Sepúlveda.</w:t>
            </w:r>
          </w:p>
          <w:p w:rsidR="00054D18" w:rsidRPr="00535E30" w:rsidRDefault="00054D18" w:rsidP="00F80905">
            <w:pPr>
              <w:spacing w:line="276" w:lineRule="auto"/>
              <w:rPr>
                <w:rFonts w:asciiTheme="minorHAnsi" w:hAnsiTheme="minorHAnsi"/>
                <w:sz w:val="24"/>
                <w:szCs w:val="28"/>
              </w:rPr>
            </w:pPr>
            <w:r w:rsidRPr="00535E30">
              <w:rPr>
                <w:rFonts w:asciiTheme="minorHAnsi" w:hAnsiTheme="minorHAnsi"/>
                <w:sz w:val="24"/>
                <w:szCs w:val="28"/>
              </w:rPr>
              <w:t>Representante de la Presidencia de la República.</w:t>
            </w:r>
          </w:p>
          <w:p w:rsidR="00054D18" w:rsidRPr="00535E30" w:rsidRDefault="00054D18" w:rsidP="00F80905">
            <w:pPr>
              <w:spacing w:after="0" w:line="276" w:lineRule="auto"/>
              <w:rPr>
                <w:rFonts w:asciiTheme="minorHAnsi" w:hAnsiTheme="minorHAnsi"/>
                <w:sz w:val="24"/>
                <w:szCs w:val="28"/>
                <w:u w:val="single"/>
              </w:rPr>
            </w:pPr>
            <w:r w:rsidRPr="00535E30">
              <w:rPr>
                <w:rFonts w:asciiTheme="minorHAnsi" w:hAnsiTheme="minorHAnsi"/>
                <w:sz w:val="24"/>
                <w:szCs w:val="28"/>
                <w:u w:val="single"/>
              </w:rPr>
              <w:t>Dr. Carlos Alberto Botero López</w:t>
            </w:r>
          </w:p>
          <w:p w:rsidR="00054D18" w:rsidRPr="00535E30" w:rsidRDefault="00054D18" w:rsidP="00F80905">
            <w:pPr>
              <w:spacing w:line="276" w:lineRule="auto"/>
              <w:rPr>
                <w:rFonts w:asciiTheme="minorHAnsi" w:hAnsiTheme="minorHAnsi"/>
                <w:sz w:val="24"/>
                <w:szCs w:val="28"/>
              </w:rPr>
            </w:pPr>
            <w:r w:rsidRPr="00535E30">
              <w:rPr>
                <w:rFonts w:asciiTheme="minorHAnsi" w:hAnsiTheme="minorHAnsi"/>
                <w:sz w:val="24"/>
                <w:szCs w:val="28"/>
              </w:rPr>
              <w:t>Gobernador del Departamento de Risaralda.</w:t>
            </w:r>
          </w:p>
          <w:p w:rsidR="00054D18" w:rsidRPr="00535E30" w:rsidRDefault="00054D18" w:rsidP="00F80905">
            <w:pPr>
              <w:spacing w:after="0" w:line="276" w:lineRule="auto"/>
              <w:rPr>
                <w:rFonts w:asciiTheme="minorHAnsi" w:hAnsiTheme="minorHAnsi"/>
                <w:sz w:val="24"/>
                <w:szCs w:val="28"/>
                <w:u w:val="single"/>
              </w:rPr>
            </w:pPr>
            <w:r w:rsidRPr="00535E30">
              <w:rPr>
                <w:rFonts w:asciiTheme="minorHAnsi" w:hAnsiTheme="minorHAnsi"/>
                <w:sz w:val="24"/>
                <w:szCs w:val="28"/>
                <w:u w:val="single"/>
              </w:rPr>
              <w:t>Dr. Luis Enrique Arango Jiménez</w:t>
            </w:r>
          </w:p>
          <w:p w:rsidR="00054D18" w:rsidRPr="00535E30" w:rsidRDefault="00054D18" w:rsidP="00F80905">
            <w:pPr>
              <w:spacing w:line="276" w:lineRule="auto"/>
              <w:rPr>
                <w:rFonts w:asciiTheme="minorHAnsi" w:hAnsiTheme="minorHAnsi"/>
                <w:sz w:val="24"/>
                <w:szCs w:val="28"/>
              </w:rPr>
            </w:pPr>
            <w:r w:rsidRPr="00535E30">
              <w:rPr>
                <w:rFonts w:asciiTheme="minorHAnsi" w:hAnsiTheme="minorHAnsi"/>
                <w:sz w:val="24"/>
                <w:szCs w:val="28"/>
              </w:rPr>
              <w:t>Rector</w:t>
            </w:r>
          </w:p>
          <w:p w:rsidR="00054D18" w:rsidRPr="00535E30" w:rsidRDefault="00054D18" w:rsidP="00F80905">
            <w:pPr>
              <w:spacing w:after="0" w:line="276" w:lineRule="auto"/>
              <w:rPr>
                <w:rFonts w:asciiTheme="minorHAnsi" w:hAnsiTheme="minorHAnsi"/>
                <w:sz w:val="24"/>
                <w:szCs w:val="28"/>
                <w:u w:val="single"/>
              </w:rPr>
            </w:pPr>
            <w:r w:rsidRPr="00535E30">
              <w:rPr>
                <w:rFonts w:asciiTheme="minorHAnsi" w:hAnsiTheme="minorHAnsi"/>
                <w:sz w:val="24"/>
                <w:szCs w:val="28"/>
                <w:u w:val="single"/>
              </w:rPr>
              <w:t>Dr. Juan Guillermo Ángel Mejía</w:t>
            </w:r>
          </w:p>
          <w:p w:rsidR="00054D18" w:rsidRPr="00535E30" w:rsidRDefault="00054D18" w:rsidP="00F80905">
            <w:pPr>
              <w:spacing w:line="276" w:lineRule="auto"/>
              <w:rPr>
                <w:rFonts w:asciiTheme="minorHAnsi" w:hAnsiTheme="minorHAnsi"/>
                <w:sz w:val="24"/>
                <w:szCs w:val="28"/>
              </w:rPr>
            </w:pPr>
            <w:r w:rsidRPr="00535E30">
              <w:rPr>
                <w:rFonts w:asciiTheme="minorHAnsi" w:hAnsiTheme="minorHAnsi"/>
                <w:sz w:val="24"/>
                <w:szCs w:val="28"/>
              </w:rPr>
              <w:t>Representante Ex - Rectores</w:t>
            </w:r>
          </w:p>
          <w:p w:rsidR="00054D18" w:rsidRPr="00535E30" w:rsidRDefault="00054D18" w:rsidP="00F80905">
            <w:pPr>
              <w:spacing w:after="0" w:line="276" w:lineRule="auto"/>
              <w:rPr>
                <w:rFonts w:asciiTheme="minorHAnsi" w:hAnsiTheme="minorHAnsi"/>
                <w:sz w:val="24"/>
                <w:szCs w:val="28"/>
                <w:u w:val="single"/>
              </w:rPr>
            </w:pPr>
            <w:r w:rsidRPr="00535E30">
              <w:rPr>
                <w:rFonts w:asciiTheme="minorHAnsi" w:hAnsiTheme="minorHAnsi"/>
                <w:sz w:val="24"/>
                <w:szCs w:val="28"/>
                <w:u w:val="single"/>
              </w:rPr>
              <w:t xml:space="preserve">Dr. William Ardila </w:t>
            </w:r>
            <w:proofErr w:type="spellStart"/>
            <w:r w:rsidRPr="00535E30">
              <w:rPr>
                <w:rFonts w:asciiTheme="minorHAnsi" w:hAnsiTheme="minorHAnsi"/>
                <w:sz w:val="24"/>
                <w:szCs w:val="28"/>
                <w:u w:val="single"/>
              </w:rPr>
              <w:t>Urueña</w:t>
            </w:r>
            <w:proofErr w:type="spellEnd"/>
          </w:p>
          <w:p w:rsidR="00054D18" w:rsidRPr="00535E30" w:rsidRDefault="00054D18" w:rsidP="00F80905">
            <w:pPr>
              <w:spacing w:line="276" w:lineRule="auto"/>
              <w:rPr>
                <w:rFonts w:asciiTheme="minorHAnsi" w:hAnsiTheme="minorHAnsi"/>
                <w:sz w:val="24"/>
                <w:szCs w:val="28"/>
              </w:rPr>
            </w:pPr>
            <w:r w:rsidRPr="00535E30">
              <w:rPr>
                <w:rFonts w:asciiTheme="minorHAnsi" w:hAnsiTheme="minorHAnsi"/>
                <w:sz w:val="24"/>
                <w:szCs w:val="28"/>
              </w:rPr>
              <w:t>Representante de Directivas Académicas</w:t>
            </w:r>
          </w:p>
          <w:p w:rsidR="00054D18" w:rsidRPr="00535E30" w:rsidRDefault="00054D18" w:rsidP="00F80905">
            <w:pPr>
              <w:spacing w:after="0" w:line="276" w:lineRule="auto"/>
              <w:rPr>
                <w:rFonts w:asciiTheme="minorHAnsi" w:hAnsiTheme="minorHAnsi"/>
                <w:sz w:val="24"/>
                <w:szCs w:val="28"/>
                <w:u w:val="single"/>
              </w:rPr>
            </w:pPr>
            <w:r w:rsidRPr="00535E30">
              <w:rPr>
                <w:rFonts w:asciiTheme="minorHAnsi" w:hAnsiTheme="minorHAnsi"/>
                <w:sz w:val="24"/>
                <w:szCs w:val="28"/>
                <w:u w:val="single"/>
              </w:rPr>
              <w:t>Dr. Luis José Rueda plata</w:t>
            </w:r>
          </w:p>
          <w:p w:rsidR="00054D18" w:rsidRPr="00535E30" w:rsidRDefault="00054D18" w:rsidP="00F80905">
            <w:pPr>
              <w:spacing w:line="276" w:lineRule="auto"/>
              <w:rPr>
                <w:rFonts w:asciiTheme="minorHAnsi" w:hAnsiTheme="minorHAnsi"/>
                <w:sz w:val="24"/>
                <w:szCs w:val="28"/>
              </w:rPr>
            </w:pPr>
            <w:r w:rsidRPr="00535E30">
              <w:rPr>
                <w:rFonts w:asciiTheme="minorHAnsi" w:hAnsiTheme="minorHAnsi"/>
                <w:sz w:val="24"/>
                <w:szCs w:val="28"/>
              </w:rPr>
              <w:t>Representante de los Profesores</w:t>
            </w:r>
          </w:p>
          <w:p w:rsidR="00054D18" w:rsidRPr="00535E30" w:rsidRDefault="00054D18" w:rsidP="00F80905">
            <w:pPr>
              <w:spacing w:after="0" w:line="276" w:lineRule="auto"/>
              <w:rPr>
                <w:rFonts w:asciiTheme="minorHAnsi" w:hAnsiTheme="minorHAnsi"/>
                <w:sz w:val="24"/>
                <w:szCs w:val="28"/>
                <w:u w:val="single"/>
              </w:rPr>
            </w:pPr>
            <w:r w:rsidRPr="00535E30">
              <w:rPr>
                <w:rFonts w:asciiTheme="minorHAnsi" w:hAnsiTheme="minorHAnsi"/>
                <w:sz w:val="24"/>
                <w:szCs w:val="28"/>
                <w:u w:val="single"/>
              </w:rPr>
              <w:t>Dr. Ramón Antonio Toro</w:t>
            </w:r>
            <w:r w:rsidR="002F0834">
              <w:rPr>
                <w:rFonts w:asciiTheme="minorHAnsi" w:hAnsiTheme="minorHAnsi"/>
                <w:sz w:val="24"/>
                <w:szCs w:val="28"/>
                <w:u w:val="single"/>
              </w:rPr>
              <w:t xml:space="preserve"> </w:t>
            </w:r>
            <w:proofErr w:type="spellStart"/>
            <w:r w:rsidR="002F0834">
              <w:rPr>
                <w:rFonts w:asciiTheme="minorHAnsi" w:hAnsiTheme="minorHAnsi"/>
                <w:sz w:val="24"/>
                <w:szCs w:val="28"/>
                <w:u w:val="single"/>
              </w:rPr>
              <w:t>Pulgarín</w:t>
            </w:r>
            <w:proofErr w:type="spellEnd"/>
          </w:p>
          <w:p w:rsidR="00054D18" w:rsidRPr="00535E30" w:rsidRDefault="00054D18" w:rsidP="00F80905">
            <w:pPr>
              <w:spacing w:line="276" w:lineRule="auto"/>
              <w:rPr>
                <w:rFonts w:asciiTheme="minorHAnsi" w:hAnsiTheme="minorHAnsi"/>
                <w:sz w:val="24"/>
                <w:szCs w:val="28"/>
              </w:rPr>
            </w:pPr>
            <w:r w:rsidRPr="00535E30">
              <w:rPr>
                <w:rFonts w:asciiTheme="minorHAnsi" w:hAnsiTheme="minorHAnsi"/>
                <w:sz w:val="24"/>
                <w:szCs w:val="28"/>
              </w:rPr>
              <w:t>Representante de los Egresados</w:t>
            </w:r>
          </w:p>
          <w:p w:rsidR="00054D18" w:rsidRPr="00535E30" w:rsidRDefault="00054D18" w:rsidP="00F80905">
            <w:pPr>
              <w:spacing w:after="0" w:line="276" w:lineRule="auto"/>
              <w:rPr>
                <w:rFonts w:asciiTheme="minorHAnsi" w:hAnsiTheme="minorHAnsi"/>
                <w:sz w:val="24"/>
                <w:szCs w:val="28"/>
                <w:u w:val="single"/>
              </w:rPr>
            </w:pPr>
            <w:r w:rsidRPr="00535E30">
              <w:rPr>
                <w:rFonts w:asciiTheme="minorHAnsi" w:hAnsiTheme="minorHAnsi"/>
                <w:sz w:val="24"/>
                <w:szCs w:val="28"/>
                <w:u w:val="single"/>
              </w:rPr>
              <w:t>Dr. Luis Fernando Ossa Arbeláez</w:t>
            </w:r>
          </w:p>
          <w:p w:rsidR="00054D18" w:rsidRPr="00535E30" w:rsidRDefault="00054D18" w:rsidP="00F80905">
            <w:pPr>
              <w:spacing w:line="276" w:lineRule="auto"/>
              <w:rPr>
                <w:rFonts w:asciiTheme="minorHAnsi" w:hAnsiTheme="minorHAnsi"/>
                <w:sz w:val="24"/>
                <w:szCs w:val="28"/>
              </w:rPr>
            </w:pPr>
            <w:r w:rsidRPr="00535E30">
              <w:rPr>
                <w:rFonts w:asciiTheme="minorHAnsi" w:hAnsiTheme="minorHAnsi"/>
                <w:sz w:val="24"/>
                <w:szCs w:val="28"/>
              </w:rPr>
              <w:t>Representante del Sector Productivo</w:t>
            </w:r>
          </w:p>
          <w:p w:rsidR="00054D18" w:rsidRPr="00535E30" w:rsidRDefault="00054D18" w:rsidP="00F80905">
            <w:pPr>
              <w:spacing w:after="0" w:line="276" w:lineRule="auto"/>
              <w:rPr>
                <w:rFonts w:asciiTheme="minorHAnsi" w:hAnsiTheme="minorHAnsi"/>
                <w:sz w:val="24"/>
                <w:szCs w:val="28"/>
                <w:u w:val="single"/>
              </w:rPr>
            </w:pPr>
            <w:r w:rsidRPr="00535E30">
              <w:rPr>
                <w:rFonts w:asciiTheme="minorHAnsi" w:hAnsiTheme="minorHAnsi"/>
                <w:sz w:val="24"/>
                <w:szCs w:val="28"/>
                <w:u w:val="single"/>
              </w:rPr>
              <w:t xml:space="preserve">Sr. </w:t>
            </w:r>
            <w:r w:rsidR="002F0834">
              <w:rPr>
                <w:rFonts w:asciiTheme="minorHAnsi" w:hAnsiTheme="minorHAnsi"/>
                <w:sz w:val="24"/>
                <w:szCs w:val="28"/>
                <w:u w:val="single"/>
              </w:rPr>
              <w:t>Julián Andrés Herrera Valencia</w:t>
            </w:r>
          </w:p>
          <w:p w:rsidR="00054D18" w:rsidRPr="00535E30" w:rsidRDefault="00054D18" w:rsidP="00F80905">
            <w:pPr>
              <w:spacing w:line="276" w:lineRule="auto"/>
              <w:rPr>
                <w:rFonts w:asciiTheme="minorHAnsi" w:hAnsiTheme="minorHAnsi"/>
                <w:sz w:val="24"/>
                <w:szCs w:val="28"/>
              </w:rPr>
            </w:pPr>
            <w:r w:rsidRPr="00535E30">
              <w:rPr>
                <w:rFonts w:asciiTheme="minorHAnsi" w:hAnsiTheme="minorHAnsi"/>
                <w:sz w:val="24"/>
                <w:szCs w:val="28"/>
              </w:rPr>
              <w:t>Representante de los Estudiantes</w:t>
            </w:r>
          </w:p>
          <w:p w:rsidR="00054D18" w:rsidRPr="00535E30" w:rsidRDefault="002039B9" w:rsidP="00F80905">
            <w:pPr>
              <w:spacing w:after="0" w:line="276" w:lineRule="auto"/>
              <w:rPr>
                <w:rFonts w:asciiTheme="minorHAnsi" w:hAnsiTheme="minorHAnsi"/>
                <w:sz w:val="24"/>
                <w:szCs w:val="28"/>
                <w:u w:val="single"/>
              </w:rPr>
            </w:pPr>
            <w:r>
              <w:rPr>
                <w:rFonts w:asciiTheme="minorHAnsi" w:hAnsiTheme="minorHAnsi"/>
                <w:sz w:val="24"/>
                <w:szCs w:val="28"/>
                <w:u w:val="single"/>
              </w:rPr>
              <w:t>Dr. Jaime Augusto Zarate Arias</w:t>
            </w:r>
          </w:p>
          <w:p w:rsidR="00054D18" w:rsidRPr="00535E30" w:rsidRDefault="00054D18" w:rsidP="00F80905">
            <w:pPr>
              <w:spacing w:line="276" w:lineRule="auto"/>
              <w:rPr>
                <w:rFonts w:asciiTheme="minorHAnsi" w:hAnsiTheme="minorHAnsi"/>
                <w:sz w:val="24"/>
                <w:szCs w:val="28"/>
                <w:highlight w:val="yellow"/>
              </w:rPr>
            </w:pPr>
            <w:r w:rsidRPr="00535E30">
              <w:rPr>
                <w:rFonts w:asciiTheme="minorHAnsi" w:hAnsiTheme="minorHAnsi"/>
                <w:sz w:val="24"/>
                <w:szCs w:val="28"/>
              </w:rPr>
              <w:t>Representante Empleados Administrativos</w:t>
            </w:r>
          </w:p>
        </w:tc>
        <w:tc>
          <w:tcPr>
            <w:tcW w:w="4489" w:type="dxa"/>
          </w:tcPr>
          <w:p w:rsidR="00054D18" w:rsidRPr="00535E30" w:rsidRDefault="00054D18" w:rsidP="00F80905">
            <w:pPr>
              <w:spacing w:line="276" w:lineRule="auto"/>
              <w:rPr>
                <w:rFonts w:asciiTheme="minorHAnsi" w:hAnsiTheme="minorHAnsi"/>
                <w:b/>
                <w:sz w:val="24"/>
                <w:szCs w:val="28"/>
              </w:rPr>
            </w:pPr>
            <w:r w:rsidRPr="00535E30">
              <w:rPr>
                <w:rFonts w:asciiTheme="minorHAnsi" w:hAnsiTheme="minorHAnsi"/>
                <w:b/>
                <w:sz w:val="24"/>
                <w:szCs w:val="28"/>
              </w:rPr>
              <w:t>INVITADOS</w:t>
            </w:r>
          </w:p>
          <w:p w:rsidR="00054D18" w:rsidRPr="00535E30" w:rsidRDefault="00054D18" w:rsidP="00F80905">
            <w:pPr>
              <w:spacing w:after="0" w:line="276" w:lineRule="auto"/>
              <w:rPr>
                <w:rFonts w:asciiTheme="minorHAnsi" w:hAnsiTheme="minorHAnsi"/>
                <w:sz w:val="24"/>
                <w:szCs w:val="28"/>
                <w:u w:val="single"/>
              </w:rPr>
            </w:pPr>
            <w:r w:rsidRPr="00535E30">
              <w:rPr>
                <w:rFonts w:asciiTheme="minorHAnsi" w:hAnsiTheme="minorHAnsi"/>
                <w:sz w:val="24"/>
                <w:szCs w:val="28"/>
                <w:u w:val="single"/>
              </w:rPr>
              <w:t xml:space="preserve">Dr. Fernando </w:t>
            </w:r>
            <w:proofErr w:type="spellStart"/>
            <w:r w:rsidRPr="00535E30">
              <w:rPr>
                <w:rFonts w:asciiTheme="minorHAnsi" w:hAnsiTheme="minorHAnsi"/>
                <w:sz w:val="24"/>
                <w:szCs w:val="28"/>
                <w:u w:val="single"/>
              </w:rPr>
              <w:t>Noreña</w:t>
            </w:r>
            <w:proofErr w:type="spellEnd"/>
            <w:r w:rsidRPr="00535E30">
              <w:rPr>
                <w:rFonts w:asciiTheme="minorHAnsi" w:hAnsiTheme="minorHAnsi"/>
                <w:sz w:val="24"/>
                <w:szCs w:val="28"/>
                <w:u w:val="single"/>
              </w:rPr>
              <w:t xml:space="preserve"> Jaramillo</w:t>
            </w:r>
          </w:p>
          <w:p w:rsidR="00054D18" w:rsidRPr="00535E30" w:rsidRDefault="00054D18" w:rsidP="00F80905">
            <w:pPr>
              <w:spacing w:line="276" w:lineRule="auto"/>
              <w:rPr>
                <w:rFonts w:asciiTheme="minorHAnsi" w:hAnsiTheme="minorHAnsi"/>
                <w:sz w:val="24"/>
                <w:szCs w:val="28"/>
              </w:rPr>
            </w:pPr>
            <w:r w:rsidRPr="00535E30">
              <w:rPr>
                <w:rFonts w:asciiTheme="minorHAnsi" w:hAnsiTheme="minorHAnsi"/>
                <w:sz w:val="24"/>
                <w:szCs w:val="28"/>
              </w:rPr>
              <w:t>Vicerrector Administrativo</w:t>
            </w:r>
          </w:p>
          <w:p w:rsidR="00054D18" w:rsidRPr="00535E30" w:rsidRDefault="00054D18" w:rsidP="00F80905">
            <w:pPr>
              <w:spacing w:after="0" w:line="276" w:lineRule="auto"/>
              <w:rPr>
                <w:rFonts w:asciiTheme="minorHAnsi" w:hAnsiTheme="minorHAnsi"/>
                <w:sz w:val="24"/>
                <w:szCs w:val="28"/>
                <w:u w:val="single"/>
              </w:rPr>
            </w:pPr>
            <w:r w:rsidRPr="00535E30">
              <w:rPr>
                <w:rFonts w:asciiTheme="minorHAnsi" w:hAnsiTheme="minorHAnsi"/>
                <w:sz w:val="24"/>
                <w:szCs w:val="28"/>
                <w:u w:val="single"/>
              </w:rPr>
              <w:t>Dr. José Germán López Quintero</w:t>
            </w:r>
          </w:p>
          <w:p w:rsidR="00054D18" w:rsidRPr="00535E30" w:rsidRDefault="00054D18" w:rsidP="00F80905">
            <w:pPr>
              <w:spacing w:line="276" w:lineRule="auto"/>
              <w:rPr>
                <w:rFonts w:asciiTheme="minorHAnsi" w:hAnsiTheme="minorHAnsi"/>
                <w:sz w:val="24"/>
                <w:szCs w:val="28"/>
              </w:rPr>
            </w:pPr>
            <w:r w:rsidRPr="00535E30">
              <w:rPr>
                <w:rFonts w:asciiTheme="minorHAnsi" w:hAnsiTheme="minorHAnsi"/>
                <w:sz w:val="24"/>
                <w:szCs w:val="28"/>
              </w:rPr>
              <w:t>Vicerrector de Investigaciones, Innovación y Extensión</w:t>
            </w:r>
          </w:p>
          <w:p w:rsidR="00054D18" w:rsidRPr="00535E30" w:rsidRDefault="00054D18" w:rsidP="00F80905">
            <w:pPr>
              <w:spacing w:after="0" w:line="276" w:lineRule="auto"/>
              <w:rPr>
                <w:rFonts w:asciiTheme="minorHAnsi" w:hAnsiTheme="minorHAnsi"/>
                <w:sz w:val="24"/>
                <w:szCs w:val="28"/>
                <w:u w:val="single"/>
              </w:rPr>
            </w:pPr>
            <w:r w:rsidRPr="00535E30">
              <w:rPr>
                <w:rFonts w:asciiTheme="minorHAnsi" w:hAnsiTheme="minorHAnsi"/>
                <w:sz w:val="24"/>
                <w:szCs w:val="28"/>
                <w:u w:val="single"/>
              </w:rPr>
              <w:t>Dra. Diana Patricia Gómez Botero</w:t>
            </w:r>
          </w:p>
          <w:p w:rsidR="00054D18" w:rsidRPr="00535E30" w:rsidRDefault="00054D18" w:rsidP="00F80905">
            <w:pPr>
              <w:spacing w:line="276" w:lineRule="auto"/>
              <w:rPr>
                <w:rFonts w:asciiTheme="minorHAnsi" w:hAnsiTheme="minorHAnsi"/>
                <w:sz w:val="24"/>
                <w:szCs w:val="28"/>
              </w:rPr>
            </w:pPr>
            <w:r w:rsidRPr="00535E30">
              <w:rPr>
                <w:rFonts w:asciiTheme="minorHAnsi" w:hAnsiTheme="minorHAnsi"/>
                <w:sz w:val="24"/>
                <w:szCs w:val="28"/>
              </w:rPr>
              <w:t>Vicerrectora de Responsabilidad Social y Bienestar Universitario</w:t>
            </w:r>
          </w:p>
          <w:p w:rsidR="00054D18" w:rsidRPr="00535E30" w:rsidRDefault="00054D18" w:rsidP="00F80905">
            <w:pPr>
              <w:spacing w:after="0" w:line="276" w:lineRule="auto"/>
              <w:rPr>
                <w:rFonts w:asciiTheme="minorHAnsi" w:hAnsiTheme="minorHAnsi"/>
                <w:sz w:val="24"/>
                <w:szCs w:val="28"/>
                <w:u w:val="single"/>
              </w:rPr>
            </w:pPr>
            <w:r w:rsidRPr="00535E30">
              <w:rPr>
                <w:rFonts w:asciiTheme="minorHAnsi" w:hAnsiTheme="minorHAnsi"/>
                <w:sz w:val="24"/>
                <w:szCs w:val="28"/>
                <w:u w:val="single"/>
              </w:rPr>
              <w:t>Dr. Carlos Alfonso Zuluaga Arango</w:t>
            </w:r>
          </w:p>
          <w:p w:rsidR="00054D18" w:rsidRPr="00535E30" w:rsidRDefault="00054D18" w:rsidP="00F80905">
            <w:pPr>
              <w:spacing w:line="276" w:lineRule="auto"/>
              <w:rPr>
                <w:rFonts w:asciiTheme="minorHAnsi" w:hAnsiTheme="minorHAnsi"/>
                <w:sz w:val="24"/>
                <w:szCs w:val="28"/>
              </w:rPr>
            </w:pPr>
            <w:r w:rsidRPr="00535E30">
              <w:rPr>
                <w:rFonts w:asciiTheme="minorHAnsi" w:hAnsiTheme="minorHAnsi"/>
                <w:sz w:val="24"/>
                <w:szCs w:val="28"/>
              </w:rPr>
              <w:t>Secretario General</w:t>
            </w:r>
          </w:p>
        </w:tc>
      </w:tr>
    </w:tbl>
    <w:p w:rsidR="00054D18" w:rsidRPr="00535E30" w:rsidRDefault="00054D18" w:rsidP="00F80905">
      <w:pPr>
        <w:spacing w:after="200" w:line="276" w:lineRule="auto"/>
        <w:jc w:val="center"/>
        <w:rPr>
          <w:rFonts w:asciiTheme="minorHAnsi" w:hAnsiTheme="minorHAnsi"/>
          <w:b/>
          <w:sz w:val="36"/>
        </w:rPr>
      </w:pPr>
      <w:r w:rsidRPr="00535E30">
        <w:rPr>
          <w:rFonts w:asciiTheme="minorHAnsi" w:hAnsiTheme="minorHAnsi"/>
          <w:b/>
          <w:sz w:val="36"/>
        </w:rPr>
        <w:lastRenderedPageBreak/>
        <w:t>CONSEJO ACADÉMICO</w:t>
      </w:r>
    </w:p>
    <w:p w:rsidR="00054D18" w:rsidRPr="00535E30" w:rsidRDefault="00054D18" w:rsidP="00F80905">
      <w:pPr>
        <w:spacing w:after="200" w:line="276" w:lineRule="auto"/>
        <w:jc w:val="center"/>
        <w:rPr>
          <w:rFonts w:asciiTheme="minorHAnsi" w:hAnsiTheme="minorHAnsi"/>
          <w:b/>
          <w:sz w:val="36"/>
        </w:rPr>
      </w:pPr>
    </w:p>
    <w:tbl>
      <w:tblPr>
        <w:tblW w:w="0" w:type="auto"/>
        <w:tblLook w:val="04A0" w:firstRow="1" w:lastRow="0" w:firstColumn="1" w:lastColumn="0" w:noHBand="0" w:noVBand="1"/>
      </w:tblPr>
      <w:tblGrid>
        <w:gridCol w:w="4489"/>
        <w:gridCol w:w="4489"/>
      </w:tblGrid>
      <w:tr w:rsidR="00054D18" w:rsidRPr="00535E30" w:rsidTr="00054D18">
        <w:tc>
          <w:tcPr>
            <w:tcW w:w="4489" w:type="dxa"/>
          </w:tcPr>
          <w:p w:rsidR="00054D18" w:rsidRPr="00535E30" w:rsidRDefault="00054D18" w:rsidP="00F80905">
            <w:pPr>
              <w:spacing w:after="0" w:line="276" w:lineRule="auto"/>
              <w:rPr>
                <w:rFonts w:asciiTheme="minorHAnsi" w:hAnsiTheme="minorHAnsi"/>
                <w:sz w:val="18"/>
                <w:szCs w:val="20"/>
                <w:u w:val="single"/>
              </w:rPr>
            </w:pPr>
            <w:bookmarkStart w:id="8" w:name="_Toc334174802"/>
            <w:bookmarkStart w:id="9" w:name="_Toc334174877"/>
            <w:bookmarkStart w:id="10" w:name="_Toc334193984"/>
            <w:bookmarkEnd w:id="4"/>
            <w:bookmarkEnd w:id="5"/>
            <w:bookmarkEnd w:id="6"/>
            <w:bookmarkEnd w:id="7"/>
            <w:r w:rsidRPr="00535E30">
              <w:rPr>
                <w:rFonts w:asciiTheme="minorHAnsi" w:hAnsiTheme="minorHAnsi"/>
                <w:sz w:val="18"/>
                <w:szCs w:val="20"/>
                <w:u w:val="single"/>
              </w:rPr>
              <w:t>Dr. Luis Enrique Arango Jiménez</w:t>
            </w:r>
          </w:p>
          <w:p w:rsidR="00054D18" w:rsidRPr="00535E30" w:rsidRDefault="00054D18" w:rsidP="00F80905">
            <w:pPr>
              <w:spacing w:after="0" w:line="276" w:lineRule="auto"/>
              <w:rPr>
                <w:rFonts w:asciiTheme="minorHAnsi" w:hAnsiTheme="minorHAnsi"/>
                <w:sz w:val="18"/>
                <w:szCs w:val="20"/>
              </w:rPr>
            </w:pPr>
            <w:r w:rsidRPr="00535E30">
              <w:rPr>
                <w:rFonts w:asciiTheme="minorHAnsi" w:hAnsiTheme="minorHAnsi"/>
                <w:sz w:val="18"/>
                <w:szCs w:val="20"/>
              </w:rPr>
              <w:t>Rector</w:t>
            </w:r>
          </w:p>
          <w:p w:rsidR="00054D18" w:rsidRPr="00535E30" w:rsidRDefault="00054D18" w:rsidP="00F80905">
            <w:pPr>
              <w:spacing w:after="0" w:line="276" w:lineRule="auto"/>
              <w:rPr>
                <w:rFonts w:asciiTheme="minorHAnsi" w:hAnsiTheme="minorHAnsi"/>
                <w:sz w:val="18"/>
                <w:szCs w:val="20"/>
              </w:rPr>
            </w:pPr>
          </w:p>
          <w:p w:rsidR="00054D18" w:rsidRPr="00535E30" w:rsidRDefault="00054D18" w:rsidP="00F80905">
            <w:pPr>
              <w:spacing w:after="0" w:line="276" w:lineRule="auto"/>
              <w:rPr>
                <w:rFonts w:asciiTheme="minorHAnsi" w:hAnsiTheme="minorHAnsi"/>
                <w:sz w:val="18"/>
                <w:szCs w:val="20"/>
                <w:u w:val="single"/>
              </w:rPr>
            </w:pPr>
            <w:r w:rsidRPr="00535E30">
              <w:rPr>
                <w:rFonts w:asciiTheme="minorHAnsi" w:hAnsiTheme="minorHAnsi"/>
                <w:sz w:val="18"/>
                <w:szCs w:val="20"/>
                <w:u w:val="single"/>
              </w:rPr>
              <w:t xml:space="preserve">Dr. William Ardila </w:t>
            </w:r>
            <w:proofErr w:type="spellStart"/>
            <w:r w:rsidRPr="00535E30">
              <w:rPr>
                <w:rFonts w:asciiTheme="minorHAnsi" w:hAnsiTheme="minorHAnsi"/>
                <w:sz w:val="18"/>
                <w:szCs w:val="20"/>
                <w:u w:val="single"/>
              </w:rPr>
              <w:t>Urueña</w:t>
            </w:r>
            <w:proofErr w:type="spellEnd"/>
          </w:p>
          <w:p w:rsidR="00054D18" w:rsidRPr="00535E30" w:rsidRDefault="00054D18" w:rsidP="00F80905">
            <w:pPr>
              <w:spacing w:after="0" w:line="276" w:lineRule="auto"/>
              <w:rPr>
                <w:rFonts w:asciiTheme="minorHAnsi" w:hAnsiTheme="minorHAnsi"/>
                <w:sz w:val="18"/>
                <w:szCs w:val="20"/>
              </w:rPr>
            </w:pPr>
            <w:r w:rsidRPr="00535E30">
              <w:rPr>
                <w:rFonts w:asciiTheme="minorHAnsi" w:hAnsiTheme="minorHAnsi"/>
                <w:sz w:val="18"/>
                <w:szCs w:val="20"/>
              </w:rPr>
              <w:t xml:space="preserve">Vicerrector Académico </w:t>
            </w:r>
          </w:p>
          <w:p w:rsidR="00054D18" w:rsidRPr="00535E30" w:rsidRDefault="00054D18" w:rsidP="00F80905">
            <w:pPr>
              <w:spacing w:after="0" w:line="276" w:lineRule="auto"/>
              <w:rPr>
                <w:rFonts w:asciiTheme="minorHAnsi" w:hAnsiTheme="minorHAnsi"/>
                <w:sz w:val="18"/>
                <w:szCs w:val="20"/>
              </w:rPr>
            </w:pPr>
          </w:p>
          <w:p w:rsidR="00054D18" w:rsidRPr="00535E30" w:rsidRDefault="00054D18" w:rsidP="00F80905">
            <w:pPr>
              <w:spacing w:after="0" w:line="276" w:lineRule="auto"/>
              <w:rPr>
                <w:rFonts w:asciiTheme="minorHAnsi" w:hAnsiTheme="minorHAnsi"/>
                <w:sz w:val="18"/>
                <w:szCs w:val="20"/>
                <w:u w:val="single"/>
              </w:rPr>
            </w:pPr>
            <w:r w:rsidRPr="00535E30">
              <w:rPr>
                <w:rFonts w:asciiTheme="minorHAnsi" w:hAnsiTheme="minorHAnsi"/>
                <w:sz w:val="18"/>
                <w:szCs w:val="20"/>
                <w:u w:val="single"/>
              </w:rPr>
              <w:t xml:space="preserve">Dr. Fernando </w:t>
            </w:r>
            <w:proofErr w:type="spellStart"/>
            <w:r w:rsidRPr="00535E30">
              <w:rPr>
                <w:rFonts w:asciiTheme="minorHAnsi" w:hAnsiTheme="minorHAnsi"/>
                <w:sz w:val="18"/>
                <w:szCs w:val="20"/>
                <w:u w:val="single"/>
              </w:rPr>
              <w:t>Noreña</w:t>
            </w:r>
            <w:proofErr w:type="spellEnd"/>
            <w:r w:rsidRPr="00535E30">
              <w:rPr>
                <w:rFonts w:asciiTheme="minorHAnsi" w:hAnsiTheme="minorHAnsi"/>
                <w:sz w:val="18"/>
                <w:szCs w:val="20"/>
                <w:u w:val="single"/>
              </w:rPr>
              <w:t xml:space="preserve"> Jaramillo</w:t>
            </w:r>
          </w:p>
          <w:p w:rsidR="00054D18" w:rsidRPr="00535E30" w:rsidRDefault="00054D18" w:rsidP="00F80905">
            <w:pPr>
              <w:spacing w:after="0" w:line="276" w:lineRule="auto"/>
              <w:rPr>
                <w:rFonts w:asciiTheme="minorHAnsi" w:hAnsiTheme="minorHAnsi"/>
                <w:sz w:val="18"/>
                <w:szCs w:val="20"/>
              </w:rPr>
            </w:pPr>
            <w:r w:rsidRPr="00535E30">
              <w:rPr>
                <w:rFonts w:asciiTheme="minorHAnsi" w:hAnsiTheme="minorHAnsi"/>
                <w:sz w:val="18"/>
                <w:szCs w:val="20"/>
              </w:rPr>
              <w:t>Vicerrector Administrativo</w:t>
            </w:r>
          </w:p>
          <w:p w:rsidR="00054D18" w:rsidRPr="00535E30" w:rsidRDefault="00054D18" w:rsidP="00F80905">
            <w:pPr>
              <w:spacing w:after="0" w:line="276" w:lineRule="auto"/>
              <w:rPr>
                <w:rFonts w:asciiTheme="minorHAnsi" w:hAnsiTheme="minorHAnsi"/>
                <w:sz w:val="18"/>
                <w:szCs w:val="20"/>
              </w:rPr>
            </w:pPr>
          </w:p>
          <w:p w:rsidR="00054D18" w:rsidRPr="00535E30" w:rsidRDefault="00054D18" w:rsidP="00F80905">
            <w:pPr>
              <w:spacing w:after="0" w:line="276" w:lineRule="auto"/>
              <w:rPr>
                <w:rFonts w:asciiTheme="minorHAnsi" w:hAnsiTheme="minorHAnsi"/>
                <w:sz w:val="18"/>
                <w:szCs w:val="20"/>
                <w:u w:val="single"/>
              </w:rPr>
            </w:pPr>
            <w:r w:rsidRPr="00535E30">
              <w:rPr>
                <w:rFonts w:asciiTheme="minorHAnsi" w:hAnsiTheme="minorHAnsi"/>
                <w:sz w:val="18"/>
                <w:szCs w:val="20"/>
                <w:u w:val="single"/>
              </w:rPr>
              <w:t>Dr. José Germán López Quintero</w:t>
            </w:r>
          </w:p>
          <w:p w:rsidR="00054D18" w:rsidRPr="00535E30" w:rsidRDefault="00054D18" w:rsidP="00F80905">
            <w:pPr>
              <w:spacing w:after="0" w:line="276" w:lineRule="auto"/>
              <w:rPr>
                <w:rFonts w:asciiTheme="minorHAnsi" w:hAnsiTheme="minorHAnsi"/>
                <w:sz w:val="18"/>
                <w:szCs w:val="20"/>
              </w:rPr>
            </w:pPr>
            <w:r w:rsidRPr="00535E30">
              <w:rPr>
                <w:rFonts w:asciiTheme="minorHAnsi" w:hAnsiTheme="minorHAnsi"/>
                <w:sz w:val="18"/>
                <w:szCs w:val="20"/>
              </w:rPr>
              <w:t>Vicerrector de Investigaciones, Innovación y Extensión</w:t>
            </w:r>
          </w:p>
          <w:p w:rsidR="00054D18" w:rsidRPr="00535E30" w:rsidRDefault="00054D18" w:rsidP="00F80905">
            <w:pPr>
              <w:spacing w:after="0" w:line="276" w:lineRule="auto"/>
              <w:rPr>
                <w:rFonts w:asciiTheme="minorHAnsi" w:hAnsiTheme="minorHAnsi"/>
                <w:sz w:val="18"/>
                <w:szCs w:val="20"/>
              </w:rPr>
            </w:pPr>
          </w:p>
          <w:p w:rsidR="00054D18" w:rsidRPr="00535E30" w:rsidRDefault="00054D18" w:rsidP="00F80905">
            <w:pPr>
              <w:spacing w:after="0" w:line="276" w:lineRule="auto"/>
              <w:rPr>
                <w:rFonts w:asciiTheme="minorHAnsi" w:hAnsiTheme="minorHAnsi"/>
                <w:sz w:val="18"/>
                <w:szCs w:val="20"/>
                <w:u w:val="single"/>
              </w:rPr>
            </w:pPr>
            <w:r w:rsidRPr="00535E30">
              <w:rPr>
                <w:rFonts w:asciiTheme="minorHAnsi" w:hAnsiTheme="minorHAnsi"/>
                <w:sz w:val="18"/>
                <w:szCs w:val="20"/>
                <w:u w:val="single"/>
              </w:rPr>
              <w:t>Dra. Diana Patricia Gómez Botero</w:t>
            </w:r>
          </w:p>
          <w:p w:rsidR="00054D18" w:rsidRPr="00535E30" w:rsidRDefault="00054D18" w:rsidP="00F80905">
            <w:pPr>
              <w:spacing w:after="0" w:line="276" w:lineRule="auto"/>
              <w:rPr>
                <w:rFonts w:asciiTheme="minorHAnsi" w:hAnsiTheme="minorHAnsi"/>
                <w:sz w:val="18"/>
                <w:szCs w:val="20"/>
              </w:rPr>
            </w:pPr>
            <w:r w:rsidRPr="00535E30">
              <w:rPr>
                <w:rFonts w:asciiTheme="minorHAnsi" w:hAnsiTheme="minorHAnsi"/>
                <w:sz w:val="18"/>
                <w:szCs w:val="20"/>
              </w:rPr>
              <w:t>Vicerrectora de Responsabilidad Social y Bienestar Universitario</w:t>
            </w:r>
          </w:p>
          <w:p w:rsidR="00054D18" w:rsidRPr="00535E30" w:rsidRDefault="00054D18" w:rsidP="00F80905">
            <w:pPr>
              <w:spacing w:after="0" w:line="276" w:lineRule="auto"/>
              <w:rPr>
                <w:rFonts w:asciiTheme="minorHAnsi" w:hAnsiTheme="minorHAnsi"/>
                <w:sz w:val="18"/>
                <w:szCs w:val="20"/>
              </w:rPr>
            </w:pPr>
          </w:p>
          <w:p w:rsidR="00054D18" w:rsidRPr="00535E30" w:rsidRDefault="00054D18" w:rsidP="00F80905">
            <w:pPr>
              <w:spacing w:after="0" w:line="276" w:lineRule="auto"/>
              <w:rPr>
                <w:rFonts w:asciiTheme="minorHAnsi" w:hAnsiTheme="minorHAnsi"/>
                <w:sz w:val="18"/>
                <w:szCs w:val="20"/>
                <w:u w:val="single"/>
              </w:rPr>
            </w:pPr>
            <w:r w:rsidRPr="00535E30">
              <w:rPr>
                <w:rFonts w:asciiTheme="minorHAnsi" w:hAnsiTheme="minorHAnsi"/>
                <w:sz w:val="18"/>
                <w:szCs w:val="20"/>
                <w:u w:val="single"/>
              </w:rPr>
              <w:t>Dr. Carlos Alfonso Zuluaga Arango</w:t>
            </w:r>
          </w:p>
          <w:p w:rsidR="00054D18" w:rsidRPr="00535E30" w:rsidRDefault="00054D18" w:rsidP="00F80905">
            <w:pPr>
              <w:spacing w:after="0" w:line="276" w:lineRule="auto"/>
              <w:rPr>
                <w:rFonts w:asciiTheme="minorHAnsi" w:hAnsiTheme="minorHAnsi"/>
                <w:sz w:val="18"/>
                <w:szCs w:val="20"/>
              </w:rPr>
            </w:pPr>
            <w:r w:rsidRPr="00535E30">
              <w:rPr>
                <w:rFonts w:asciiTheme="minorHAnsi" w:hAnsiTheme="minorHAnsi"/>
                <w:sz w:val="18"/>
                <w:szCs w:val="20"/>
              </w:rPr>
              <w:t>Secretario General</w:t>
            </w:r>
          </w:p>
          <w:p w:rsidR="00054D18" w:rsidRPr="00535E30" w:rsidRDefault="00054D18" w:rsidP="00F80905">
            <w:pPr>
              <w:spacing w:after="0" w:line="276" w:lineRule="auto"/>
              <w:rPr>
                <w:rFonts w:asciiTheme="minorHAnsi" w:hAnsiTheme="minorHAnsi"/>
                <w:sz w:val="18"/>
                <w:szCs w:val="20"/>
              </w:rPr>
            </w:pPr>
          </w:p>
          <w:p w:rsidR="00054D18" w:rsidRPr="00535E30" w:rsidRDefault="00054D18" w:rsidP="00F80905">
            <w:pPr>
              <w:spacing w:after="0" w:line="276" w:lineRule="auto"/>
              <w:rPr>
                <w:rFonts w:asciiTheme="minorHAnsi" w:hAnsiTheme="minorHAnsi"/>
                <w:sz w:val="18"/>
                <w:szCs w:val="20"/>
                <w:u w:val="single"/>
              </w:rPr>
            </w:pPr>
            <w:r w:rsidRPr="00535E30">
              <w:rPr>
                <w:rFonts w:asciiTheme="minorHAnsi" w:hAnsiTheme="minorHAnsi"/>
                <w:sz w:val="18"/>
                <w:szCs w:val="20"/>
                <w:u w:val="single"/>
              </w:rPr>
              <w:t>Dr. Gonzalo Arango Jiménez</w:t>
            </w:r>
          </w:p>
          <w:p w:rsidR="00054D18" w:rsidRPr="00535E30" w:rsidRDefault="00054D18" w:rsidP="00F80905">
            <w:pPr>
              <w:spacing w:after="0" w:line="276" w:lineRule="auto"/>
              <w:rPr>
                <w:rFonts w:asciiTheme="minorHAnsi" w:hAnsiTheme="minorHAnsi"/>
                <w:sz w:val="18"/>
                <w:szCs w:val="20"/>
              </w:rPr>
            </w:pPr>
            <w:r w:rsidRPr="00535E30">
              <w:rPr>
                <w:rFonts w:asciiTheme="minorHAnsi" w:hAnsiTheme="minorHAnsi"/>
                <w:sz w:val="18"/>
                <w:szCs w:val="20"/>
              </w:rPr>
              <w:t>Representante de los Profesores</w:t>
            </w:r>
          </w:p>
          <w:p w:rsidR="00054D18" w:rsidRPr="00535E30" w:rsidRDefault="00054D18" w:rsidP="00F80905">
            <w:pPr>
              <w:spacing w:after="0" w:line="276" w:lineRule="auto"/>
              <w:rPr>
                <w:rFonts w:asciiTheme="minorHAnsi" w:hAnsiTheme="minorHAnsi"/>
                <w:sz w:val="18"/>
                <w:szCs w:val="20"/>
              </w:rPr>
            </w:pPr>
          </w:p>
          <w:p w:rsidR="00054D18" w:rsidRPr="00535E30" w:rsidRDefault="00054D18" w:rsidP="00F80905">
            <w:pPr>
              <w:spacing w:after="0" w:line="276" w:lineRule="auto"/>
              <w:rPr>
                <w:rFonts w:asciiTheme="minorHAnsi" w:hAnsiTheme="minorHAnsi"/>
                <w:sz w:val="18"/>
                <w:szCs w:val="20"/>
                <w:u w:val="single"/>
              </w:rPr>
            </w:pPr>
            <w:r w:rsidRPr="00535E30">
              <w:rPr>
                <w:rFonts w:asciiTheme="minorHAnsi" w:hAnsiTheme="minorHAnsi"/>
                <w:sz w:val="18"/>
                <w:szCs w:val="20"/>
                <w:u w:val="single"/>
              </w:rPr>
              <w:t xml:space="preserve">Dr. </w:t>
            </w:r>
            <w:r w:rsidR="006E4223">
              <w:rPr>
                <w:rFonts w:asciiTheme="minorHAnsi" w:hAnsiTheme="minorHAnsi"/>
                <w:sz w:val="18"/>
                <w:szCs w:val="20"/>
                <w:u w:val="single"/>
              </w:rPr>
              <w:t>Leonel Arias Montoya</w:t>
            </w:r>
          </w:p>
          <w:p w:rsidR="00054D18" w:rsidRPr="00535E30" w:rsidRDefault="00054D18" w:rsidP="00F80905">
            <w:pPr>
              <w:spacing w:after="0" w:line="276" w:lineRule="auto"/>
              <w:rPr>
                <w:rFonts w:asciiTheme="minorHAnsi" w:hAnsiTheme="minorHAnsi"/>
                <w:sz w:val="18"/>
                <w:szCs w:val="20"/>
              </w:rPr>
            </w:pPr>
            <w:r w:rsidRPr="00535E30">
              <w:rPr>
                <w:rFonts w:asciiTheme="minorHAnsi" w:hAnsiTheme="minorHAnsi"/>
                <w:sz w:val="18"/>
                <w:szCs w:val="20"/>
              </w:rPr>
              <w:t>Representante de los Profesores</w:t>
            </w:r>
          </w:p>
          <w:p w:rsidR="00054D18" w:rsidRPr="00535E30" w:rsidRDefault="00054D18" w:rsidP="00F80905">
            <w:pPr>
              <w:spacing w:after="0" w:line="276" w:lineRule="auto"/>
              <w:rPr>
                <w:rFonts w:asciiTheme="minorHAnsi" w:hAnsiTheme="minorHAnsi"/>
                <w:sz w:val="18"/>
                <w:szCs w:val="20"/>
              </w:rPr>
            </w:pPr>
          </w:p>
          <w:p w:rsidR="00054D18" w:rsidRPr="00535E30" w:rsidRDefault="00054D18" w:rsidP="00F80905">
            <w:pPr>
              <w:spacing w:after="0" w:line="276" w:lineRule="auto"/>
              <w:rPr>
                <w:rFonts w:asciiTheme="minorHAnsi" w:hAnsiTheme="minorHAnsi"/>
                <w:sz w:val="18"/>
                <w:szCs w:val="20"/>
                <w:u w:val="single"/>
              </w:rPr>
            </w:pPr>
            <w:r w:rsidRPr="00535E30">
              <w:rPr>
                <w:rFonts w:asciiTheme="minorHAnsi" w:hAnsiTheme="minorHAnsi"/>
                <w:sz w:val="18"/>
                <w:szCs w:val="20"/>
                <w:u w:val="single"/>
              </w:rPr>
              <w:t xml:space="preserve">Sr. Juan Daniel Castrillón </w:t>
            </w:r>
            <w:proofErr w:type="spellStart"/>
            <w:r w:rsidRPr="00535E30">
              <w:rPr>
                <w:rFonts w:asciiTheme="minorHAnsi" w:hAnsiTheme="minorHAnsi"/>
                <w:sz w:val="18"/>
                <w:szCs w:val="20"/>
                <w:u w:val="single"/>
              </w:rPr>
              <w:t>Spitia</w:t>
            </w:r>
            <w:proofErr w:type="spellEnd"/>
          </w:p>
          <w:p w:rsidR="00054D18" w:rsidRPr="00535E30" w:rsidRDefault="00054D18" w:rsidP="00F80905">
            <w:pPr>
              <w:spacing w:after="0" w:line="276" w:lineRule="auto"/>
              <w:rPr>
                <w:rFonts w:asciiTheme="minorHAnsi" w:hAnsiTheme="minorHAnsi"/>
                <w:sz w:val="18"/>
                <w:szCs w:val="20"/>
              </w:rPr>
            </w:pPr>
            <w:r w:rsidRPr="00535E30">
              <w:rPr>
                <w:rFonts w:asciiTheme="minorHAnsi" w:hAnsiTheme="minorHAnsi"/>
                <w:sz w:val="18"/>
                <w:szCs w:val="20"/>
              </w:rPr>
              <w:t>Representante de los Estudiantes</w:t>
            </w:r>
          </w:p>
          <w:p w:rsidR="00054D18" w:rsidRPr="00535E30" w:rsidRDefault="00054D18" w:rsidP="00F80905">
            <w:pPr>
              <w:spacing w:after="0" w:line="276" w:lineRule="auto"/>
              <w:rPr>
                <w:rFonts w:asciiTheme="minorHAnsi" w:hAnsiTheme="minorHAnsi"/>
                <w:sz w:val="18"/>
                <w:szCs w:val="20"/>
              </w:rPr>
            </w:pPr>
          </w:p>
          <w:p w:rsidR="00054D18" w:rsidRPr="00535E30" w:rsidRDefault="00054D18" w:rsidP="00F80905">
            <w:pPr>
              <w:spacing w:after="0" w:line="276" w:lineRule="auto"/>
              <w:rPr>
                <w:rFonts w:asciiTheme="minorHAnsi" w:hAnsiTheme="minorHAnsi"/>
                <w:sz w:val="18"/>
                <w:szCs w:val="20"/>
                <w:u w:val="single"/>
              </w:rPr>
            </w:pPr>
            <w:r w:rsidRPr="00535E30">
              <w:rPr>
                <w:rFonts w:asciiTheme="minorHAnsi" w:hAnsiTheme="minorHAnsi"/>
                <w:sz w:val="18"/>
                <w:szCs w:val="20"/>
                <w:u w:val="single"/>
              </w:rPr>
              <w:t xml:space="preserve">Sr. </w:t>
            </w:r>
            <w:proofErr w:type="spellStart"/>
            <w:r w:rsidR="006E4223">
              <w:rPr>
                <w:rFonts w:asciiTheme="minorHAnsi" w:hAnsiTheme="minorHAnsi"/>
                <w:sz w:val="18"/>
                <w:szCs w:val="20"/>
                <w:u w:val="single"/>
              </w:rPr>
              <w:t>Victor</w:t>
            </w:r>
            <w:proofErr w:type="spellEnd"/>
            <w:r w:rsidR="006E4223">
              <w:rPr>
                <w:rFonts w:asciiTheme="minorHAnsi" w:hAnsiTheme="minorHAnsi"/>
                <w:sz w:val="18"/>
                <w:szCs w:val="20"/>
                <w:u w:val="single"/>
              </w:rPr>
              <w:t xml:space="preserve"> Hugo Ramírez Porres</w:t>
            </w:r>
          </w:p>
          <w:p w:rsidR="00054D18" w:rsidRPr="00535E30" w:rsidRDefault="00054D18" w:rsidP="00F80905">
            <w:pPr>
              <w:spacing w:after="0" w:line="276" w:lineRule="auto"/>
              <w:rPr>
                <w:rFonts w:asciiTheme="minorHAnsi" w:hAnsiTheme="minorHAnsi"/>
                <w:sz w:val="18"/>
                <w:szCs w:val="20"/>
              </w:rPr>
            </w:pPr>
            <w:r w:rsidRPr="00535E30">
              <w:rPr>
                <w:rFonts w:asciiTheme="minorHAnsi" w:hAnsiTheme="minorHAnsi"/>
                <w:sz w:val="18"/>
                <w:szCs w:val="20"/>
              </w:rPr>
              <w:t>Representante de los Estudiantes</w:t>
            </w:r>
          </w:p>
          <w:p w:rsidR="00054D18" w:rsidRPr="00535E30" w:rsidRDefault="00054D18" w:rsidP="00F80905">
            <w:pPr>
              <w:spacing w:after="0" w:line="276" w:lineRule="auto"/>
              <w:rPr>
                <w:rFonts w:asciiTheme="minorHAnsi" w:hAnsiTheme="minorHAnsi"/>
                <w:sz w:val="18"/>
                <w:szCs w:val="20"/>
                <w:highlight w:val="yellow"/>
              </w:rPr>
            </w:pPr>
          </w:p>
          <w:p w:rsidR="00054D18" w:rsidRPr="00535E30" w:rsidRDefault="00054D18" w:rsidP="00F80905">
            <w:pPr>
              <w:spacing w:after="0" w:line="276" w:lineRule="auto"/>
              <w:rPr>
                <w:rFonts w:asciiTheme="minorHAnsi" w:hAnsiTheme="minorHAnsi"/>
                <w:sz w:val="18"/>
                <w:szCs w:val="20"/>
                <w:u w:val="single"/>
              </w:rPr>
            </w:pPr>
            <w:r w:rsidRPr="00535E30">
              <w:rPr>
                <w:rFonts w:asciiTheme="minorHAnsi" w:hAnsiTheme="minorHAnsi"/>
                <w:sz w:val="18"/>
                <w:szCs w:val="20"/>
                <w:u w:val="single"/>
              </w:rPr>
              <w:t>Dr. Juan Carlos Monsalve Botero</w:t>
            </w:r>
          </w:p>
          <w:p w:rsidR="00054D18" w:rsidRPr="00535E30" w:rsidRDefault="00054D18" w:rsidP="00F80905">
            <w:pPr>
              <w:spacing w:after="0" w:line="276" w:lineRule="auto"/>
              <w:rPr>
                <w:rFonts w:asciiTheme="minorHAnsi" w:hAnsiTheme="minorHAnsi"/>
                <w:sz w:val="18"/>
                <w:szCs w:val="20"/>
              </w:rPr>
            </w:pPr>
            <w:r w:rsidRPr="00535E30">
              <w:rPr>
                <w:rFonts w:asciiTheme="minorHAnsi" w:hAnsiTheme="minorHAnsi"/>
                <w:sz w:val="18"/>
                <w:szCs w:val="20"/>
              </w:rPr>
              <w:t>Decano Facultad Ciencias de la Salud</w:t>
            </w:r>
          </w:p>
          <w:p w:rsidR="00054D18" w:rsidRPr="00535E30" w:rsidRDefault="00054D18" w:rsidP="00F80905">
            <w:pPr>
              <w:spacing w:after="0" w:line="276" w:lineRule="auto"/>
              <w:rPr>
                <w:rFonts w:asciiTheme="minorHAnsi" w:hAnsiTheme="minorHAnsi"/>
                <w:sz w:val="18"/>
                <w:szCs w:val="20"/>
              </w:rPr>
            </w:pPr>
          </w:p>
          <w:p w:rsidR="00054D18" w:rsidRPr="00535E30" w:rsidRDefault="00054D18" w:rsidP="00F80905">
            <w:pPr>
              <w:spacing w:after="0" w:line="276" w:lineRule="auto"/>
              <w:rPr>
                <w:rFonts w:asciiTheme="minorHAnsi" w:hAnsiTheme="minorHAnsi"/>
                <w:sz w:val="18"/>
                <w:szCs w:val="20"/>
                <w:u w:val="single"/>
              </w:rPr>
            </w:pPr>
            <w:r w:rsidRPr="00535E30">
              <w:rPr>
                <w:rFonts w:asciiTheme="minorHAnsi" w:hAnsiTheme="minorHAnsi"/>
                <w:sz w:val="18"/>
                <w:szCs w:val="20"/>
                <w:u w:val="single"/>
              </w:rPr>
              <w:t>Dra. María Teresa Zapata Saldarriaga</w:t>
            </w:r>
          </w:p>
          <w:p w:rsidR="00054D18" w:rsidRPr="00535E30" w:rsidRDefault="00054D18" w:rsidP="00F80905">
            <w:pPr>
              <w:spacing w:after="0" w:line="276" w:lineRule="auto"/>
              <w:rPr>
                <w:rFonts w:asciiTheme="minorHAnsi" w:hAnsiTheme="minorHAnsi"/>
                <w:sz w:val="18"/>
                <w:szCs w:val="20"/>
              </w:rPr>
            </w:pPr>
            <w:r w:rsidRPr="00535E30">
              <w:rPr>
                <w:rFonts w:asciiTheme="minorHAnsi" w:hAnsiTheme="minorHAnsi"/>
                <w:sz w:val="18"/>
                <w:szCs w:val="20"/>
              </w:rPr>
              <w:t>Decana Facultad Ciencias de la Educación.</w:t>
            </w:r>
          </w:p>
          <w:p w:rsidR="00054D18" w:rsidRPr="00535E30" w:rsidRDefault="00054D18" w:rsidP="00F80905">
            <w:pPr>
              <w:spacing w:after="0" w:line="276" w:lineRule="auto"/>
              <w:rPr>
                <w:rFonts w:asciiTheme="minorHAnsi" w:hAnsiTheme="minorHAnsi"/>
                <w:sz w:val="18"/>
                <w:szCs w:val="20"/>
              </w:rPr>
            </w:pPr>
          </w:p>
          <w:p w:rsidR="00054D18" w:rsidRPr="00535E30" w:rsidRDefault="00054D18" w:rsidP="00F80905">
            <w:pPr>
              <w:spacing w:after="0" w:line="276" w:lineRule="auto"/>
              <w:rPr>
                <w:rFonts w:asciiTheme="minorHAnsi" w:hAnsiTheme="minorHAnsi"/>
                <w:sz w:val="20"/>
                <w:szCs w:val="20"/>
                <w:u w:val="single"/>
              </w:rPr>
            </w:pPr>
            <w:r w:rsidRPr="00535E30">
              <w:rPr>
                <w:rFonts w:asciiTheme="minorHAnsi" w:hAnsiTheme="minorHAnsi"/>
                <w:sz w:val="20"/>
                <w:szCs w:val="20"/>
                <w:u w:val="single"/>
              </w:rPr>
              <w:t xml:space="preserve">Dr. José Reinaldo Marín </w:t>
            </w:r>
            <w:proofErr w:type="spellStart"/>
            <w:r w:rsidRPr="00535E30">
              <w:rPr>
                <w:rFonts w:asciiTheme="minorHAnsi" w:hAnsiTheme="minorHAnsi"/>
                <w:sz w:val="20"/>
                <w:szCs w:val="20"/>
                <w:u w:val="single"/>
              </w:rPr>
              <w:t>Betancurth</w:t>
            </w:r>
            <w:proofErr w:type="spellEnd"/>
          </w:p>
          <w:p w:rsidR="00054D18" w:rsidRPr="00535E30" w:rsidRDefault="00054D18" w:rsidP="00F80905">
            <w:pPr>
              <w:spacing w:after="0" w:line="276" w:lineRule="auto"/>
              <w:rPr>
                <w:rFonts w:asciiTheme="minorHAnsi" w:hAnsiTheme="minorHAnsi"/>
                <w:sz w:val="20"/>
                <w:szCs w:val="20"/>
              </w:rPr>
            </w:pPr>
            <w:r w:rsidRPr="00535E30">
              <w:rPr>
                <w:rFonts w:asciiTheme="minorHAnsi" w:hAnsiTheme="minorHAnsi"/>
                <w:sz w:val="20"/>
                <w:szCs w:val="20"/>
              </w:rPr>
              <w:t>Decano Facultad de Tecnologías</w:t>
            </w:r>
          </w:p>
        </w:tc>
        <w:tc>
          <w:tcPr>
            <w:tcW w:w="4489" w:type="dxa"/>
          </w:tcPr>
          <w:p w:rsidR="00054D18" w:rsidRPr="00535E30" w:rsidRDefault="00054D18" w:rsidP="00F80905">
            <w:pPr>
              <w:spacing w:after="0" w:line="276" w:lineRule="auto"/>
              <w:rPr>
                <w:rFonts w:asciiTheme="minorHAnsi" w:hAnsiTheme="minorHAnsi"/>
                <w:sz w:val="20"/>
                <w:szCs w:val="20"/>
                <w:u w:val="single"/>
              </w:rPr>
            </w:pPr>
            <w:r w:rsidRPr="00535E30">
              <w:rPr>
                <w:rFonts w:asciiTheme="minorHAnsi" w:hAnsiTheme="minorHAnsi"/>
                <w:sz w:val="20"/>
                <w:szCs w:val="20"/>
                <w:u w:val="single"/>
              </w:rPr>
              <w:t>Dr. Hugo Armando Gallego Becerra</w:t>
            </w:r>
          </w:p>
          <w:p w:rsidR="00054D18" w:rsidRPr="00535E30" w:rsidRDefault="00054D18" w:rsidP="00F80905">
            <w:pPr>
              <w:spacing w:after="0" w:line="276" w:lineRule="auto"/>
              <w:rPr>
                <w:rFonts w:asciiTheme="minorHAnsi" w:hAnsiTheme="minorHAnsi"/>
                <w:sz w:val="20"/>
                <w:szCs w:val="20"/>
              </w:rPr>
            </w:pPr>
            <w:r w:rsidRPr="00535E30">
              <w:rPr>
                <w:rFonts w:asciiTheme="minorHAnsi" w:hAnsiTheme="minorHAnsi"/>
                <w:sz w:val="20"/>
                <w:szCs w:val="20"/>
              </w:rPr>
              <w:t>Decano Facultad Ciencias Básicas</w:t>
            </w:r>
          </w:p>
          <w:p w:rsidR="00054D18" w:rsidRPr="00535E30" w:rsidRDefault="00054D18" w:rsidP="00F80905">
            <w:pPr>
              <w:spacing w:after="0" w:line="276" w:lineRule="auto"/>
              <w:rPr>
                <w:rFonts w:asciiTheme="minorHAnsi" w:hAnsiTheme="minorHAnsi"/>
                <w:sz w:val="20"/>
                <w:szCs w:val="20"/>
              </w:rPr>
            </w:pPr>
          </w:p>
          <w:p w:rsidR="00054D18" w:rsidRPr="00535E30" w:rsidRDefault="00054D18" w:rsidP="00F80905">
            <w:pPr>
              <w:spacing w:after="0" w:line="276" w:lineRule="auto"/>
              <w:rPr>
                <w:rFonts w:asciiTheme="minorHAnsi" w:hAnsiTheme="minorHAnsi"/>
                <w:sz w:val="20"/>
                <w:szCs w:val="20"/>
                <w:u w:val="single"/>
              </w:rPr>
            </w:pPr>
            <w:r w:rsidRPr="00535E30">
              <w:rPr>
                <w:rFonts w:asciiTheme="minorHAnsi" w:hAnsiTheme="minorHAnsi"/>
                <w:sz w:val="20"/>
                <w:szCs w:val="20"/>
                <w:u w:val="single"/>
              </w:rPr>
              <w:t>Maestro. Juan Humberto Gallego Ramírez</w:t>
            </w:r>
          </w:p>
          <w:p w:rsidR="00054D18" w:rsidRPr="00535E30" w:rsidRDefault="00054D18" w:rsidP="00F80905">
            <w:pPr>
              <w:spacing w:after="0" w:line="276" w:lineRule="auto"/>
              <w:rPr>
                <w:rFonts w:asciiTheme="minorHAnsi" w:hAnsiTheme="minorHAnsi"/>
                <w:sz w:val="20"/>
                <w:szCs w:val="20"/>
              </w:rPr>
            </w:pPr>
            <w:r w:rsidRPr="00535E30">
              <w:rPr>
                <w:rFonts w:asciiTheme="minorHAnsi" w:hAnsiTheme="minorHAnsi"/>
                <w:sz w:val="20"/>
                <w:szCs w:val="20"/>
              </w:rPr>
              <w:t>Decano Facultad Bellas Artes y Humanidades</w:t>
            </w:r>
          </w:p>
          <w:p w:rsidR="00054D18" w:rsidRPr="00535E30" w:rsidRDefault="00054D18" w:rsidP="00F80905">
            <w:pPr>
              <w:spacing w:after="0" w:line="276" w:lineRule="auto"/>
              <w:rPr>
                <w:rFonts w:asciiTheme="minorHAnsi" w:hAnsiTheme="minorHAnsi"/>
                <w:sz w:val="20"/>
                <w:szCs w:val="20"/>
                <w:highlight w:val="yellow"/>
              </w:rPr>
            </w:pPr>
          </w:p>
          <w:p w:rsidR="00054D18" w:rsidRPr="00535E30" w:rsidRDefault="00054D18" w:rsidP="00F80905">
            <w:pPr>
              <w:spacing w:after="0" w:line="276" w:lineRule="auto"/>
              <w:rPr>
                <w:rFonts w:asciiTheme="minorHAnsi" w:hAnsiTheme="minorHAnsi"/>
                <w:sz w:val="20"/>
                <w:szCs w:val="20"/>
                <w:u w:val="single"/>
              </w:rPr>
            </w:pPr>
            <w:r w:rsidRPr="00535E30">
              <w:rPr>
                <w:rFonts w:asciiTheme="minorHAnsi" w:hAnsiTheme="minorHAnsi"/>
                <w:sz w:val="20"/>
                <w:szCs w:val="20"/>
                <w:u w:val="single"/>
              </w:rPr>
              <w:t xml:space="preserve">Dr. </w:t>
            </w:r>
            <w:proofErr w:type="spellStart"/>
            <w:r w:rsidRPr="00535E30">
              <w:rPr>
                <w:rFonts w:asciiTheme="minorHAnsi" w:hAnsiTheme="minorHAnsi"/>
                <w:sz w:val="20"/>
                <w:szCs w:val="20"/>
                <w:u w:val="single"/>
              </w:rPr>
              <w:t>Jhonniers</w:t>
            </w:r>
            <w:proofErr w:type="spellEnd"/>
            <w:r w:rsidRPr="00535E30">
              <w:rPr>
                <w:rFonts w:asciiTheme="minorHAnsi" w:hAnsiTheme="minorHAnsi"/>
                <w:sz w:val="20"/>
                <w:szCs w:val="20"/>
                <w:u w:val="single"/>
              </w:rPr>
              <w:t xml:space="preserve"> Gilberto Guerrero Erazo</w:t>
            </w:r>
          </w:p>
          <w:p w:rsidR="00054D18" w:rsidRPr="00535E30" w:rsidRDefault="00054D18" w:rsidP="00F80905">
            <w:pPr>
              <w:spacing w:after="0" w:line="276" w:lineRule="auto"/>
              <w:rPr>
                <w:rFonts w:asciiTheme="minorHAnsi" w:hAnsiTheme="minorHAnsi"/>
                <w:sz w:val="20"/>
                <w:szCs w:val="20"/>
              </w:rPr>
            </w:pPr>
            <w:r w:rsidRPr="00535E30">
              <w:rPr>
                <w:rFonts w:asciiTheme="minorHAnsi" w:hAnsiTheme="minorHAnsi"/>
                <w:sz w:val="20"/>
                <w:szCs w:val="20"/>
              </w:rPr>
              <w:t>Decano Facultad Ciencias Ambientales</w:t>
            </w:r>
          </w:p>
          <w:p w:rsidR="00054D18" w:rsidRPr="00535E30" w:rsidRDefault="00054D18" w:rsidP="00F80905">
            <w:pPr>
              <w:spacing w:after="0" w:line="276" w:lineRule="auto"/>
              <w:rPr>
                <w:rFonts w:asciiTheme="minorHAnsi" w:hAnsiTheme="minorHAnsi"/>
                <w:sz w:val="20"/>
                <w:szCs w:val="20"/>
              </w:rPr>
            </w:pPr>
          </w:p>
          <w:p w:rsidR="00054D18" w:rsidRPr="00535E30" w:rsidRDefault="00054D18" w:rsidP="00F80905">
            <w:pPr>
              <w:spacing w:after="0" w:line="276" w:lineRule="auto"/>
              <w:rPr>
                <w:rFonts w:asciiTheme="minorHAnsi" w:hAnsiTheme="minorHAnsi"/>
                <w:sz w:val="20"/>
                <w:szCs w:val="20"/>
                <w:u w:val="single"/>
              </w:rPr>
            </w:pPr>
            <w:r w:rsidRPr="00535E30">
              <w:rPr>
                <w:rFonts w:asciiTheme="minorHAnsi" w:hAnsiTheme="minorHAnsi"/>
                <w:sz w:val="20"/>
                <w:szCs w:val="20"/>
                <w:u w:val="single"/>
              </w:rPr>
              <w:t xml:space="preserve">Dr. </w:t>
            </w:r>
            <w:proofErr w:type="spellStart"/>
            <w:r w:rsidRPr="00535E30">
              <w:rPr>
                <w:rFonts w:asciiTheme="minorHAnsi" w:hAnsiTheme="minorHAnsi"/>
                <w:sz w:val="20"/>
                <w:szCs w:val="20"/>
                <w:u w:val="single"/>
              </w:rPr>
              <w:t>Educardo</w:t>
            </w:r>
            <w:proofErr w:type="spellEnd"/>
            <w:r w:rsidRPr="00535E30">
              <w:rPr>
                <w:rFonts w:asciiTheme="minorHAnsi" w:hAnsiTheme="minorHAnsi"/>
                <w:sz w:val="20"/>
                <w:szCs w:val="20"/>
                <w:u w:val="single"/>
              </w:rPr>
              <w:t xml:space="preserve"> </w:t>
            </w:r>
            <w:proofErr w:type="spellStart"/>
            <w:r w:rsidRPr="00535E30">
              <w:rPr>
                <w:rFonts w:asciiTheme="minorHAnsi" w:hAnsiTheme="minorHAnsi"/>
                <w:sz w:val="20"/>
                <w:szCs w:val="20"/>
                <w:u w:val="single"/>
              </w:rPr>
              <w:t>Roncancio</w:t>
            </w:r>
            <w:proofErr w:type="spellEnd"/>
            <w:r w:rsidRPr="00535E30">
              <w:rPr>
                <w:rFonts w:asciiTheme="minorHAnsi" w:hAnsiTheme="minorHAnsi"/>
                <w:sz w:val="20"/>
                <w:szCs w:val="20"/>
                <w:u w:val="single"/>
              </w:rPr>
              <w:t xml:space="preserve"> Huertas</w:t>
            </w:r>
          </w:p>
          <w:p w:rsidR="00054D18" w:rsidRPr="00535E30" w:rsidRDefault="00054D18" w:rsidP="00F80905">
            <w:pPr>
              <w:spacing w:after="0" w:line="276" w:lineRule="auto"/>
              <w:rPr>
                <w:rFonts w:asciiTheme="minorHAnsi" w:hAnsiTheme="minorHAnsi"/>
                <w:sz w:val="20"/>
                <w:szCs w:val="20"/>
              </w:rPr>
            </w:pPr>
            <w:r w:rsidRPr="00535E30">
              <w:rPr>
                <w:rFonts w:asciiTheme="minorHAnsi" w:hAnsiTheme="minorHAnsi"/>
                <w:sz w:val="20"/>
                <w:szCs w:val="20"/>
              </w:rPr>
              <w:t>Decano Facultad Ingeniería Mecánica</w:t>
            </w:r>
          </w:p>
          <w:p w:rsidR="00054D18" w:rsidRPr="00535E30" w:rsidRDefault="00054D18" w:rsidP="00F80905">
            <w:pPr>
              <w:spacing w:after="0" w:line="276" w:lineRule="auto"/>
              <w:rPr>
                <w:rFonts w:asciiTheme="minorHAnsi" w:hAnsiTheme="minorHAnsi"/>
                <w:sz w:val="20"/>
                <w:szCs w:val="20"/>
                <w:highlight w:val="yellow"/>
              </w:rPr>
            </w:pPr>
          </w:p>
          <w:p w:rsidR="00054D18" w:rsidRPr="00535E30" w:rsidRDefault="00054D18" w:rsidP="00F80905">
            <w:pPr>
              <w:spacing w:after="0" w:line="276" w:lineRule="auto"/>
              <w:rPr>
                <w:rFonts w:asciiTheme="minorHAnsi" w:hAnsiTheme="minorHAnsi"/>
                <w:sz w:val="20"/>
                <w:szCs w:val="20"/>
                <w:u w:val="single"/>
              </w:rPr>
            </w:pPr>
            <w:r w:rsidRPr="00535E30">
              <w:rPr>
                <w:rFonts w:asciiTheme="minorHAnsi" w:hAnsiTheme="minorHAnsi"/>
                <w:sz w:val="20"/>
                <w:szCs w:val="20"/>
                <w:u w:val="single"/>
              </w:rPr>
              <w:t>Dr. José Gilberto Vargas Cano</w:t>
            </w:r>
          </w:p>
          <w:p w:rsidR="00054D18" w:rsidRPr="00535E30" w:rsidRDefault="00054D18" w:rsidP="00F80905">
            <w:pPr>
              <w:spacing w:after="0" w:line="276" w:lineRule="auto"/>
              <w:rPr>
                <w:rFonts w:asciiTheme="minorHAnsi" w:hAnsiTheme="minorHAnsi"/>
                <w:sz w:val="20"/>
                <w:szCs w:val="20"/>
              </w:rPr>
            </w:pPr>
            <w:r w:rsidRPr="00535E30">
              <w:rPr>
                <w:rFonts w:asciiTheme="minorHAnsi" w:hAnsiTheme="minorHAnsi"/>
                <w:sz w:val="20"/>
                <w:szCs w:val="20"/>
              </w:rPr>
              <w:t>Decano Facultad Ingenierías Eléctrica, Electrónica, Física y Ciencias de la Computación</w:t>
            </w:r>
          </w:p>
          <w:p w:rsidR="00054D18" w:rsidRPr="00535E30" w:rsidRDefault="00054D18" w:rsidP="00F80905">
            <w:pPr>
              <w:spacing w:after="0" w:line="276" w:lineRule="auto"/>
              <w:rPr>
                <w:rFonts w:asciiTheme="minorHAnsi" w:hAnsiTheme="minorHAnsi"/>
                <w:sz w:val="20"/>
                <w:szCs w:val="20"/>
              </w:rPr>
            </w:pPr>
          </w:p>
          <w:p w:rsidR="00054D18" w:rsidRPr="00535E30" w:rsidRDefault="00054D18" w:rsidP="00F80905">
            <w:pPr>
              <w:spacing w:after="0" w:line="276" w:lineRule="auto"/>
              <w:rPr>
                <w:rFonts w:asciiTheme="minorHAnsi" w:hAnsiTheme="minorHAnsi"/>
                <w:sz w:val="20"/>
                <w:szCs w:val="20"/>
                <w:u w:val="single"/>
              </w:rPr>
            </w:pPr>
            <w:r w:rsidRPr="00535E30">
              <w:rPr>
                <w:rFonts w:asciiTheme="minorHAnsi" w:hAnsiTheme="minorHAnsi"/>
                <w:sz w:val="20"/>
                <w:szCs w:val="20"/>
                <w:u w:val="single"/>
              </w:rPr>
              <w:t>Dr. Wilson Arenas Valencia</w:t>
            </w:r>
          </w:p>
          <w:p w:rsidR="00054D18" w:rsidRPr="00535E30" w:rsidRDefault="00054D18" w:rsidP="00F80905">
            <w:pPr>
              <w:spacing w:after="0" w:line="276" w:lineRule="auto"/>
              <w:rPr>
                <w:rFonts w:asciiTheme="minorHAnsi" w:hAnsiTheme="minorHAnsi"/>
                <w:sz w:val="20"/>
                <w:szCs w:val="20"/>
              </w:rPr>
            </w:pPr>
            <w:r w:rsidRPr="00535E30">
              <w:rPr>
                <w:rFonts w:asciiTheme="minorHAnsi" w:hAnsiTheme="minorHAnsi"/>
                <w:sz w:val="20"/>
                <w:szCs w:val="20"/>
              </w:rPr>
              <w:t>Decano Facultad Ingeniería Industrial</w:t>
            </w:r>
          </w:p>
          <w:p w:rsidR="00054D18" w:rsidRPr="00535E30" w:rsidRDefault="00054D18" w:rsidP="00F80905">
            <w:pPr>
              <w:spacing w:after="0" w:line="276" w:lineRule="auto"/>
              <w:rPr>
                <w:rFonts w:asciiTheme="minorHAnsi" w:hAnsiTheme="minorHAnsi"/>
                <w:sz w:val="20"/>
                <w:szCs w:val="20"/>
                <w:highlight w:val="yellow"/>
              </w:rPr>
            </w:pPr>
          </w:p>
          <w:p w:rsidR="00054D18" w:rsidRPr="00535E30" w:rsidRDefault="00054D18" w:rsidP="00F80905">
            <w:pPr>
              <w:spacing w:after="0" w:line="276" w:lineRule="auto"/>
              <w:rPr>
                <w:rFonts w:asciiTheme="minorHAnsi" w:hAnsiTheme="minorHAnsi"/>
                <w:sz w:val="20"/>
                <w:szCs w:val="20"/>
                <w:u w:val="single"/>
              </w:rPr>
            </w:pPr>
            <w:r w:rsidRPr="00535E30">
              <w:rPr>
                <w:rFonts w:asciiTheme="minorHAnsi" w:hAnsiTheme="minorHAnsi"/>
                <w:sz w:val="20"/>
                <w:szCs w:val="20"/>
                <w:u w:val="single"/>
              </w:rPr>
              <w:t>Dr. María Elena Rivera Salazar</w:t>
            </w:r>
          </w:p>
          <w:p w:rsidR="00054D18" w:rsidRPr="00535E30" w:rsidRDefault="00054D18" w:rsidP="00F80905">
            <w:pPr>
              <w:spacing w:after="0" w:line="276" w:lineRule="auto"/>
              <w:rPr>
                <w:rFonts w:asciiTheme="minorHAnsi" w:hAnsiTheme="minorHAnsi"/>
                <w:sz w:val="20"/>
                <w:szCs w:val="20"/>
              </w:rPr>
            </w:pPr>
            <w:r w:rsidRPr="00535E30">
              <w:rPr>
                <w:rFonts w:asciiTheme="minorHAnsi" w:hAnsiTheme="minorHAnsi"/>
                <w:sz w:val="20"/>
                <w:szCs w:val="20"/>
              </w:rPr>
              <w:t>Representante Jefes de Departamento y Directores de Programa</w:t>
            </w:r>
          </w:p>
          <w:p w:rsidR="00054D18" w:rsidRPr="00535E30" w:rsidRDefault="00054D18" w:rsidP="00F80905">
            <w:pPr>
              <w:spacing w:line="276" w:lineRule="auto"/>
              <w:rPr>
                <w:rFonts w:asciiTheme="minorHAnsi" w:hAnsiTheme="minorHAnsi"/>
                <w:sz w:val="20"/>
                <w:szCs w:val="20"/>
                <w:highlight w:val="yellow"/>
              </w:rPr>
            </w:pPr>
          </w:p>
          <w:p w:rsidR="00054D18" w:rsidRPr="00535E30" w:rsidRDefault="00054D18" w:rsidP="00F80905">
            <w:pPr>
              <w:spacing w:after="0" w:line="276" w:lineRule="auto"/>
              <w:rPr>
                <w:rFonts w:asciiTheme="minorHAnsi" w:hAnsiTheme="minorHAnsi"/>
                <w:b/>
                <w:sz w:val="20"/>
                <w:szCs w:val="20"/>
              </w:rPr>
            </w:pPr>
            <w:r w:rsidRPr="00535E30">
              <w:rPr>
                <w:rFonts w:asciiTheme="minorHAnsi" w:hAnsiTheme="minorHAnsi"/>
                <w:b/>
                <w:sz w:val="20"/>
                <w:szCs w:val="20"/>
              </w:rPr>
              <w:t>INVITADOS</w:t>
            </w:r>
          </w:p>
          <w:p w:rsidR="00054D18" w:rsidRPr="00535E30" w:rsidRDefault="00054D18" w:rsidP="00F80905">
            <w:pPr>
              <w:spacing w:after="0" w:line="276" w:lineRule="auto"/>
              <w:rPr>
                <w:rFonts w:asciiTheme="minorHAnsi" w:hAnsiTheme="minorHAnsi"/>
                <w:b/>
                <w:sz w:val="20"/>
                <w:szCs w:val="20"/>
              </w:rPr>
            </w:pPr>
          </w:p>
          <w:p w:rsidR="00054D18" w:rsidRPr="00535E30" w:rsidRDefault="006E4223" w:rsidP="00F80905">
            <w:pPr>
              <w:spacing w:after="0" w:line="276" w:lineRule="auto"/>
              <w:rPr>
                <w:rFonts w:asciiTheme="minorHAnsi" w:hAnsiTheme="minorHAnsi"/>
                <w:sz w:val="20"/>
                <w:szCs w:val="20"/>
                <w:u w:val="single"/>
              </w:rPr>
            </w:pPr>
            <w:r>
              <w:rPr>
                <w:rFonts w:asciiTheme="minorHAnsi" w:hAnsiTheme="minorHAnsi"/>
                <w:sz w:val="20"/>
                <w:szCs w:val="20"/>
                <w:u w:val="single"/>
              </w:rPr>
              <w:t>Dra</w:t>
            </w:r>
            <w:r w:rsidR="00054D18" w:rsidRPr="00535E30">
              <w:rPr>
                <w:rFonts w:asciiTheme="minorHAnsi" w:hAnsiTheme="minorHAnsi"/>
                <w:sz w:val="20"/>
                <w:szCs w:val="20"/>
                <w:u w:val="single"/>
              </w:rPr>
              <w:t xml:space="preserve">. Viviana Lucía </w:t>
            </w:r>
            <w:proofErr w:type="spellStart"/>
            <w:r w:rsidR="00054D18" w:rsidRPr="00535E30">
              <w:rPr>
                <w:rFonts w:asciiTheme="minorHAnsi" w:hAnsiTheme="minorHAnsi"/>
                <w:sz w:val="20"/>
                <w:szCs w:val="20"/>
                <w:u w:val="single"/>
              </w:rPr>
              <w:t>Barney</w:t>
            </w:r>
            <w:proofErr w:type="spellEnd"/>
            <w:r w:rsidR="00054D18" w:rsidRPr="00535E30">
              <w:rPr>
                <w:rFonts w:asciiTheme="minorHAnsi" w:hAnsiTheme="minorHAnsi"/>
                <w:sz w:val="20"/>
                <w:szCs w:val="20"/>
                <w:u w:val="single"/>
              </w:rPr>
              <w:t xml:space="preserve"> </w:t>
            </w:r>
            <w:proofErr w:type="spellStart"/>
            <w:r w:rsidR="00054D18" w:rsidRPr="00535E30">
              <w:rPr>
                <w:rFonts w:asciiTheme="minorHAnsi" w:hAnsiTheme="minorHAnsi"/>
                <w:sz w:val="20"/>
                <w:szCs w:val="20"/>
                <w:u w:val="single"/>
              </w:rPr>
              <w:t>Palacín</w:t>
            </w:r>
            <w:proofErr w:type="spellEnd"/>
          </w:p>
          <w:p w:rsidR="00054D18" w:rsidRPr="00535E30" w:rsidRDefault="00054D18" w:rsidP="00F80905">
            <w:pPr>
              <w:spacing w:after="0" w:line="276" w:lineRule="auto"/>
              <w:rPr>
                <w:rFonts w:asciiTheme="minorHAnsi" w:hAnsiTheme="minorHAnsi"/>
                <w:sz w:val="20"/>
                <w:szCs w:val="20"/>
              </w:rPr>
            </w:pPr>
            <w:r w:rsidRPr="00535E30">
              <w:rPr>
                <w:rFonts w:asciiTheme="minorHAnsi" w:hAnsiTheme="minorHAnsi"/>
                <w:sz w:val="20"/>
                <w:szCs w:val="20"/>
              </w:rPr>
              <w:t>Jefe Oficina Planeación</w:t>
            </w:r>
          </w:p>
          <w:p w:rsidR="00054D18" w:rsidRPr="00535E30" w:rsidRDefault="00054D18" w:rsidP="00F80905">
            <w:pPr>
              <w:spacing w:after="0" w:line="276" w:lineRule="auto"/>
              <w:rPr>
                <w:rFonts w:asciiTheme="minorHAnsi" w:hAnsiTheme="minorHAnsi"/>
                <w:sz w:val="20"/>
                <w:szCs w:val="20"/>
              </w:rPr>
            </w:pPr>
          </w:p>
          <w:p w:rsidR="00054D18" w:rsidRPr="00535E30" w:rsidRDefault="00054D18" w:rsidP="00F80905">
            <w:pPr>
              <w:spacing w:after="0" w:line="276" w:lineRule="auto"/>
              <w:rPr>
                <w:rFonts w:asciiTheme="minorHAnsi" w:hAnsiTheme="minorHAnsi"/>
                <w:sz w:val="20"/>
                <w:szCs w:val="20"/>
                <w:u w:val="single"/>
              </w:rPr>
            </w:pPr>
            <w:r w:rsidRPr="00535E30">
              <w:rPr>
                <w:rFonts w:asciiTheme="minorHAnsi" w:hAnsiTheme="minorHAnsi"/>
                <w:sz w:val="20"/>
                <w:szCs w:val="20"/>
                <w:u w:val="single"/>
              </w:rPr>
              <w:t>Dr. Waldo Lizcano Gómez</w:t>
            </w:r>
          </w:p>
          <w:p w:rsidR="00054D18" w:rsidRPr="00535E30" w:rsidRDefault="00054D18" w:rsidP="00F80905">
            <w:pPr>
              <w:spacing w:after="0" w:line="276" w:lineRule="auto"/>
              <w:rPr>
                <w:rFonts w:asciiTheme="minorHAnsi" w:hAnsiTheme="minorHAnsi"/>
                <w:sz w:val="20"/>
                <w:szCs w:val="20"/>
              </w:rPr>
            </w:pPr>
            <w:r w:rsidRPr="00535E30">
              <w:rPr>
                <w:rFonts w:asciiTheme="minorHAnsi" w:hAnsiTheme="minorHAnsi"/>
                <w:sz w:val="20"/>
                <w:szCs w:val="20"/>
              </w:rPr>
              <w:t>Director Programas Jornadas Especiales</w:t>
            </w:r>
          </w:p>
          <w:p w:rsidR="00054D18" w:rsidRPr="00535E30" w:rsidRDefault="00054D18" w:rsidP="00F80905">
            <w:pPr>
              <w:spacing w:after="0" w:line="276" w:lineRule="auto"/>
              <w:rPr>
                <w:rFonts w:asciiTheme="minorHAnsi" w:hAnsiTheme="minorHAnsi"/>
                <w:sz w:val="20"/>
                <w:szCs w:val="20"/>
              </w:rPr>
            </w:pPr>
          </w:p>
          <w:p w:rsidR="00054D18" w:rsidRPr="00535E30" w:rsidRDefault="00054D18" w:rsidP="00F80905">
            <w:pPr>
              <w:spacing w:after="0" w:line="276" w:lineRule="auto"/>
              <w:rPr>
                <w:rFonts w:asciiTheme="minorHAnsi" w:hAnsiTheme="minorHAnsi"/>
                <w:sz w:val="20"/>
                <w:szCs w:val="20"/>
                <w:u w:val="single"/>
              </w:rPr>
            </w:pPr>
            <w:r w:rsidRPr="00535E30">
              <w:rPr>
                <w:rFonts w:asciiTheme="minorHAnsi" w:hAnsiTheme="minorHAnsi"/>
                <w:sz w:val="20"/>
                <w:szCs w:val="20"/>
                <w:u w:val="single"/>
              </w:rPr>
              <w:t>Dr. Diego Osorio Jaramillo</w:t>
            </w:r>
          </w:p>
          <w:p w:rsidR="00054D18" w:rsidRPr="00535E30" w:rsidRDefault="00054D18" w:rsidP="00F80905">
            <w:pPr>
              <w:spacing w:after="0" w:line="276" w:lineRule="auto"/>
              <w:rPr>
                <w:rFonts w:asciiTheme="minorHAnsi" w:hAnsiTheme="minorHAnsi"/>
                <w:sz w:val="20"/>
                <w:szCs w:val="20"/>
              </w:rPr>
            </w:pPr>
            <w:r w:rsidRPr="00535E30">
              <w:rPr>
                <w:rFonts w:asciiTheme="minorHAnsi" w:hAnsiTheme="minorHAnsi"/>
                <w:sz w:val="20"/>
                <w:szCs w:val="20"/>
              </w:rPr>
              <w:t>Director Centro Registro y Control Académico</w:t>
            </w:r>
          </w:p>
        </w:tc>
      </w:tr>
    </w:tbl>
    <w:p w:rsidR="00054D18" w:rsidRPr="00535E30" w:rsidRDefault="00054D18" w:rsidP="00F80905">
      <w:pPr>
        <w:spacing w:after="200" w:line="276" w:lineRule="auto"/>
        <w:jc w:val="left"/>
        <w:rPr>
          <w:rFonts w:asciiTheme="minorHAnsi" w:eastAsiaTheme="majorEastAsia" w:hAnsiTheme="minorHAnsi" w:cstheme="majorBidi"/>
          <w:b/>
          <w:bCs/>
          <w:sz w:val="32"/>
          <w:szCs w:val="28"/>
        </w:rPr>
      </w:pPr>
      <w:r w:rsidRPr="00535E30">
        <w:rPr>
          <w:rFonts w:asciiTheme="minorHAnsi" w:hAnsiTheme="minorHAnsi"/>
        </w:rPr>
        <w:br w:type="page"/>
      </w:r>
    </w:p>
    <w:p w:rsidR="000C467D" w:rsidRPr="00535E30" w:rsidRDefault="00054D18" w:rsidP="00F80905">
      <w:pPr>
        <w:spacing w:line="276" w:lineRule="auto"/>
        <w:jc w:val="center"/>
        <w:rPr>
          <w:rFonts w:asciiTheme="minorHAnsi" w:hAnsiTheme="minorHAnsi"/>
          <w:b/>
          <w:sz w:val="36"/>
        </w:rPr>
      </w:pPr>
      <w:r w:rsidRPr="00535E30">
        <w:rPr>
          <w:rFonts w:asciiTheme="minorHAnsi" w:hAnsiTheme="minorHAnsi"/>
          <w:b/>
          <w:sz w:val="36"/>
        </w:rPr>
        <w:lastRenderedPageBreak/>
        <w:t>COORDINADORES DE OBJETIVO PLAN DE DESARROLLO 2009-2019</w:t>
      </w:r>
      <w:bookmarkEnd w:id="8"/>
      <w:bookmarkEnd w:id="9"/>
      <w:bookmarkEnd w:id="10"/>
    </w:p>
    <w:p w:rsidR="000C467D" w:rsidRPr="00535E30" w:rsidRDefault="000C467D" w:rsidP="00F80905">
      <w:pPr>
        <w:pStyle w:val="Default"/>
        <w:spacing w:line="276" w:lineRule="auto"/>
        <w:jc w:val="center"/>
        <w:rPr>
          <w:rFonts w:asciiTheme="minorHAnsi" w:hAnsiTheme="minorHAnsi" w:cs="Arial"/>
          <w:b/>
          <w:bCs/>
          <w:sz w:val="22"/>
          <w:szCs w:val="22"/>
        </w:rPr>
      </w:pPr>
    </w:p>
    <w:p w:rsidR="000C467D" w:rsidRPr="00535E30" w:rsidRDefault="000C467D" w:rsidP="00F80905">
      <w:pPr>
        <w:pStyle w:val="Default"/>
        <w:spacing w:line="276" w:lineRule="auto"/>
        <w:jc w:val="center"/>
        <w:rPr>
          <w:rFonts w:asciiTheme="minorHAnsi" w:hAnsiTheme="minorHAnsi" w:cs="Arial"/>
          <w:sz w:val="22"/>
          <w:szCs w:val="22"/>
        </w:rPr>
      </w:pPr>
    </w:p>
    <w:tbl>
      <w:tblPr>
        <w:tblStyle w:val="Cuadrculaclara-nfasis1"/>
        <w:tblW w:w="0" w:type="auto"/>
        <w:tblLook w:val="04A0" w:firstRow="1" w:lastRow="0" w:firstColumn="1" w:lastColumn="0" w:noHBand="0" w:noVBand="1"/>
      </w:tblPr>
      <w:tblGrid>
        <w:gridCol w:w="2992"/>
        <w:gridCol w:w="2993"/>
        <w:gridCol w:w="2993"/>
      </w:tblGrid>
      <w:tr w:rsidR="00A06780" w:rsidRPr="00535E30" w:rsidTr="00A06780">
        <w:trPr>
          <w:cnfStyle w:val="100000000000" w:firstRow="1" w:lastRow="0" w:firstColumn="0" w:lastColumn="0" w:oddVBand="0" w:evenVBand="0" w:oddHBand="0" w:evenHBand="0" w:firstRowFirstColumn="0" w:firstRowLastColumn="0" w:lastRowFirstColumn="0" w:lastRowLastColumn="0"/>
          <w:trHeight w:val="962"/>
        </w:trPr>
        <w:tc>
          <w:tcPr>
            <w:cnfStyle w:val="001000000000" w:firstRow="0" w:lastRow="0" w:firstColumn="1" w:lastColumn="0" w:oddVBand="0" w:evenVBand="0" w:oddHBand="0" w:evenHBand="0" w:firstRowFirstColumn="0" w:firstRowLastColumn="0" w:lastRowFirstColumn="0" w:lastRowLastColumn="0"/>
            <w:tcW w:w="2992" w:type="dxa"/>
            <w:vAlign w:val="center"/>
          </w:tcPr>
          <w:p w:rsidR="00A06780" w:rsidRPr="00A06780" w:rsidRDefault="00A06780" w:rsidP="002F0834">
            <w:pPr>
              <w:pStyle w:val="Default"/>
              <w:spacing w:line="276" w:lineRule="auto"/>
              <w:jc w:val="center"/>
              <w:rPr>
                <w:rFonts w:asciiTheme="minorHAnsi" w:hAnsiTheme="minorHAnsi" w:cs="Arial"/>
                <w:sz w:val="28"/>
                <w:szCs w:val="22"/>
              </w:rPr>
            </w:pPr>
            <w:r w:rsidRPr="00A06780">
              <w:rPr>
                <w:rFonts w:asciiTheme="minorHAnsi" w:hAnsiTheme="minorHAnsi" w:cs="Arial"/>
                <w:sz w:val="28"/>
                <w:szCs w:val="22"/>
              </w:rPr>
              <w:t>OBJETIVO INSTICIONAL</w:t>
            </w:r>
          </w:p>
        </w:tc>
        <w:tc>
          <w:tcPr>
            <w:tcW w:w="2993" w:type="dxa"/>
            <w:vAlign w:val="center"/>
          </w:tcPr>
          <w:p w:rsidR="00A06780" w:rsidRPr="00A06780" w:rsidRDefault="00A06780" w:rsidP="002F0834">
            <w:pPr>
              <w:pStyle w:val="Default"/>
              <w:spacing w:line="276" w:lineRule="auto"/>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Arial"/>
                <w:sz w:val="28"/>
                <w:szCs w:val="22"/>
              </w:rPr>
            </w:pPr>
            <w:r w:rsidRPr="00A06780">
              <w:rPr>
                <w:rFonts w:asciiTheme="minorHAnsi" w:hAnsiTheme="minorHAnsi" w:cs="Arial"/>
                <w:sz w:val="28"/>
                <w:szCs w:val="22"/>
              </w:rPr>
              <w:t>COORDINADOR DE OBJETIVO</w:t>
            </w:r>
          </w:p>
        </w:tc>
        <w:tc>
          <w:tcPr>
            <w:tcW w:w="2993" w:type="dxa"/>
            <w:vAlign w:val="center"/>
          </w:tcPr>
          <w:p w:rsidR="00A06780" w:rsidRPr="00A06780" w:rsidRDefault="00A06780" w:rsidP="002F0834">
            <w:pPr>
              <w:pStyle w:val="Default"/>
              <w:spacing w:line="276" w:lineRule="auto"/>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Arial"/>
                <w:sz w:val="28"/>
                <w:szCs w:val="22"/>
              </w:rPr>
            </w:pPr>
            <w:r w:rsidRPr="00A06780">
              <w:rPr>
                <w:rFonts w:asciiTheme="minorHAnsi" w:hAnsiTheme="minorHAnsi" w:cs="Arial"/>
                <w:sz w:val="28"/>
                <w:szCs w:val="22"/>
              </w:rPr>
              <w:t>CARGO</w:t>
            </w:r>
          </w:p>
        </w:tc>
      </w:tr>
      <w:tr w:rsidR="000C467D" w:rsidRPr="00535E30" w:rsidTr="00A06780">
        <w:trPr>
          <w:cnfStyle w:val="000000100000" w:firstRow="0" w:lastRow="0" w:firstColumn="0" w:lastColumn="0" w:oddVBand="0" w:evenVBand="0" w:oddHBand="1" w:evenHBand="0" w:firstRowFirstColumn="0" w:firstRowLastColumn="0" w:lastRowFirstColumn="0" w:lastRowLastColumn="0"/>
          <w:trHeight w:val="962"/>
        </w:trPr>
        <w:tc>
          <w:tcPr>
            <w:cnfStyle w:val="001000000000" w:firstRow="0" w:lastRow="0" w:firstColumn="1" w:lastColumn="0" w:oddVBand="0" w:evenVBand="0" w:oddHBand="0" w:evenHBand="0" w:firstRowFirstColumn="0" w:firstRowLastColumn="0" w:lastRowFirstColumn="0" w:lastRowLastColumn="0"/>
            <w:tcW w:w="2992" w:type="dxa"/>
            <w:vAlign w:val="center"/>
          </w:tcPr>
          <w:p w:rsidR="000C467D" w:rsidRPr="002F0834" w:rsidRDefault="000C467D" w:rsidP="002F0834">
            <w:pPr>
              <w:pStyle w:val="Default"/>
              <w:spacing w:line="276" w:lineRule="auto"/>
              <w:jc w:val="center"/>
              <w:rPr>
                <w:rFonts w:asciiTheme="minorHAnsi" w:hAnsiTheme="minorHAnsi" w:cs="Arial"/>
                <w:b w:val="0"/>
                <w:sz w:val="22"/>
                <w:szCs w:val="22"/>
              </w:rPr>
            </w:pPr>
            <w:r w:rsidRPr="002F0834">
              <w:rPr>
                <w:rFonts w:asciiTheme="minorHAnsi" w:hAnsiTheme="minorHAnsi" w:cs="Arial"/>
                <w:sz w:val="22"/>
                <w:szCs w:val="22"/>
              </w:rPr>
              <w:t>Desarrollo Institucional</w:t>
            </w:r>
          </w:p>
        </w:tc>
        <w:tc>
          <w:tcPr>
            <w:tcW w:w="2993" w:type="dxa"/>
            <w:vAlign w:val="center"/>
          </w:tcPr>
          <w:p w:rsidR="0012174F" w:rsidRPr="002F0834" w:rsidRDefault="000C467D" w:rsidP="002F0834">
            <w:pPr>
              <w:pStyle w:val="Default"/>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Arial"/>
                <w:b/>
                <w:sz w:val="22"/>
                <w:szCs w:val="22"/>
              </w:rPr>
            </w:pPr>
            <w:r w:rsidRPr="002F0834">
              <w:rPr>
                <w:rFonts w:asciiTheme="minorHAnsi" w:hAnsiTheme="minorHAnsi" w:cs="Arial"/>
                <w:b/>
                <w:sz w:val="22"/>
                <w:szCs w:val="22"/>
              </w:rPr>
              <w:t xml:space="preserve">Dr. Fernando </w:t>
            </w:r>
            <w:proofErr w:type="spellStart"/>
            <w:r w:rsidRPr="002F0834">
              <w:rPr>
                <w:rFonts w:asciiTheme="minorHAnsi" w:hAnsiTheme="minorHAnsi" w:cs="Arial"/>
                <w:b/>
                <w:sz w:val="22"/>
                <w:szCs w:val="22"/>
              </w:rPr>
              <w:t>Noreña</w:t>
            </w:r>
            <w:proofErr w:type="spellEnd"/>
            <w:r w:rsidRPr="002F0834">
              <w:rPr>
                <w:rFonts w:asciiTheme="minorHAnsi" w:hAnsiTheme="minorHAnsi" w:cs="Arial"/>
                <w:b/>
                <w:sz w:val="22"/>
                <w:szCs w:val="22"/>
              </w:rPr>
              <w:t xml:space="preserve"> Jaramillo</w:t>
            </w:r>
          </w:p>
        </w:tc>
        <w:tc>
          <w:tcPr>
            <w:tcW w:w="2993" w:type="dxa"/>
            <w:vAlign w:val="center"/>
          </w:tcPr>
          <w:p w:rsidR="000C467D" w:rsidRPr="002F0834" w:rsidRDefault="000C467D" w:rsidP="002F0834">
            <w:pPr>
              <w:pStyle w:val="Default"/>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Arial"/>
                <w:b/>
                <w:sz w:val="22"/>
                <w:szCs w:val="22"/>
              </w:rPr>
            </w:pPr>
            <w:r w:rsidRPr="002F0834">
              <w:rPr>
                <w:rFonts w:asciiTheme="minorHAnsi" w:hAnsiTheme="minorHAnsi" w:cs="Arial"/>
                <w:b/>
                <w:sz w:val="22"/>
                <w:szCs w:val="22"/>
              </w:rPr>
              <w:t>Vicerrector Administrativo</w:t>
            </w:r>
          </w:p>
        </w:tc>
      </w:tr>
      <w:tr w:rsidR="000C467D" w:rsidRPr="00535E30" w:rsidTr="00A06780">
        <w:trPr>
          <w:cnfStyle w:val="000000010000" w:firstRow="0" w:lastRow="0" w:firstColumn="0" w:lastColumn="0" w:oddVBand="0" w:evenVBand="0" w:oddHBand="0" w:evenHBand="1" w:firstRowFirstColumn="0" w:firstRowLastColumn="0" w:lastRowFirstColumn="0" w:lastRowLastColumn="0"/>
          <w:trHeight w:val="974"/>
        </w:trPr>
        <w:tc>
          <w:tcPr>
            <w:cnfStyle w:val="001000000000" w:firstRow="0" w:lastRow="0" w:firstColumn="1" w:lastColumn="0" w:oddVBand="0" w:evenVBand="0" w:oddHBand="0" w:evenHBand="0" w:firstRowFirstColumn="0" w:firstRowLastColumn="0" w:lastRowFirstColumn="0" w:lastRowLastColumn="0"/>
            <w:tcW w:w="2992" w:type="dxa"/>
            <w:vAlign w:val="center"/>
          </w:tcPr>
          <w:p w:rsidR="0012174F" w:rsidRPr="002F0834" w:rsidRDefault="000C467D" w:rsidP="002F0834">
            <w:pPr>
              <w:pStyle w:val="Default"/>
              <w:spacing w:line="276" w:lineRule="auto"/>
              <w:jc w:val="center"/>
              <w:rPr>
                <w:rFonts w:asciiTheme="minorHAnsi" w:hAnsiTheme="minorHAnsi" w:cs="Arial"/>
                <w:b w:val="0"/>
                <w:sz w:val="22"/>
                <w:szCs w:val="22"/>
              </w:rPr>
            </w:pPr>
            <w:r w:rsidRPr="002F0834">
              <w:rPr>
                <w:rFonts w:asciiTheme="minorHAnsi" w:hAnsiTheme="minorHAnsi" w:cs="Arial"/>
                <w:sz w:val="22"/>
                <w:szCs w:val="22"/>
              </w:rPr>
              <w:t>Cobertura con Calidad en la oferta educativ</w:t>
            </w:r>
            <w:r w:rsidR="002F0834">
              <w:rPr>
                <w:rFonts w:asciiTheme="minorHAnsi" w:hAnsiTheme="minorHAnsi" w:cs="Arial"/>
                <w:sz w:val="22"/>
                <w:szCs w:val="22"/>
              </w:rPr>
              <w:t>a</w:t>
            </w:r>
          </w:p>
        </w:tc>
        <w:tc>
          <w:tcPr>
            <w:tcW w:w="2993" w:type="dxa"/>
            <w:vAlign w:val="center"/>
          </w:tcPr>
          <w:p w:rsidR="000C467D" w:rsidRPr="002F0834" w:rsidRDefault="000C467D" w:rsidP="002F0834">
            <w:pPr>
              <w:pStyle w:val="Default"/>
              <w:spacing w:line="276" w:lineRule="auto"/>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Arial"/>
                <w:b/>
                <w:sz w:val="22"/>
                <w:szCs w:val="22"/>
              </w:rPr>
            </w:pPr>
            <w:r w:rsidRPr="002F0834">
              <w:rPr>
                <w:rFonts w:asciiTheme="minorHAnsi" w:hAnsiTheme="minorHAnsi" w:cs="Arial"/>
                <w:b/>
                <w:sz w:val="22"/>
                <w:szCs w:val="22"/>
              </w:rPr>
              <w:t>Dr. William Ardila Ureña</w:t>
            </w:r>
          </w:p>
        </w:tc>
        <w:tc>
          <w:tcPr>
            <w:tcW w:w="2993" w:type="dxa"/>
            <w:vAlign w:val="center"/>
          </w:tcPr>
          <w:p w:rsidR="000C467D" w:rsidRPr="002F0834" w:rsidRDefault="000C467D" w:rsidP="002F0834">
            <w:pPr>
              <w:pStyle w:val="Default"/>
              <w:spacing w:line="276" w:lineRule="auto"/>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Arial"/>
                <w:b/>
                <w:sz w:val="22"/>
                <w:szCs w:val="22"/>
              </w:rPr>
            </w:pPr>
            <w:r w:rsidRPr="002F0834">
              <w:rPr>
                <w:rFonts w:asciiTheme="minorHAnsi" w:hAnsiTheme="minorHAnsi" w:cs="Arial"/>
                <w:b/>
                <w:sz w:val="22"/>
                <w:szCs w:val="22"/>
              </w:rPr>
              <w:t>Vicerrector Académico</w:t>
            </w:r>
          </w:p>
        </w:tc>
      </w:tr>
      <w:tr w:rsidR="000C467D" w:rsidRPr="00535E30" w:rsidTr="00A06780">
        <w:trPr>
          <w:cnfStyle w:val="000000100000" w:firstRow="0" w:lastRow="0" w:firstColumn="0" w:lastColumn="0" w:oddVBand="0" w:evenVBand="0" w:oddHBand="1" w:evenHBand="0" w:firstRowFirstColumn="0" w:firstRowLastColumn="0" w:lastRowFirstColumn="0" w:lastRowLastColumn="0"/>
          <w:trHeight w:val="1258"/>
        </w:trPr>
        <w:tc>
          <w:tcPr>
            <w:cnfStyle w:val="001000000000" w:firstRow="0" w:lastRow="0" w:firstColumn="1" w:lastColumn="0" w:oddVBand="0" w:evenVBand="0" w:oddHBand="0" w:evenHBand="0" w:firstRowFirstColumn="0" w:firstRowLastColumn="0" w:lastRowFirstColumn="0" w:lastRowLastColumn="0"/>
            <w:tcW w:w="2992" w:type="dxa"/>
            <w:vAlign w:val="center"/>
          </w:tcPr>
          <w:p w:rsidR="000C467D" w:rsidRPr="002F0834" w:rsidRDefault="000C467D" w:rsidP="002F0834">
            <w:pPr>
              <w:pStyle w:val="Default"/>
              <w:spacing w:line="276" w:lineRule="auto"/>
              <w:jc w:val="center"/>
              <w:rPr>
                <w:rFonts w:asciiTheme="minorHAnsi" w:hAnsiTheme="minorHAnsi" w:cs="Arial"/>
                <w:b w:val="0"/>
                <w:sz w:val="22"/>
                <w:szCs w:val="22"/>
              </w:rPr>
            </w:pPr>
            <w:r w:rsidRPr="002F0834">
              <w:rPr>
                <w:rFonts w:asciiTheme="minorHAnsi" w:hAnsiTheme="minorHAnsi" w:cs="Arial"/>
                <w:sz w:val="22"/>
                <w:szCs w:val="22"/>
              </w:rPr>
              <w:t>Bienestar Institucional</w:t>
            </w:r>
          </w:p>
        </w:tc>
        <w:tc>
          <w:tcPr>
            <w:tcW w:w="2993" w:type="dxa"/>
            <w:vAlign w:val="center"/>
          </w:tcPr>
          <w:p w:rsidR="000C467D" w:rsidRPr="002F0834" w:rsidRDefault="000C467D" w:rsidP="002F0834">
            <w:pPr>
              <w:pStyle w:val="Default"/>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Arial"/>
                <w:b/>
                <w:sz w:val="22"/>
                <w:szCs w:val="22"/>
              </w:rPr>
            </w:pPr>
            <w:r w:rsidRPr="002F0834">
              <w:rPr>
                <w:rFonts w:asciiTheme="minorHAnsi" w:hAnsiTheme="minorHAnsi" w:cs="Arial"/>
                <w:b/>
                <w:sz w:val="22"/>
                <w:szCs w:val="22"/>
              </w:rPr>
              <w:t xml:space="preserve">Dra. Diana Gómez </w:t>
            </w:r>
            <w:r w:rsidR="00F54BBB" w:rsidRPr="002F0834">
              <w:rPr>
                <w:rFonts w:asciiTheme="minorHAnsi" w:hAnsiTheme="minorHAnsi" w:cs="Arial"/>
                <w:b/>
                <w:sz w:val="22"/>
                <w:szCs w:val="22"/>
              </w:rPr>
              <w:t>Botero</w:t>
            </w:r>
          </w:p>
        </w:tc>
        <w:tc>
          <w:tcPr>
            <w:tcW w:w="2993" w:type="dxa"/>
            <w:vAlign w:val="center"/>
          </w:tcPr>
          <w:p w:rsidR="0012174F" w:rsidRPr="002F0834" w:rsidRDefault="000C467D" w:rsidP="002F0834">
            <w:pPr>
              <w:pStyle w:val="Default"/>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Arial"/>
                <w:b/>
                <w:sz w:val="22"/>
                <w:szCs w:val="22"/>
              </w:rPr>
            </w:pPr>
            <w:r w:rsidRPr="002F0834">
              <w:rPr>
                <w:rFonts w:asciiTheme="minorHAnsi" w:hAnsiTheme="minorHAnsi" w:cs="Arial"/>
                <w:b/>
                <w:sz w:val="22"/>
                <w:szCs w:val="22"/>
              </w:rPr>
              <w:t>Vicerrectora Responsabilidad Social y Bienestar Universitario</w:t>
            </w:r>
          </w:p>
        </w:tc>
      </w:tr>
      <w:tr w:rsidR="000C467D" w:rsidRPr="00535E30" w:rsidTr="00A06780">
        <w:trPr>
          <w:cnfStyle w:val="000000010000" w:firstRow="0" w:lastRow="0" w:firstColumn="0" w:lastColumn="0" w:oddVBand="0" w:evenVBand="0" w:oddHBand="0" w:evenHBand="1"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2992" w:type="dxa"/>
            <w:vAlign w:val="center"/>
          </w:tcPr>
          <w:p w:rsidR="000C467D" w:rsidRPr="002F0834" w:rsidRDefault="000C467D" w:rsidP="002F0834">
            <w:pPr>
              <w:pStyle w:val="Default"/>
              <w:spacing w:line="276" w:lineRule="auto"/>
              <w:jc w:val="center"/>
              <w:rPr>
                <w:rFonts w:asciiTheme="minorHAnsi" w:hAnsiTheme="minorHAnsi" w:cs="Arial"/>
                <w:b w:val="0"/>
                <w:sz w:val="22"/>
                <w:szCs w:val="22"/>
              </w:rPr>
            </w:pPr>
            <w:r w:rsidRPr="002F0834">
              <w:rPr>
                <w:rFonts w:asciiTheme="minorHAnsi" w:hAnsiTheme="minorHAnsi" w:cs="Arial"/>
                <w:sz w:val="22"/>
                <w:szCs w:val="22"/>
              </w:rPr>
              <w:t>Investigación, innovación y extensión</w:t>
            </w:r>
          </w:p>
        </w:tc>
        <w:tc>
          <w:tcPr>
            <w:tcW w:w="2993" w:type="dxa"/>
            <w:vAlign w:val="center"/>
          </w:tcPr>
          <w:p w:rsidR="000C467D" w:rsidRPr="002F0834" w:rsidRDefault="000C467D" w:rsidP="002F0834">
            <w:pPr>
              <w:pStyle w:val="Default"/>
              <w:spacing w:line="276" w:lineRule="auto"/>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Arial"/>
                <w:b/>
                <w:sz w:val="22"/>
                <w:szCs w:val="22"/>
              </w:rPr>
            </w:pPr>
            <w:r w:rsidRPr="002F0834">
              <w:rPr>
                <w:rFonts w:asciiTheme="minorHAnsi" w:hAnsiTheme="minorHAnsi" w:cs="Arial"/>
                <w:b/>
                <w:sz w:val="22"/>
                <w:szCs w:val="22"/>
              </w:rPr>
              <w:t>Dr. José Germán López Q</w:t>
            </w:r>
            <w:r w:rsidR="00F54BBB" w:rsidRPr="002F0834">
              <w:rPr>
                <w:rFonts w:asciiTheme="minorHAnsi" w:hAnsiTheme="minorHAnsi" w:cs="Arial"/>
                <w:b/>
                <w:sz w:val="22"/>
                <w:szCs w:val="22"/>
              </w:rPr>
              <w:t>uintero</w:t>
            </w:r>
          </w:p>
        </w:tc>
        <w:tc>
          <w:tcPr>
            <w:tcW w:w="2993" w:type="dxa"/>
            <w:vAlign w:val="center"/>
          </w:tcPr>
          <w:p w:rsidR="0012174F" w:rsidRPr="002F0834" w:rsidRDefault="000C467D" w:rsidP="002F0834">
            <w:pPr>
              <w:pStyle w:val="Default"/>
              <w:spacing w:line="276" w:lineRule="auto"/>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Arial"/>
                <w:b/>
                <w:sz w:val="22"/>
                <w:szCs w:val="22"/>
              </w:rPr>
            </w:pPr>
            <w:r w:rsidRPr="002F0834">
              <w:rPr>
                <w:rFonts w:asciiTheme="minorHAnsi" w:hAnsiTheme="minorHAnsi" w:cs="Arial"/>
                <w:b/>
                <w:sz w:val="22"/>
                <w:szCs w:val="22"/>
              </w:rPr>
              <w:t>Vicerrector de Investigaciones, Innovación y Extensión</w:t>
            </w:r>
          </w:p>
        </w:tc>
      </w:tr>
      <w:tr w:rsidR="000C467D" w:rsidRPr="00535E30" w:rsidTr="00A06780">
        <w:trPr>
          <w:cnfStyle w:val="000000100000" w:firstRow="0" w:lastRow="0" w:firstColumn="0" w:lastColumn="0" w:oddVBand="0" w:evenVBand="0" w:oddHBand="1" w:evenHBand="0" w:firstRowFirstColumn="0" w:firstRowLastColumn="0" w:lastRowFirstColumn="0" w:lastRowLastColumn="0"/>
          <w:trHeight w:val="980"/>
        </w:trPr>
        <w:tc>
          <w:tcPr>
            <w:cnfStyle w:val="001000000000" w:firstRow="0" w:lastRow="0" w:firstColumn="1" w:lastColumn="0" w:oddVBand="0" w:evenVBand="0" w:oddHBand="0" w:evenHBand="0" w:firstRowFirstColumn="0" w:firstRowLastColumn="0" w:lastRowFirstColumn="0" w:lastRowLastColumn="0"/>
            <w:tcW w:w="2992" w:type="dxa"/>
            <w:vAlign w:val="center"/>
          </w:tcPr>
          <w:p w:rsidR="000C467D" w:rsidRPr="002F0834" w:rsidRDefault="000C467D" w:rsidP="002F0834">
            <w:pPr>
              <w:pStyle w:val="Default"/>
              <w:spacing w:line="276" w:lineRule="auto"/>
              <w:jc w:val="center"/>
              <w:rPr>
                <w:rFonts w:asciiTheme="minorHAnsi" w:hAnsiTheme="minorHAnsi" w:cs="Arial"/>
                <w:b w:val="0"/>
                <w:sz w:val="22"/>
                <w:szCs w:val="22"/>
              </w:rPr>
            </w:pPr>
            <w:r w:rsidRPr="002F0834">
              <w:rPr>
                <w:rFonts w:asciiTheme="minorHAnsi" w:hAnsiTheme="minorHAnsi" w:cs="Arial"/>
                <w:sz w:val="22"/>
                <w:szCs w:val="22"/>
              </w:rPr>
              <w:t>Internacionalización</w:t>
            </w:r>
          </w:p>
        </w:tc>
        <w:tc>
          <w:tcPr>
            <w:tcW w:w="2993" w:type="dxa"/>
            <w:vAlign w:val="center"/>
          </w:tcPr>
          <w:p w:rsidR="000C467D" w:rsidRPr="002F0834" w:rsidRDefault="000C467D" w:rsidP="002F0834">
            <w:pPr>
              <w:pStyle w:val="Default"/>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Arial"/>
                <w:b/>
                <w:sz w:val="22"/>
                <w:szCs w:val="22"/>
              </w:rPr>
            </w:pPr>
            <w:r w:rsidRPr="002F0834">
              <w:rPr>
                <w:rFonts w:asciiTheme="minorHAnsi" w:hAnsiTheme="minorHAnsi" w:cs="Arial"/>
                <w:b/>
                <w:sz w:val="22"/>
                <w:szCs w:val="22"/>
              </w:rPr>
              <w:t>Dr. Luis Enrique Arango Jiménez</w:t>
            </w:r>
          </w:p>
        </w:tc>
        <w:tc>
          <w:tcPr>
            <w:tcW w:w="2993" w:type="dxa"/>
            <w:vAlign w:val="center"/>
          </w:tcPr>
          <w:p w:rsidR="0012174F" w:rsidRPr="002F0834" w:rsidRDefault="000C467D" w:rsidP="002F0834">
            <w:pPr>
              <w:pStyle w:val="Default"/>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Arial"/>
                <w:b/>
                <w:sz w:val="22"/>
                <w:szCs w:val="22"/>
              </w:rPr>
            </w:pPr>
            <w:r w:rsidRPr="002F0834">
              <w:rPr>
                <w:rFonts w:asciiTheme="minorHAnsi" w:hAnsiTheme="minorHAnsi" w:cs="Arial"/>
                <w:b/>
                <w:sz w:val="22"/>
                <w:szCs w:val="22"/>
              </w:rPr>
              <w:t>Rector</w:t>
            </w:r>
          </w:p>
        </w:tc>
      </w:tr>
      <w:tr w:rsidR="000C467D" w:rsidRPr="00535E30" w:rsidTr="00A06780">
        <w:trPr>
          <w:cnfStyle w:val="000000010000" w:firstRow="0" w:lastRow="0" w:firstColumn="0" w:lastColumn="0" w:oddVBand="0" w:evenVBand="0" w:oddHBand="0" w:evenHBand="1" w:firstRowFirstColumn="0" w:firstRowLastColumn="0" w:lastRowFirstColumn="0" w:lastRowLastColumn="0"/>
          <w:trHeight w:val="1264"/>
        </w:trPr>
        <w:tc>
          <w:tcPr>
            <w:cnfStyle w:val="001000000000" w:firstRow="0" w:lastRow="0" w:firstColumn="1" w:lastColumn="0" w:oddVBand="0" w:evenVBand="0" w:oddHBand="0" w:evenHBand="0" w:firstRowFirstColumn="0" w:firstRowLastColumn="0" w:lastRowFirstColumn="0" w:lastRowLastColumn="0"/>
            <w:tcW w:w="2992" w:type="dxa"/>
            <w:vAlign w:val="center"/>
          </w:tcPr>
          <w:p w:rsidR="000C467D" w:rsidRPr="002F0834" w:rsidRDefault="000C467D" w:rsidP="002F0834">
            <w:pPr>
              <w:pStyle w:val="Default"/>
              <w:spacing w:line="276" w:lineRule="auto"/>
              <w:jc w:val="center"/>
              <w:rPr>
                <w:rFonts w:asciiTheme="minorHAnsi" w:hAnsiTheme="minorHAnsi" w:cs="Arial"/>
                <w:b w:val="0"/>
                <w:sz w:val="22"/>
                <w:szCs w:val="22"/>
              </w:rPr>
            </w:pPr>
            <w:r w:rsidRPr="002F0834">
              <w:rPr>
                <w:rFonts w:asciiTheme="minorHAnsi" w:hAnsiTheme="minorHAnsi" w:cs="Arial"/>
                <w:sz w:val="22"/>
                <w:szCs w:val="22"/>
              </w:rPr>
              <w:t>Impacto regional</w:t>
            </w:r>
          </w:p>
        </w:tc>
        <w:tc>
          <w:tcPr>
            <w:tcW w:w="2993" w:type="dxa"/>
            <w:vAlign w:val="center"/>
          </w:tcPr>
          <w:p w:rsidR="000C467D" w:rsidRPr="002F0834" w:rsidRDefault="000C467D" w:rsidP="002F0834">
            <w:pPr>
              <w:pStyle w:val="Default"/>
              <w:spacing w:line="276" w:lineRule="auto"/>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Arial"/>
                <w:b/>
                <w:sz w:val="22"/>
                <w:szCs w:val="22"/>
              </w:rPr>
            </w:pPr>
            <w:r w:rsidRPr="002F0834">
              <w:rPr>
                <w:rFonts w:asciiTheme="minorHAnsi" w:hAnsiTheme="minorHAnsi" w:cs="Arial"/>
                <w:b/>
                <w:sz w:val="22"/>
                <w:szCs w:val="22"/>
              </w:rPr>
              <w:t>Dr. Oscar Arango Gaviria</w:t>
            </w:r>
          </w:p>
        </w:tc>
        <w:tc>
          <w:tcPr>
            <w:tcW w:w="2993" w:type="dxa"/>
            <w:vAlign w:val="center"/>
          </w:tcPr>
          <w:p w:rsidR="0012174F" w:rsidRPr="002F0834" w:rsidRDefault="000C467D" w:rsidP="002F0834">
            <w:pPr>
              <w:pStyle w:val="Default"/>
              <w:spacing w:line="276" w:lineRule="auto"/>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Arial"/>
                <w:b/>
                <w:sz w:val="22"/>
                <w:szCs w:val="22"/>
              </w:rPr>
            </w:pPr>
            <w:r w:rsidRPr="002F0834">
              <w:rPr>
                <w:rFonts w:asciiTheme="minorHAnsi" w:hAnsiTheme="minorHAnsi" w:cs="Arial"/>
                <w:b/>
                <w:sz w:val="22"/>
                <w:szCs w:val="22"/>
              </w:rPr>
              <w:t>Representante Universidad Tecnológica de Pereira en Alma Mater</w:t>
            </w:r>
          </w:p>
        </w:tc>
      </w:tr>
      <w:tr w:rsidR="000C467D" w:rsidRPr="00535E30" w:rsidTr="00A06780">
        <w:trPr>
          <w:cnfStyle w:val="000000100000" w:firstRow="0" w:lastRow="0" w:firstColumn="0" w:lastColumn="0" w:oddVBand="0" w:evenVBand="0" w:oddHBand="1" w:evenHBand="0" w:firstRowFirstColumn="0" w:firstRowLastColumn="0" w:lastRowFirstColumn="0" w:lastRowLastColumn="0"/>
          <w:trHeight w:val="1126"/>
        </w:trPr>
        <w:tc>
          <w:tcPr>
            <w:cnfStyle w:val="001000000000" w:firstRow="0" w:lastRow="0" w:firstColumn="1" w:lastColumn="0" w:oddVBand="0" w:evenVBand="0" w:oddHBand="0" w:evenHBand="0" w:firstRowFirstColumn="0" w:firstRowLastColumn="0" w:lastRowFirstColumn="0" w:lastRowLastColumn="0"/>
            <w:tcW w:w="2992" w:type="dxa"/>
            <w:vAlign w:val="center"/>
          </w:tcPr>
          <w:p w:rsidR="000C467D" w:rsidRPr="002F0834" w:rsidRDefault="000C467D" w:rsidP="002F0834">
            <w:pPr>
              <w:pStyle w:val="Default"/>
              <w:spacing w:line="276" w:lineRule="auto"/>
              <w:jc w:val="center"/>
              <w:rPr>
                <w:rFonts w:asciiTheme="minorHAnsi" w:hAnsiTheme="minorHAnsi" w:cs="Arial"/>
                <w:b w:val="0"/>
                <w:sz w:val="22"/>
                <w:szCs w:val="22"/>
              </w:rPr>
            </w:pPr>
            <w:r w:rsidRPr="002F0834">
              <w:rPr>
                <w:rFonts w:asciiTheme="minorHAnsi" w:hAnsiTheme="minorHAnsi" w:cs="Arial"/>
                <w:sz w:val="22"/>
                <w:szCs w:val="22"/>
              </w:rPr>
              <w:t>Alianzas estratégicas</w:t>
            </w:r>
          </w:p>
        </w:tc>
        <w:tc>
          <w:tcPr>
            <w:tcW w:w="2993" w:type="dxa"/>
            <w:vAlign w:val="center"/>
          </w:tcPr>
          <w:p w:rsidR="000C467D" w:rsidRPr="002F0834" w:rsidRDefault="000C467D" w:rsidP="002F0834">
            <w:pPr>
              <w:pStyle w:val="Default"/>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Arial"/>
                <w:b/>
                <w:sz w:val="22"/>
                <w:szCs w:val="22"/>
              </w:rPr>
            </w:pPr>
            <w:r w:rsidRPr="002F0834">
              <w:rPr>
                <w:rFonts w:asciiTheme="minorHAnsi" w:hAnsiTheme="minorHAnsi" w:cs="Arial"/>
                <w:b/>
                <w:sz w:val="22"/>
                <w:szCs w:val="22"/>
              </w:rPr>
              <w:t>Dr</w:t>
            </w:r>
            <w:r w:rsidR="00476EC0" w:rsidRPr="002F0834">
              <w:rPr>
                <w:rFonts w:asciiTheme="minorHAnsi" w:hAnsiTheme="minorHAnsi" w:cs="Arial"/>
                <w:b/>
                <w:sz w:val="22"/>
                <w:szCs w:val="22"/>
              </w:rPr>
              <w:t>a</w:t>
            </w:r>
            <w:r w:rsidRPr="002F0834">
              <w:rPr>
                <w:rFonts w:asciiTheme="minorHAnsi" w:hAnsiTheme="minorHAnsi" w:cs="Arial"/>
                <w:b/>
                <w:sz w:val="22"/>
                <w:szCs w:val="22"/>
              </w:rPr>
              <w:t xml:space="preserve">. </w:t>
            </w:r>
            <w:r w:rsidR="00476EC0" w:rsidRPr="002F0834">
              <w:rPr>
                <w:rFonts w:asciiTheme="minorHAnsi" w:hAnsiTheme="minorHAnsi" w:cs="Arial"/>
                <w:b/>
                <w:sz w:val="22"/>
                <w:szCs w:val="22"/>
              </w:rPr>
              <w:t xml:space="preserve">Viviana Lucía </w:t>
            </w:r>
            <w:proofErr w:type="spellStart"/>
            <w:r w:rsidR="00476EC0" w:rsidRPr="002F0834">
              <w:rPr>
                <w:rFonts w:asciiTheme="minorHAnsi" w:hAnsiTheme="minorHAnsi" w:cs="Arial"/>
                <w:b/>
                <w:sz w:val="22"/>
                <w:szCs w:val="22"/>
              </w:rPr>
              <w:t>Barney</w:t>
            </w:r>
            <w:proofErr w:type="spellEnd"/>
            <w:r w:rsidR="00476EC0" w:rsidRPr="002F0834">
              <w:rPr>
                <w:rFonts w:asciiTheme="minorHAnsi" w:hAnsiTheme="minorHAnsi" w:cs="Arial"/>
                <w:b/>
                <w:sz w:val="22"/>
                <w:szCs w:val="22"/>
              </w:rPr>
              <w:t xml:space="preserve"> </w:t>
            </w:r>
            <w:proofErr w:type="spellStart"/>
            <w:r w:rsidR="00476EC0" w:rsidRPr="002F0834">
              <w:rPr>
                <w:rFonts w:asciiTheme="minorHAnsi" w:hAnsiTheme="minorHAnsi" w:cs="Arial"/>
                <w:b/>
                <w:sz w:val="22"/>
                <w:szCs w:val="22"/>
              </w:rPr>
              <w:t>Palacín</w:t>
            </w:r>
            <w:proofErr w:type="spellEnd"/>
          </w:p>
        </w:tc>
        <w:tc>
          <w:tcPr>
            <w:tcW w:w="2993" w:type="dxa"/>
            <w:vAlign w:val="center"/>
          </w:tcPr>
          <w:p w:rsidR="000C467D" w:rsidRPr="002F0834" w:rsidRDefault="000C467D" w:rsidP="002F0834">
            <w:pPr>
              <w:pStyle w:val="Default"/>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Arial"/>
                <w:b/>
                <w:sz w:val="22"/>
                <w:szCs w:val="22"/>
              </w:rPr>
            </w:pPr>
            <w:r w:rsidRPr="002F0834">
              <w:rPr>
                <w:rFonts w:asciiTheme="minorHAnsi" w:hAnsiTheme="minorHAnsi" w:cs="Arial"/>
                <w:b/>
                <w:sz w:val="22"/>
                <w:szCs w:val="22"/>
              </w:rPr>
              <w:t xml:space="preserve">Jefe </w:t>
            </w:r>
            <w:r w:rsidR="00476EC0" w:rsidRPr="002F0834">
              <w:rPr>
                <w:rFonts w:asciiTheme="minorHAnsi" w:hAnsiTheme="minorHAnsi" w:cs="Arial"/>
                <w:b/>
                <w:sz w:val="22"/>
                <w:szCs w:val="22"/>
              </w:rPr>
              <w:t xml:space="preserve">(e) </w:t>
            </w:r>
            <w:r w:rsidRPr="002F0834">
              <w:rPr>
                <w:rFonts w:asciiTheme="minorHAnsi" w:hAnsiTheme="minorHAnsi" w:cs="Arial"/>
                <w:b/>
                <w:sz w:val="22"/>
                <w:szCs w:val="22"/>
              </w:rPr>
              <w:t>Oficina de Planeación</w:t>
            </w:r>
            <w:r w:rsidR="00476EC0" w:rsidRPr="002F0834">
              <w:rPr>
                <w:rStyle w:val="Refdenotaalpie"/>
                <w:rFonts w:asciiTheme="minorHAnsi" w:hAnsiTheme="minorHAnsi" w:cs="Arial"/>
                <w:b/>
                <w:sz w:val="22"/>
                <w:szCs w:val="22"/>
              </w:rPr>
              <w:footnoteReference w:id="1"/>
            </w:r>
          </w:p>
        </w:tc>
      </w:tr>
    </w:tbl>
    <w:p w:rsidR="001418FB" w:rsidRPr="00874049" w:rsidRDefault="000C467D" w:rsidP="001418FB">
      <w:pPr>
        <w:spacing w:line="276" w:lineRule="auto"/>
        <w:jc w:val="center"/>
        <w:rPr>
          <w:rFonts w:asciiTheme="minorHAnsi" w:hAnsiTheme="minorHAnsi"/>
          <w:b/>
          <w:sz w:val="32"/>
        </w:rPr>
      </w:pPr>
      <w:r w:rsidRPr="00535E30">
        <w:rPr>
          <w:rFonts w:asciiTheme="minorHAnsi" w:hAnsiTheme="minorHAnsi" w:cs="Arial"/>
        </w:rPr>
        <w:br w:type="page"/>
      </w:r>
      <w:bookmarkStart w:id="11" w:name="_Toc332979188"/>
      <w:bookmarkStart w:id="12" w:name="_Toc334174803"/>
      <w:bookmarkStart w:id="13" w:name="_Toc334174878"/>
      <w:bookmarkStart w:id="14" w:name="_Toc334193985"/>
      <w:r w:rsidR="001418FB" w:rsidRPr="00874049">
        <w:rPr>
          <w:rFonts w:asciiTheme="minorHAnsi" w:hAnsiTheme="minorHAnsi"/>
          <w:b/>
          <w:sz w:val="36"/>
        </w:rPr>
        <w:lastRenderedPageBreak/>
        <w:t>DEPENDENCIAS</w:t>
      </w:r>
    </w:p>
    <w:p w:rsidR="001418FB" w:rsidRDefault="001418FB" w:rsidP="001418FB">
      <w:pPr>
        <w:spacing w:line="276" w:lineRule="auto"/>
        <w:rPr>
          <w:rFonts w:asciiTheme="minorHAnsi" w:hAnsiTheme="minorHAnsi"/>
          <w:sz w:val="16"/>
        </w:rPr>
      </w:pPr>
    </w:p>
    <w:p w:rsidR="001418FB" w:rsidRPr="00535E30" w:rsidRDefault="001418FB" w:rsidP="001418FB">
      <w:pPr>
        <w:spacing w:line="276" w:lineRule="auto"/>
        <w:rPr>
          <w:rFonts w:asciiTheme="minorHAnsi" w:hAnsiTheme="minorHAnsi"/>
          <w:sz w:val="16"/>
        </w:rPr>
      </w:pPr>
    </w:p>
    <w:tbl>
      <w:tblPr>
        <w:tblW w:w="0" w:type="auto"/>
        <w:tblLook w:val="04A0" w:firstRow="1" w:lastRow="0" w:firstColumn="1" w:lastColumn="0" w:noHBand="0" w:noVBand="1"/>
      </w:tblPr>
      <w:tblGrid>
        <w:gridCol w:w="4489"/>
        <w:gridCol w:w="4489"/>
      </w:tblGrid>
      <w:tr w:rsidR="001418FB" w:rsidRPr="00535E30" w:rsidTr="00EB79AD">
        <w:tc>
          <w:tcPr>
            <w:tcW w:w="4489" w:type="dxa"/>
          </w:tcPr>
          <w:p w:rsidR="001418FB" w:rsidRPr="00535E30" w:rsidRDefault="001418FB" w:rsidP="00EB79AD">
            <w:pPr>
              <w:spacing w:after="0"/>
              <w:rPr>
                <w:rFonts w:asciiTheme="minorHAnsi" w:hAnsiTheme="minorHAnsi"/>
                <w:sz w:val="16"/>
                <w:u w:val="single"/>
              </w:rPr>
            </w:pPr>
            <w:r w:rsidRPr="00535E30">
              <w:rPr>
                <w:rFonts w:asciiTheme="minorHAnsi" w:hAnsiTheme="minorHAnsi"/>
                <w:sz w:val="16"/>
                <w:u w:val="single"/>
              </w:rPr>
              <w:t xml:space="preserve">Fernando </w:t>
            </w:r>
            <w:proofErr w:type="spellStart"/>
            <w:r w:rsidRPr="00535E30">
              <w:rPr>
                <w:rFonts w:asciiTheme="minorHAnsi" w:hAnsiTheme="minorHAnsi"/>
                <w:sz w:val="16"/>
                <w:u w:val="single"/>
              </w:rPr>
              <w:t>Noreña</w:t>
            </w:r>
            <w:proofErr w:type="spellEnd"/>
            <w:r w:rsidRPr="00535E30">
              <w:rPr>
                <w:rFonts w:asciiTheme="minorHAnsi" w:hAnsiTheme="minorHAnsi"/>
                <w:sz w:val="16"/>
                <w:u w:val="single"/>
              </w:rPr>
              <w:t xml:space="preserve"> Jaramillo</w:t>
            </w:r>
          </w:p>
          <w:p w:rsidR="001418FB" w:rsidRPr="00535E30" w:rsidRDefault="001418FB" w:rsidP="00EB79AD">
            <w:pPr>
              <w:spacing w:after="0"/>
              <w:rPr>
                <w:rFonts w:asciiTheme="minorHAnsi" w:hAnsiTheme="minorHAnsi"/>
                <w:sz w:val="16"/>
              </w:rPr>
            </w:pPr>
            <w:r w:rsidRPr="00535E30">
              <w:rPr>
                <w:rFonts w:asciiTheme="minorHAnsi" w:hAnsiTheme="minorHAnsi"/>
                <w:sz w:val="16"/>
              </w:rPr>
              <w:t>Vicerrector Administrativo</w:t>
            </w:r>
          </w:p>
          <w:p w:rsidR="001418FB" w:rsidRPr="00535E30" w:rsidRDefault="001418FB" w:rsidP="00EB79AD">
            <w:pPr>
              <w:spacing w:after="0"/>
              <w:rPr>
                <w:rFonts w:asciiTheme="minorHAnsi" w:hAnsiTheme="minorHAnsi"/>
                <w:sz w:val="16"/>
              </w:rPr>
            </w:pPr>
          </w:p>
          <w:p w:rsidR="001418FB" w:rsidRPr="00535E30" w:rsidRDefault="001418FB" w:rsidP="00EB79AD">
            <w:pPr>
              <w:spacing w:after="0"/>
              <w:rPr>
                <w:rFonts w:asciiTheme="minorHAnsi" w:hAnsiTheme="minorHAnsi"/>
                <w:sz w:val="16"/>
                <w:u w:val="single"/>
              </w:rPr>
            </w:pPr>
            <w:r w:rsidRPr="00535E30">
              <w:rPr>
                <w:rFonts w:asciiTheme="minorHAnsi" w:hAnsiTheme="minorHAnsi"/>
                <w:sz w:val="16"/>
                <w:u w:val="single"/>
              </w:rPr>
              <w:t xml:space="preserve">Jairo </w:t>
            </w:r>
            <w:proofErr w:type="spellStart"/>
            <w:r w:rsidRPr="00535E30">
              <w:rPr>
                <w:rFonts w:asciiTheme="minorHAnsi" w:hAnsiTheme="minorHAnsi"/>
                <w:sz w:val="16"/>
                <w:u w:val="single"/>
              </w:rPr>
              <w:t>Ordilio</w:t>
            </w:r>
            <w:proofErr w:type="spellEnd"/>
            <w:r w:rsidRPr="00535E30">
              <w:rPr>
                <w:rFonts w:asciiTheme="minorHAnsi" w:hAnsiTheme="minorHAnsi"/>
                <w:sz w:val="16"/>
                <w:u w:val="single"/>
              </w:rPr>
              <w:t xml:space="preserve"> Torres Moreno</w:t>
            </w:r>
          </w:p>
          <w:p w:rsidR="001418FB" w:rsidRPr="00535E30" w:rsidRDefault="001418FB" w:rsidP="00EB79AD">
            <w:pPr>
              <w:spacing w:after="0"/>
              <w:rPr>
                <w:rFonts w:asciiTheme="minorHAnsi" w:hAnsiTheme="minorHAnsi"/>
                <w:sz w:val="16"/>
              </w:rPr>
            </w:pPr>
            <w:r w:rsidRPr="00535E30">
              <w:rPr>
                <w:rFonts w:asciiTheme="minorHAnsi" w:hAnsiTheme="minorHAnsi"/>
                <w:sz w:val="16"/>
              </w:rPr>
              <w:t>Jefe División de Personal</w:t>
            </w:r>
          </w:p>
          <w:p w:rsidR="001418FB" w:rsidRPr="00535E30" w:rsidRDefault="001418FB" w:rsidP="00EB79AD">
            <w:pPr>
              <w:spacing w:after="0"/>
              <w:rPr>
                <w:rFonts w:asciiTheme="minorHAnsi" w:hAnsiTheme="minorHAnsi"/>
                <w:sz w:val="16"/>
              </w:rPr>
            </w:pPr>
          </w:p>
          <w:p w:rsidR="001418FB" w:rsidRPr="00535E30" w:rsidRDefault="001418FB" w:rsidP="00EB79AD">
            <w:pPr>
              <w:spacing w:after="0"/>
              <w:rPr>
                <w:rFonts w:asciiTheme="minorHAnsi" w:hAnsiTheme="minorHAnsi"/>
                <w:sz w:val="16"/>
                <w:u w:val="single"/>
              </w:rPr>
            </w:pPr>
            <w:r w:rsidRPr="00535E30">
              <w:rPr>
                <w:rFonts w:asciiTheme="minorHAnsi" w:hAnsiTheme="minorHAnsi"/>
                <w:sz w:val="16"/>
                <w:u w:val="single"/>
              </w:rPr>
              <w:t>Diana Patricia Jurado Ramírez</w:t>
            </w:r>
          </w:p>
          <w:p w:rsidR="001418FB" w:rsidRPr="00535E30" w:rsidRDefault="001418FB" w:rsidP="00EB79AD">
            <w:pPr>
              <w:spacing w:after="0"/>
              <w:rPr>
                <w:rFonts w:asciiTheme="minorHAnsi" w:hAnsiTheme="minorHAnsi"/>
                <w:sz w:val="16"/>
              </w:rPr>
            </w:pPr>
            <w:r>
              <w:rPr>
                <w:rFonts w:asciiTheme="minorHAnsi" w:hAnsiTheme="minorHAnsi"/>
                <w:sz w:val="16"/>
              </w:rPr>
              <w:t>Jefa División de Sistemas</w:t>
            </w:r>
          </w:p>
          <w:p w:rsidR="001418FB" w:rsidRPr="00535E30" w:rsidRDefault="001418FB" w:rsidP="00EB79AD">
            <w:pPr>
              <w:spacing w:after="0"/>
              <w:rPr>
                <w:rFonts w:asciiTheme="minorHAnsi" w:hAnsiTheme="minorHAnsi"/>
                <w:sz w:val="16"/>
              </w:rPr>
            </w:pPr>
          </w:p>
          <w:p w:rsidR="001418FB" w:rsidRPr="00535E30" w:rsidRDefault="001418FB" w:rsidP="00EB79AD">
            <w:pPr>
              <w:spacing w:after="0"/>
              <w:rPr>
                <w:rFonts w:asciiTheme="minorHAnsi" w:hAnsiTheme="minorHAnsi"/>
                <w:sz w:val="16"/>
                <w:u w:val="single"/>
              </w:rPr>
            </w:pPr>
            <w:r w:rsidRPr="00535E30">
              <w:rPr>
                <w:rFonts w:asciiTheme="minorHAnsi" w:hAnsiTheme="minorHAnsi"/>
                <w:sz w:val="16"/>
                <w:u w:val="single"/>
              </w:rPr>
              <w:t>Orlando Cañas Moreno</w:t>
            </w:r>
          </w:p>
          <w:p w:rsidR="001418FB" w:rsidRPr="00535E30" w:rsidRDefault="001418FB" w:rsidP="00EB79AD">
            <w:pPr>
              <w:spacing w:after="0"/>
              <w:rPr>
                <w:rFonts w:asciiTheme="minorHAnsi" w:hAnsiTheme="minorHAnsi"/>
                <w:sz w:val="16"/>
              </w:rPr>
            </w:pPr>
            <w:r w:rsidRPr="00535E30">
              <w:rPr>
                <w:rFonts w:asciiTheme="minorHAnsi" w:hAnsiTheme="minorHAnsi"/>
                <w:sz w:val="16"/>
              </w:rPr>
              <w:t>Jefe División de Servicios</w:t>
            </w:r>
          </w:p>
          <w:p w:rsidR="001418FB" w:rsidRPr="00535E30" w:rsidRDefault="001418FB" w:rsidP="00EB79AD">
            <w:pPr>
              <w:spacing w:after="0"/>
              <w:rPr>
                <w:rFonts w:asciiTheme="minorHAnsi" w:hAnsiTheme="minorHAnsi"/>
                <w:sz w:val="16"/>
              </w:rPr>
            </w:pPr>
          </w:p>
          <w:p w:rsidR="001418FB" w:rsidRPr="00535E30" w:rsidRDefault="001418FB" w:rsidP="00EB79AD">
            <w:pPr>
              <w:spacing w:after="0"/>
              <w:rPr>
                <w:rFonts w:asciiTheme="minorHAnsi" w:hAnsiTheme="minorHAnsi"/>
                <w:sz w:val="16"/>
                <w:u w:val="single"/>
              </w:rPr>
            </w:pPr>
            <w:r w:rsidRPr="00535E30">
              <w:rPr>
                <w:rFonts w:asciiTheme="minorHAnsi" w:hAnsiTheme="minorHAnsi"/>
                <w:sz w:val="16"/>
                <w:u w:val="single"/>
              </w:rPr>
              <w:t>Jaime Augusto Zárate Arias</w:t>
            </w:r>
          </w:p>
          <w:p w:rsidR="001418FB" w:rsidRPr="00535E30" w:rsidRDefault="001418FB" w:rsidP="00EB79AD">
            <w:pPr>
              <w:spacing w:after="0"/>
              <w:rPr>
                <w:rFonts w:asciiTheme="minorHAnsi" w:hAnsiTheme="minorHAnsi"/>
                <w:sz w:val="16"/>
              </w:rPr>
            </w:pPr>
            <w:r w:rsidRPr="00535E30">
              <w:rPr>
                <w:rFonts w:asciiTheme="minorHAnsi" w:hAnsiTheme="minorHAnsi"/>
                <w:sz w:val="16"/>
              </w:rPr>
              <w:t>Jefe Almacén General</w:t>
            </w:r>
          </w:p>
          <w:p w:rsidR="001418FB" w:rsidRPr="00535E30" w:rsidRDefault="001418FB" w:rsidP="00EB79AD">
            <w:pPr>
              <w:spacing w:after="0"/>
              <w:rPr>
                <w:rFonts w:asciiTheme="minorHAnsi" w:hAnsiTheme="minorHAnsi"/>
                <w:sz w:val="16"/>
              </w:rPr>
            </w:pPr>
          </w:p>
          <w:p w:rsidR="001418FB" w:rsidRPr="00535E30" w:rsidRDefault="001418FB" w:rsidP="00EB79AD">
            <w:pPr>
              <w:spacing w:after="0"/>
              <w:rPr>
                <w:rFonts w:asciiTheme="minorHAnsi" w:hAnsiTheme="minorHAnsi"/>
                <w:sz w:val="16"/>
                <w:u w:val="single"/>
              </w:rPr>
            </w:pPr>
            <w:r>
              <w:rPr>
                <w:rFonts w:asciiTheme="minorHAnsi" w:hAnsiTheme="minorHAnsi"/>
                <w:sz w:val="16"/>
                <w:u w:val="single"/>
              </w:rPr>
              <w:t xml:space="preserve">Carlos Fernando Castaño Montoya </w:t>
            </w:r>
          </w:p>
          <w:p w:rsidR="001418FB" w:rsidRPr="00535E30" w:rsidRDefault="001418FB" w:rsidP="00EB79AD">
            <w:pPr>
              <w:spacing w:after="0"/>
              <w:rPr>
                <w:rFonts w:asciiTheme="minorHAnsi" w:hAnsiTheme="minorHAnsi"/>
                <w:sz w:val="16"/>
              </w:rPr>
            </w:pPr>
            <w:r w:rsidRPr="00535E30">
              <w:rPr>
                <w:rFonts w:asciiTheme="minorHAnsi" w:hAnsiTheme="minorHAnsi"/>
                <w:sz w:val="16"/>
              </w:rPr>
              <w:t>Jefe División Financiera</w:t>
            </w:r>
          </w:p>
          <w:p w:rsidR="001418FB" w:rsidRPr="00535E30" w:rsidRDefault="001418FB" w:rsidP="00EB79AD">
            <w:pPr>
              <w:spacing w:after="0"/>
              <w:rPr>
                <w:rFonts w:asciiTheme="minorHAnsi" w:hAnsiTheme="minorHAnsi"/>
                <w:sz w:val="16"/>
              </w:rPr>
            </w:pPr>
          </w:p>
          <w:p w:rsidR="001418FB" w:rsidRPr="00535E30" w:rsidRDefault="001418FB" w:rsidP="00EB79AD">
            <w:pPr>
              <w:spacing w:after="0"/>
              <w:rPr>
                <w:rFonts w:asciiTheme="minorHAnsi" w:hAnsiTheme="minorHAnsi"/>
                <w:sz w:val="16"/>
                <w:u w:val="single"/>
              </w:rPr>
            </w:pPr>
            <w:r w:rsidRPr="00535E30">
              <w:rPr>
                <w:rFonts w:asciiTheme="minorHAnsi" w:hAnsiTheme="minorHAnsi"/>
                <w:sz w:val="16"/>
                <w:u w:val="single"/>
              </w:rPr>
              <w:t>Martha Piedad Ramos Aranda</w:t>
            </w:r>
          </w:p>
          <w:p w:rsidR="001418FB" w:rsidRPr="00535E30" w:rsidRDefault="001418FB" w:rsidP="00EB79AD">
            <w:pPr>
              <w:spacing w:after="0"/>
              <w:rPr>
                <w:rFonts w:asciiTheme="minorHAnsi" w:hAnsiTheme="minorHAnsi"/>
                <w:sz w:val="16"/>
              </w:rPr>
            </w:pPr>
            <w:r w:rsidRPr="00535E30">
              <w:rPr>
                <w:rFonts w:asciiTheme="minorHAnsi" w:hAnsiTheme="minorHAnsi"/>
                <w:sz w:val="16"/>
              </w:rPr>
              <w:t>Jefa Sección Bienes y Suministros</w:t>
            </w:r>
          </w:p>
          <w:p w:rsidR="001418FB" w:rsidRPr="00535E30" w:rsidRDefault="001418FB" w:rsidP="00EB79AD">
            <w:pPr>
              <w:spacing w:after="0"/>
              <w:rPr>
                <w:rFonts w:asciiTheme="minorHAnsi" w:hAnsiTheme="minorHAnsi"/>
                <w:sz w:val="16"/>
              </w:rPr>
            </w:pPr>
          </w:p>
          <w:p w:rsidR="001418FB" w:rsidRPr="00535E30" w:rsidRDefault="001418FB" w:rsidP="00EB79AD">
            <w:pPr>
              <w:spacing w:after="0"/>
              <w:rPr>
                <w:rFonts w:asciiTheme="minorHAnsi" w:hAnsiTheme="minorHAnsi"/>
                <w:sz w:val="16"/>
                <w:u w:val="single"/>
              </w:rPr>
            </w:pPr>
            <w:r>
              <w:rPr>
                <w:rFonts w:asciiTheme="minorHAnsi" w:hAnsiTheme="minorHAnsi"/>
                <w:sz w:val="16"/>
                <w:u w:val="single"/>
              </w:rPr>
              <w:t>Germán Eduardo Henao García</w:t>
            </w:r>
          </w:p>
          <w:p w:rsidR="001418FB" w:rsidRPr="00535E30" w:rsidRDefault="001418FB" w:rsidP="00EB79AD">
            <w:pPr>
              <w:spacing w:after="0"/>
              <w:rPr>
                <w:rFonts w:asciiTheme="minorHAnsi" w:hAnsiTheme="minorHAnsi"/>
                <w:sz w:val="16"/>
              </w:rPr>
            </w:pPr>
            <w:r w:rsidRPr="00535E30">
              <w:rPr>
                <w:rFonts w:asciiTheme="minorHAnsi" w:hAnsiTheme="minorHAnsi"/>
                <w:sz w:val="16"/>
              </w:rPr>
              <w:t>Jefe Sección Tesorería</w:t>
            </w:r>
          </w:p>
          <w:p w:rsidR="001418FB" w:rsidRPr="00535E30" w:rsidRDefault="001418FB" w:rsidP="00EB79AD">
            <w:pPr>
              <w:spacing w:after="0"/>
              <w:rPr>
                <w:rFonts w:asciiTheme="minorHAnsi" w:hAnsiTheme="minorHAnsi"/>
                <w:sz w:val="16"/>
              </w:rPr>
            </w:pPr>
          </w:p>
          <w:p w:rsidR="001418FB" w:rsidRPr="00535E30" w:rsidRDefault="001418FB" w:rsidP="00EB79AD">
            <w:pPr>
              <w:spacing w:after="0"/>
              <w:rPr>
                <w:rFonts w:asciiTheme="minorHAnsi" w:hAnsiTheme="minorHAnsi"/>
                <w:sz w:val="16"/>
                <w:u w:val="single"/>
              </w:rPr>
            </w:pPr>
            <w:r w:rsidRPr="00535E30">
              <w:rPr>
                <w:rFonts w:asciiTheme="minorHAnsi" w:hAnsiTheme="minorHAnsi"/>
                <w:sz w:val="16"/>
                <w:u w:val="single"/>
              </w:rPr>
              <w:t>Luz Dary Sepúlveda Acevedo</w:t>
            </w:r>
          </w:p>
          <w:p w:rsidR="001418FB" w:rsidRPr="00535E30" w:rsidRDefault="001418FB" w:rsidP="00EB79AD">
            <w:pPr>
              <w:spacing w:after="0"/>
              <w:rPr>
                <w:rFonts w:asciiTheme="minorHAnsi" w:hAnsiTheme="minorHAnsi"/>
                <w:sz w:val="16"/>
              </w:rPr>
            </w:pPr>
            <w:r w:rsidRPr="00535E30">
              <w:rPr>
                <w:rFonts w:asciiTheme="minorHAnsi" w:hAnsiTheme="minorHAnsi"/>
                <w:sz w:val="16"/>
              </w:rPr>
              <w:t>Jefa Sección Contabilidad y Presupuesto</w:t>
            </w:r>
          </w:p>
          <w:p w:rsidR="001418FB" w:rsidRPr="00535E30" w:rsidRDefault="001418FB" w:rsidP="00EB79AD">
            <w:pPr>
              <w:spacing w:after="0"/>
              <w:rPr>
                <w:rFonts w:asciiTheme="minorHAnsi" w:hAnsiTheme="minorHAnsi"/>
                <w:sz w:val="16"/>
              </w:rPr>
            </w:pPr>
          </w:p>
          <w:p w:rsidR="001418FB" w:rsidRPr="00535E30" w:rsidRDefault="001418FB" w:rsidP="00EB79AD">
            <w:pPr>
              <w:spacing w:after="0"/>
              <w:rPr>
                <w:rFonts w:asciiTheme="minorHAnsi" w:hAnsiTheme="minorHAnsi"/>
                <w:sz w:val="16"/>
                <w:u w:val="single"/>
              </w:rPr>
            </w:pPr>
            <w:r w:rsidRPr="00535E30">
              <w:rPr>
                <w:rFonts w:asciiTheme="minorHAnsi" w:hAnsiTheme="minorHAnsi"/>
                <w:sz w:val="16"/>
                <w:u w:val="single"/>
              </w:rPr>
              <w:t xml:space="preserve">Viviana Lucía </w:t>
            </w:r>
            <w:proofErr w:type="spellStart"/>
            <w:r w:rsidRPr="00535E30">
              <w:rPr>
                <w:rFonts w:asciiTheme="minorHAnsi" w:hAnsiTheme="minorHAnsi"/>
                <w:sz w:val="16"/>
                <w:u w:val="single"/>
              </w:rPr>
              <w:t>Barney</w:t>
            </w:r>
            <w:proofErr w:type="spellEnd"/>
            <w:r w:rsidRPr="00535E30">
              <w:rPr>
                <w:rFonts w:asciiTheme="minorHAnsi" w:hAnsiTheme="minorHAnsi"/>
                <w:sz w:val="16"/>
                <w:u w:val="single"/>
              </w:rPr>
              <w:t xml:space="preserve"> </w:t>
            </w:r>
            <w:proofErr w:type="spellStart"/>
            <w:r w:rsidRPr="00535E30">
              <w:rPr>
                <w:rFonts w:asciiTheme="minorHAnsi" w:hAnsiTheme="minorHAnsi"/>
                <w:sz w:val="16"/>
                <w:u w:val="single"/>
              </w:rPr>
              <w:t>Palacín</w:t>
            </w:r>
            <w:proofErr w:type="spellEnd"/>
          </w:p>
          <w:p w:rsidR="001418FB" w:rsidRPr="00535E30" w:rsidRDefault="001418FB" w:rsidP="00EB79AD">
            <w:pPr>
              <w:spacing w:after="0"/>
              <w:rPr>
                <w:rFonts w:asciiTheme="minorHAnsi" w:hAnsiTheme="minorHAnsi"/>
                <w:sz w:val="16"/>
              </w:rPr>
            </w:pPr>
            <w:r w:rsidRPr="00535E30">
              <w:rPr>
                <w:rFonts w:asciiTheme="minorHAnsi" w:hAnsiTheme="minorHAnsi"/>
                <w:sz w:val="16"/>
              </w:rPr>
              <w:t>Jefa Oficina de Planeación</w:t>
            </w:r>
          </w:p>
          <w:p w:rsidR="001418FB" w:rsidRPr="00535E30" w:rsidRDefault="001418FB" w:rsidP="00EB79AD">
            <w:pPr>
              <w:spacing w:after="0"/>
              <w:rPr>
                <w:rFonts w:asciiTheme="minorHAnsi" w:hAnsiTheme="minorHAnsi"/>
                <w:sz w:val="16"/>
              </w:rPr>
            </w:pPr>
          </w:p>
          <w:p w:rsidR="001418FB" w:rsidRPr="00535E30" w:rsidRDefault="001418FB" w:rsidP="00EB79AD">
            <w:pPr>
              <w:spacing w:after="0"/>
              <w:rPr>
                <w:rFonts w:asciiTheme="minorHAnsi" w:hAnsiTheme="minorHAnsi"/>
                <w:sz w:val="16"/>
                <w:u w:val="single"/>
              </w:rPr>
            </w:pPr>
            <w:r w:rsidRPr="00535E30">
              <w:rPr>
                <w:rFonts w:asciiTheme="minorHAnsi" w:hAnsiTheme="minorHAnsi"/>
                <w:sz w:val="16"/>
                <w:u w:val="single"/>
              </w:rPr>
              <w:t>Albino Felipe Ricardo Vega González</w:t>
            </w:r>
          </w:p>
          <w:p w:rsidR="001418FB" w:rsidRPr="00535E30" w:rsidRDefault="001418FB" w:rsidP="00EB79AD">
            <w:pPr>
              <w:spacing w:after="0"/>
              <w:rPr>
                <w:rFonts w:asciiTheme="minorHAnsi" w:hAnsiTheme="minorHAnsi"/>
                <w:sz w:val="16"/>
              </w:rPr>
            </w:pPr>
            <w:r w:rsidRPr="00535E30">
              <w:rPr>
                <w:rFonts w:asciiTheme="minorHAnsi" w:hAnsiTheme="minorHAnsi"/>
                <w:sz w:val="16"/>
              </w:rPr>
              <w:t>Director Oficina Control Interno</w:t>
            </w:r>
          </w:p>
          <w:p w:rsidR="001418FB" w:rsidRPr="00535E30" w:rsidRDefault="001418FB" w:rsidP="00EB79AD">
            <w:pPr>
              <w:spacing w:after="0"/>
              <w:rPr>
                <w:rFonts w:asciiTheme="minorHAnsi" w:hAnsiTheme="minorHAnsi"/>
                <w:sz w:val="16"/>
              </w:rPr>
            </w:pPr>
          </w:p>
          <w:p w:rsidR="001418FB" w:rsidRPr="00535E30" w:rsidRDefault="001418FB" w:rsidP="00EB79AD">
            <w:pPr>
              <w:spacing w:after="0"/>
              <w:rPr>
                <w:rFonts w:asciiTheme="minorHAnsi" w:hAnsiTheme="minorHAnsi"/>
                <w:sz w:val="16"/>
                <w:u w:val="single"/>
              </w:rPr>
            </w:pPr>
            <w:r w:rsidRPr="00535E30">
              <w:rPr>
                <w:rFonts w:asciiTheme="minorHAnsi" w:hAnsiTheme="minorHAnsi"/>
                <w:sz w:val="16"/>
                <w:u w:val="single"/>
              </w:rPr>
              <w:t>Myriam Delgado Paz</w:t>
            </w:r>
          </w:p>
          <w:p w:rsidR="001418FB" w:rsidRPr="00535E30" w:rsidRDefault="001418FB" w:rsidP="00EB79AD">
            <w:pPr>
              <w:spacing w:after="0"/>
              <w:rPr>
                <w:rFonts w:asciiTheme="minorHAnsi" w:hAnsiTheme="minorHAnsi"/>
                <w:sz w:val="16"/>
              </w:rPr>
            </w:pPr>
            <w:r w:rsidRPr="00535E30">
              <w:rPr>
                <w:rFonts w:asciiTheme="minorHAnsi" w:hAnsiTheme="minorHAnsi"/>
                <w:sz w:val="16"/>
              </w:rPr>
              <w:t>Directora Oficina Control Interno Disciplinario</w:t>
            </w:r>
          </w:p>
          <w:p w:rsidR="001418FB" w:rsidRPr="00535E30" w:rsidRDefault="001418FB" w:rsidP="00EB79AD">
            <w:pPr>
              <w:spacing w:after="0"/>
              <w:rPr>
                <w:rFonts w:asciiTheme="minorHAnsi" w:hAnsiTheme="minorHAnsi"/>
                <w:sz w:val="16"/>
              </w:rPr>
            </w:pPr>
          </w:p>
          <w:p w:rsidR="001418FB" w:rsidRPr="00535E30" w:rsidRDefault="001418FB" w:rsidP="00EB79AD">
            <w:pPr>
              <w:spacing w:after="0"/>
              <w:rPr>
                <w:rFonts w:asciiTheme="minorHAnsi" w:hAnsiTheme="minorHAnsi"/>
                <w:sz w:val="16"/>
                <w:u w:val="single"/>
              </w:rPr>
            </w:pPr>
            <w:r w:rsidRPr="00535E30">
              <w:rPr>
                <w:rFonts w:asciiTheme="minorHAnsi" w:hAnsiTheme="minorHAnsi"/>
                <w:sz w:val="16"/>
                <w:u w:val="single"/>
              </w:rPr>
              <w:t>Carlos Alfonso Zuluaga Arango</w:t>
            </w:r>
          </w:p>
          <w:p w:rsidR="001418FB" w:rsidRPr="00535E30" w:rsidRDefault="001418FB" w:rsidP="00EB79AD">
            <w:pPr>
              <w:spacing w:after="0"/>
              <w:rPr>
                <w:rFonts w:asciiTheme="minorHAnsi" w:hAnsiTheme="minorHAnsi"/>
                <w:sz w:val="16"/>
              </w:rPr>
            </w:pPr>
            <w:r w:rsidRPr="00535E30">
              <w:rPr>
                <w:rFonts w:asciiTheme="minorHAnsi" w:hAnsiTheme="minorHAnsi"/>
                <w:sz w:val="16"/>
              </w:rPr>
              <w:t>Secretario General</w:t>
            </w:r>
          </w:p>
          <w:p w:rsidR="001418FB" w:rsidRPr="00535E30" w:rsidRDefault="001418FB" w:rsidP="00EB79AD">
            <w:pPr>
              <w:spacing w:after="0"/>
              <w:rPr>
                <w:rFonts w:asciiTheme="minorHAnsi" w:hAnsiTheme="minorHAnsi"/>
                <w:sz w:val="16"/>
              </w:rPr>
            </w:pPr>
          </w:p>
          <w:p w:rsidR="001418FB" w:rsidRPr="00535E30" w:rsidRDefault="001418FB" w:rsidP="00EB79AD">
            <w:pPr>
              <w:spacing w:after="0"/>
              <w:rPr>
                <w:rFonts w:asciiTheme="minorHAnsi" w:hAnsiTheme="minorHAnsi"/>
                <w:sz w:val="16"/>
                <w:u w:val="single"/>
              </w:rPr>
            </w:pPr>
            <w:r w:rsidRPr="00535E30">
              <w:rPr>
                <w:rFonts w:asciiTheme="minorHAnsi" w:hAnsiTheme="minorHAnsi"/>
                <w:sz w:val="16"/>
                <w:u w:val="single"/>
              </w:rPr>
              <w:t>Bertha Lucía Arango Thomas</w:t>
            </w:r>
          </w:p>
          <w:p w:rsidR="001418FB" w:rsidRPr="00535E30" w:rsidRDefault="001418FB" w:rsidP="00EB79AD">
            <w:pPr>
              <w:spacing w:after="0"/>
              <w:rPr>
                <w:rFonts w:asciiTheme="minorHAnsi" w:hAnsiTheme="minorHAnsi"/>
                <w:sz w:val="16"/>
              </w:rPr>
            </w:pPr>
            <w:r w:rsidRPr="00535E30">
              <w:rPr>
                <w:rFonts w:asciiTheme="minorHAnsi" w:hAnsiTheme="minorHAnsi"/>
                <w:sz w:val="16"/>
              </w:rPr>
              <w:t>Coordinadora Gestión de Documentos</w:t>
            </w:r>
          </w:p>
          <w:p w:rsidR="001418FB" w:rsidRPr="00535E30" w:rsidRDefault="001418FB" w:rsidP="00EB79AD">
            <w:pPr>
              <w:spacing w:after="0"/>
              <w:rPr>
                <w:rFonts w:asciiTheme="minorHAnsi" w:hAnsiTheme="minorHAnsi"/>
                <w:sz w:val="16"/>
              </w:rPr>
            </w:pPr>
          </w:p>
          <w:p w:rsidR="001418FB" w:rsidRPr="00535E30" w:rsidRDefault="001418FB" w:rsidP="00EB79AD">
            <w:pPr>
              <w:spacing w:after="0"/>
              <w:rPr>
                <w:rFonts w:asciiTheme="minorHAnsi" w:hAnsiTheme="minorHAnsi"/>
                <w:sz w:val="16"/>
                <w:u w:val="single"/>
              </w:rPr>
            </w:pPr>
            <w:r w:rsidRPr="00535E30">
              <w:rPr>
                <w:rFonts w:asciiTheme="minorHAnsi" w:hAnsiTheme="minorHAnsi"/>
                <w:sz w:val="16"/>
                <w:u w:val="single"/>
              </w:rPr>
              <w:t>Javier Ovidio Giraldo</w:t>
            </w:r>
          </w:p>
          <w:p w:rsidR="001418FB" w:rsidRPr="00535E30" w:rsidRDefault="001418FB" w:rsidP="00EB79AD">
            <w:pPr>
              <w:spacing w:after="0"/>
              <w:rPr>
                <w:rFonts w:asciiTheme="minorHAnsi" w:hAnsiTheme="minorHAnsi"/>
                <w:sz w:val="16"/>
              </w:rPr>
            </w:pPr>
            <w:r w:rsidRPr="00535E30">
              <w:rPr>
                <w:rFonts w:asciiTheme="minorHAnsi" w:hAnsiTheme="minorHAnsi"/>
                <w:sz w:val="16"/>
              </w:rPr>
              <w:t xml:space="preserve">Director Oficina de Comunicaciones </w:t>
            </w:r>
          </w:p>
          <w:p w:rsidR="001418FB" w:rsidRPr="00535E30" w:rsidRDefault="001418FB" w:rsidP="00EB79AD">
            <w:pPr>
              <w:spacing w:after="0" w:line="276" w:lineRule="auto"/>
              <w:rPr>
                <w:rFonts w:asciiTheme="minorHAnsi" w:hAnsiTheme="minorHAnsi"/>
                <w:sz w:val="16"/>
              </w:rPr>
            </w:pPr>
          </w:p>
          <w:p w:rsidR="001418FB" w:rsidRPr="00535E30" w:rsidRDefault="001418FB" w:rsidP="00EB79AD">
            <w:pPr>
              <w:spacing w:after="0" w:line="276" w:lineRule="auto"/>
              <w:rPr>
                <w:rFonts w:asciiTheme="minorHAnsi" w:hAnsiTheme="minorHAnsi"/>
                <w:sz w:val="16"/>
                <w:u w:val="single"/>
              </w:rPr>
            </w:pPr>
            <w:r w:rsidRPr="00535E30">
              <w:rPr>
                <w:rFonts w:asciiTheme="minorHAnsi" w:hAnsiTheme="minorHAnsi"/>
                <w:sz w:val="16"/>
                <w:u w:val="single"/>
              </w:rPr>
              <w:t>Diana Patricia Gómez Botero</w:t>
            </w:r>
          </w:p>
          <w:p w:rsidR="001418FB" w:rsidRPr="00535E30" w:rsidRDefault="001418FB" w:rsidP="00EB79AD">
            <w:pPr>
              <w:spacing w:after="0" w:line="276" w:lineRule="auto"/>
              <w:rPr>
                <w:rFonts w:asciiTheme="minorHAnsi" w:hAnsiTheme="minorHAnsi"/>
                <w:sz w:val="16"/>
              </w:rPr>
            </w:pPr>
            <w:r w:rsidRPr="00535E30">
              <w:rPr>
                <w:rFonts w:asciiTheme="minorHAnsi" w:hAnsiTheme="minorHAnsi"/>
                <w:sz w:val="16"/>
              </w:rPr>
              <w:t>Vicerrectora de Responsabilidad Social y Bienestar Universitario</w:t>
            </w:r>
          </w:p>
        </w:tc>
        <w:tc>
          <w:tcPr>
            <w:tcW w:w="4489" w:type="dxa"/>
          </w:tcPr>
          <w:p w:rsidR="001418FB" w:rsidRPr="00535E30" w:rsidRDefault="001418FB" w:rsidP="00EB79AD">
            <w:pPr>
              <w:spacing w:after="0" w:line="276" w:lineRule="auto"/>
              <w:rPr>
                <w:rFonts w:asciiTheme="minorHAnsi" w:hAnsiTheme="minorHAnsi"/>
                <w:sz w:val="16"/>
                <w:u w:val="single"/>
              </w:rPr>
            </w:pPr>
            <w:r w:rsidRPr="00535E30">
              <w:rPr>
                <w:rFonts w:asciiTheme="minorHAnsi" w:hAnsiTheme="minorHAnsi"/>
                <w:sz w:val="16"/>
                <w:u w:val="single"/>
              </w:rPr>
              <w:t>María Cristina Valderrama Alvarado</w:t>
            </w:r>
          </w:p>
          <w:p w:rsidR="001418FB" w:rsidRPr="00535E30" w:rsidRDefault="001418FB" w:rsidP="00EB79AD">
            <w:pPr>
              <w:spacing w:after="0" w:line="276" w:lineRule="auto"/>
              <w:rPr>
                <w:rFonts w:asciiTheme="minorHAnsi" w:hAnsiTheme="minorHAnsi"/>
                <w:sz w:val="16"/>
              </w:rPr>
            </w:pPr>
            <w:r w:rsidRPr="00535E30">
              <w:rPr>
                <w:rFonts w:asciiTheme="minorHAnsi" w:hAnsiTheme="minorHAnsi"/>
                <w:sz w:val="16"/>
              </w:rPr>
              <w:t>Directora Oficina Relaciones Internacionales</w:t>
            </w:r>
          </w:p>
          <w:p w:rsidR="001418FB" w:rsidRPr="00535E30" w:rsidRDefault="001418FB" w:rsidP="00EB79AD">
            <w:pPr>
              <w:spacing w:after="0" w:line="276" w:lineRule="auto"/>
              <w:rPr>
                <w:rFonts w:asciiTheme="minorHAnsi" w:hAnsiTheme="minorHAnsi"/>
                <w:sz w:val="16"/>
              </w:rPr>
            </w:pPr>
          </w:p>
          <w:p w:rsidR="001418FB" w:rsidRPr="00535E30" w:rsidRDefault="001418FB" w:rsidP="00EB79AD">
            <w:pPr>
              <w:spacing w:after="0" w:line="276" w:lineRule="auto"/>
              <w:rPr>
                <w:rFonts w:asciiTheme="minorHAnsi" w:hAnsiTheme="minorHAnsi"/>
                <w:sz w:val="16"/>
                <w:u w:val="single"/>
              </w:rPr>
            </w:pPr>
            <w:r w:rsidRPr="00535E30">
              <w:rPr>
                <w:rFonts w:asciiTheme="minorHAnsi" w:hAnsiTheme="minorHAnsi"/>
                <w:sz w:val="16"/>
                <w:u w:val="single"/>
              </w:rPr>
              <w:t>Diego Osorio Jaramillo</w:t>
            </w:r>
          </w:p>
          <w:p w:rsidR="001418FB" w:rsidRPr="00535E30" w:rsidRDefault="001418FB" w:rsidP="00EB79AD">
            <w:pPr>
              <w:spacing w:after="0" w:line="276" w:lineRule="auto"/>
              <w:rPr>
                <w:rFonts w:asciiTheme="minorHAnsi" w:hAnsiTheme="minorHAnsi"/>
                <w:sz w:val="16"/>
              </w:rPr>
            </w:pPr>
            <w:r w:rsidRPr="00535E30">
              <w:rPr>
                <w:rFonts w:asciiTheme="minorHAnsi" w:hAnsiTheme="minorHAnsi"/>
                <w:sz w:val="16"/>
              </w:rPr>
              <w:t>Director Centro Registro y Control Académico</w:t>
            </w:r>
          </w:p>
          <w:p w:rsidR="001418FB" w:rsidRPr="00535E30" w:rsidRDefault="001418FB" w:rsidP="00EB79AD">
            <w:pPr>
              <w:spacing w:after="0" w:line="276" w:lineRule="auto"/>
              <w:rPr>
                <w:rFonts w:asciiTheme="minorHAnsi" w:hAnsiTheme="minorHAnsi"/>
                <w:sz w:val="16"/>
              </w:rPr>
            </w:pPr>
          </w:p>
          <w:p w:rsidR="001418FB" w:rsidRPr="00535E30" w:rsidRDefault="001418FB" w:rsidP="00EB79AD">
            <w:pPr>
              <w:spacing w:after="0" w:line="276" w:lineRule="auto"/>
              <w:rPr>
                <w:rFonts w:asciiTheme="minorHAnsi" w:hAnsiTheme="minorHAnsi"/>
                <w:sz w:val="16"/>
                <w:u w:val="single"/>
              </w:rPr>
            </w:pPr>
            <w:r w:rsidRPr="00535E30">
              <w:rPr>
                <w:rFonts w:asciiTheme="minorHAnsi" w:hAnsiTheme="minorHAnsi"/>
                <w:sz w:val="16"/>
                <w:u w:val="single"/>
              </w:rPr>
              <w:t>Margarita María Fajardo López</w:t>
            </w:r>
          </w:p>
          <w:p w:rsidR="001418FB" w:rsidRPr="00535E30" w:rsidRDefault="001418FB" w:rsidP="00EB79AD">
            <w:pPr>
              <w:spacing w:after="0" w:line="276" w:lineRule="auto"/>
              <w:rPr>
                <w:rFonts w:asciiTheme="minorHAnsi" w:hAnsiTheme="minorHAnsi"/>
                <w:sz w:val="16"/>
              </w:rPr>
            </w:pPr>
            <w:r w:rsidRPr="00535E30">
              <w:rPr>
                <w:rFonts w:asciiTheme="minorHAnsi" w:hAnsiTheme="minorHAnsi"/>
                <w:sz w:val="16"/>
              </w:rPr>
              <w:t>Directora Centro Biblioteca Jorge Roa Martínez</w:t>
            </w:r>
          </w:p>
          <w:p w:rsidR="001418FB" w:rsidRPr="00535E30" w:rsidRDefault="001418FB" w:rsidP="00EB79AD">
            <w:pPr>
              <w:spacing w:after="0" w:line="276" w:lineRule="auto"/>
              <w:rPr>
                <w:rFonts w:asciiTheme="minorHAnsi" w:hAnsiTheme="minorHAnsi"/>
                <w:sz w:val="16"/>
              </w:rPr>
            </w:pPr>
          </w:p>
          <w:p w:rsidR="001418FB" w:rsidRPr="00535E30" w:rsidRDefault="001418FB" w:rsidP="00EB79AD">
            <w:pPr>
              <w:spacing w:after="0" w:line="276" w:lineRule="auto"/>
              <w:rPr>
                <w:rFonts w:asciiTheme="minorHAnsi" w:hAnsiTheme="minorHAnsi"/>
                <w:sz w:val="16"/>
                <w:u w:val="single"/>
              </w:rPr>
            </w:pPr>
            <w:r w:rsidRPr="00535E30">
              <w:rPr>
                <w:rFonts w:asciiTheme="minorHAnsi" w:hAnsiTheme="minorHAnsi"/>
                <w:sz w:val="16"/>
                <w:u w:val="single"/>
              </w:rPr>
              <w:t>Oswaldo Agudelo González</w:t>
            </w:r>
          </w:p>
          <w:p w:rsidR="001418FB" w:rsidRPr="00535E30" w:rsidRDefault="001418FB" w:rsidP="00EB79AD">
            <w:pPr>
              <w:spacing w:after="0" w:line="276" w:lineRule="auto"/>
              <w:rPr>
                <w:rFonts w:asciiTheme="minorHAnsi" w:hAnsiTheme="minorHAnsi"/>
                <w:sz w:val="16"/>
              </w:rPr>
            </w:pPr>
            <w:r w:rsidRPr="00535E30">
              <w:rPr>
                <w:rFonts w:asciiTheme="minorHAnsi" w:hAnsiTheme="minorHAnsi"/>
                <w:sz w:val="16"/>
              </w:rPr>
              <w:t>Director Centro de Recursos Informáticos y Educativos</w:t>
            </w:r>
          </w:p>
          <w:p w:rsidR="001418FB" w:rsidRPr="00535E30" w:rsidRDefault="001418FB" w:rsidP="00EB79AD">
            <w:pPr>
              <w:spacing w:after="0" w:line="276" w:lineRule="auto"/>
              <w:rPr>
                <w:rFonts w:asciiTheme="minorHAnsi" w:hAnsiTheme="minorHAnsi"/>
                <w:sz w:val="16"/>
              </w:rPr>
            </w:pPr>
          </w:p>
          <w:p w:rsidR="001418FB" w:rsidRPr="00535E30" w:rsidRDefault="001418FB" w:rsidP="00EB79AD">
            <w:pPr>
              <w:spacing w:after="0" w:line="276" w:lineRule="auto"/>
              <w:rPr>
                <w:rFonts w:asciiTheme="minorHAnsi" w:hAnsiTheme="minorHAnsi"/>
                <w:sz w:val="16"/>
                <w:u w:val="single"/>
              </w:rPr>
            </w:pPr>
            <w:r w:rsidRPr="00535E30">
              <w:rPr>
                <w:rFonts w:asciiTheme="minorHAnsi" w:hAnsiTheme="minorHAnsi"/>
                <w:sz w:val="16"/>
                <w:u w:val="single"/>
              </w:rPr>
              <w:t>Clemencia González Gutiérrez</w:t>
            </w:r>
          </w:p>
          <w:p w:rsidR="001418FB" w:rsidRPr="00535E30" w:rsidRDefault="001418FB" w:rsidP="00EB79AD">
            <w:pPr>
              <w:spacing w:after="0" w:line="276" w:lineRule="auto"/>
              <w:rPr>
                <w:rFonts w:asciiTheme="minorHAnsi" w:hAnsiTheme="minorHAnsi"/>
                <w:sz w:val="16"/>
              </w:rPr>
            </w:pPr>
            <w:r w:rsidRPr="00535E30">
              <w:rPr>
                <w:rFonts w:asciiTheme="minorHAnsi" w:hAnsiTheme="minorHAnsi"/>
                <w:sz w:val="16"/>
              </w:rPr>
              <w:t>Instituto de Lenguas Extranjeras</w:t>
            </w:r>
          </w:p>
          <w:p w:rsidR="001418FB" w:rsidRPr="00535E30" w:rsidRDefault="001418FB" w:rsidP="00EB79AD">
            <w:pPr>
              <w:spacing w:after="0" w:line="276" w:lineRule="auto"/>
              <w:rPr>
                <w:rFonts w:asciiTheme="minorHAnsi" w:hAnsiTheme="minorHAnsi"/>
                <w:sz w:val="16"/>
              </w:rPr>
            </w:pPr>
          </w:p>
          <w:p w:rsidR="001418FB" w:rsidRPr="00535E30" w:rsidRDefault="001418FB" w:rsidP="00EB79AD">
            <w:pPr>
              <w:spacing w:after="0" w:line="276" w:lineRule="auto"/>
              <w:rPr>
                <w:rFonts w:asciiTheme="minorHAnsi" w:hAnsiTheme="minorHAnsi"/>
                <w:sz w:val="16"/>
                <w:u w:val="single"/>
              </w:rPr>
            </w:pPr>
            <w:r w:rsidRPr="00535E30">
              <w:rPr>
                <w:rFonts w:asciiTheme="minorHAnsi" w:hAnsiTheme="minorHAnsi"/>
                <w:sz w:val="16"/>
                <w:u w:val="single"/>
              </w:rPr>
              <w:t>Jorge Hugo García Sierra</w:t>
            </w:r>
          </w:p>
          <w:p w:rsidR="001418FB" w:rsidRPr="00535E30" w:rsidRDefault="001418FB" w:rsidP="00EB79AD">
            <w:pPr>
              <w:spacing w:after="0" w:line="276" w:lineRule="auto"/>
              <w:rPr>
                <w:rFonts w:asciiTheme="minorHAnsi" w:hAnsiTheme="minorHAnsi"/>
                <w:sz w:val="16"/>
              </w:rPr>
            </w:pPr>
            <w:r w:rsidRPr="00535E30">
              <w:rPr>
                <w:rFonts w:asciiTheme="minorHAnsi" w:hAnsiTheme="minorHAnsi"/>
                <w:sz w:val="16"/>
              </w:rPr>
              <w:t>Director Jardín Botánico</w:t>
            </w:r>
          </w:p>
          <w:p w:rsidR="001418FB" w:rsidRPr="00535E30" w:rsidRDefault="001418FB" w:rsidP="00EB79AD">
            <w:pPr>
              <w:spacing w:after="0" w:line="276" w:lineRule="auto"/>
              <w:rPr>
                <w:rFonts w:asciiTheme="minorHAnsi" w:hAnsiTheme="minorHAnsi"/>
                <w:sz w:val="16"/>
              </w:rPr>
            </w:pPr>
          </w:p>
          <w:p w:rsidR="001418FB" w:rsidRPr="00535E30" w:rsidRDefault="001418FB" w:rsidP="00EB79AD">
            <w:pPr>
              <w:spacing w:after="0" w:line="276" w:lineRule="auto"/>
              <w:rPr>
                <w:rFonts w:asciiTheme="minorHAnsi" w:hAnsiTheme="minorHAnsi"/>
                <w:sz w:val="16"/>
                <w:u w:val="single"/>
              </w:rPr>
            </w:pPr>
            <w:r w:rsidRPr="00535E30">
              <w:rPr>
                <w:rFonts w:asciiTheme="minorHAnsi" w:hAnsiTheme="minorHAnsi"/>
                <w:sz w:val="16"/>
                <w:u w:val="single"/>
              </w:rPr>
              <w:t>José Darío Gutiérrez Tabares</w:t>
            </w:r>
          </w:p>
          <w:p w:rsidR="001418FB" w:rsidRPr="00535E30" w:rsidRDefault="001418FB" w:rsidP="00EB79AD">
            <w:pPr>
              <w:spacing w:after="0" w:line="276" w:lineRule="auto"/>
              <w:rPr>
                <w:rFonts w:asciiTheme="minorHAnsi" w:hAnsiTheme="minorHAnsi"/>
                <w:sz w:val="16"/>
              </w:rPr>
            </w:pPr>
            <w:r w:rsidRPr="00535E30">
              <w:rPr>
                <w:rFonts w:asciiTheme="minorHAnsi" w:hAnsiTheme="minorHAnsi"/>
                <w:sz w:val="16"/>
              </w:rPr>
              <w:t>Director Planetario</w:t>
            </w:r>
          </w:p>
          <w:p w:rsidR="001418FB" w:rsidRPr="00535E30" w:rsidRDefault="001418FB" w:rsidP="00EB79AD">
            <w:pPr>
              <w:spacing w:after="0" w:line="276" w:lineRule="auto"/>
              <w:rPr>
                <w:rFonts w:asciiTheme="minorHAnsi" w:hAnsiTheme="minorHAnsi"/>
                <w:sz w:val="16"/>
              </w:rPr>
            </w:pPr>
          </w:p>
          <w:p w:rsidR="001418FB" w:rsidRPr="00535E30" w:rsidRDefault="001418FB" w:rsidP="00EB79AD">
            <w:pPr>
              <w:spacing w:after="0" w:line="276" w:lineRule="auto"/>
              <w:rPr>
                <w:rFonts w:asciiTheme="minorHAnsi" w:hAnsiTheme="minorHAnsi"/>
                <w:sz w:val="16"/>
                <w:u w:val="single"/>
              </w:rPr>
            </w:pPr>
            <w:r w:rsidRPr="00535E30">
              <w:rPr>
                <w:rFonts w:asciiTheme="minorHAnsi" w:hAnsiTheme="minorHAnsi"/>
                <w:sz w:val="16"/>
                <w:u w:val="single"/>
              </w:rPr>
              <w:t>Jorge Augusto Montoya Arango</w:t>
            </w:r>
          </w:p>
          <w:p w:rsidR="001418FB" w:rsidRPr="00535E30" w:rsidRDefault="001418FB" w:rsidP="00EB79AD">
            <w:pPr>
              <w:spacing w:after="0" w:line="276" w:lineRule="auto"/>
              <w:rPr>
                <w:rFonts w:asciiTheme="minorHAnsi" w:hAnsiTheme="minorHAnsi"/>
                <w:sz w:val="16"/>
              </w:rPr>
            </w:pPr>
            <w:r w:rsidRPr="00535E30">
              <w:rPr>
                <w:rFonts w:asciiTheme="minorHAnsi" w:hAnsiTheme="minorHAnsi"/>
                <w:sz w:val="16"/>
              </w:rPr>
              <w:t>Director Centro Regional de Producción más Limpia</w:t>
            </w:r>
          </w:p>
          <w:p w:rsidR="001418FB" w:rsidRPr="00535E30" w:rsidRDefault="001418FB" w:rsidP="00EB79AD">
            <w:pPr>
              <w:spacing w:after="0" w:line="276" w:lineRule="auto"/>
              <w:rPr>
                <w:rFonts w:asciiTheme="minorHAnsi" w:hAnsiTheme="minorHAnsi"/>
                <w:sz w:val="16"/>
              </w:rPr>
            </w:pPr>
          </w:p>
          <w:p w:rsidR="001418FB" w:rsidRPr="00535E30" w:rsidRDefault="001418FB" w:rsidP="00EB79AD">
            <w:pPr>
              <w:spacing w:after="0" w:line="276" w:lineRule="auto"/>
              <w:rPr>
                <w:rFonts w:asciiTheme="minorHAnsi" w:hAnsiTheme="minorHAnsi"/>
                <w:sz w:val="16"/>
                <w:u w:val="single"/>
              </w:rPr>
            </w:pPr>
            <w:r w:rsidRPr="00535E30">
              <w:rPr>
                <w:rFonts w:asciiTheme="minorHAnsi" w:hAnsiTheme="minorHAnsi"/>
                <w:sz w:val="16"/>
                <w:u w:val="single"/>
              </w:rPr>
              <w:t>Alexander Cadavid Giraldo</w:t>
            </w:r>
          </w:p>
          <w:p w:rsidR="001418FB" w:rsidRPr="00535E30" w:rsidRDefault="001418FB" w:rsidP="00EB79AD">
            <w:pPr>
              <w:spacing w:after="0" w:line="276" w:lineRule="auto"/>
              <w:rPr>
                <w:rFonts w:asciiTheme="minorHAnsi" w:hAnsiTheme="minorHAnsi"/>
                <w:sz w:val="16"/>
              </w:rPr>
            </w:pPr>
            <w:r w:rsidRPr="00535E30">
              <w:rPr>
                <w:rFonts w:asciiTheme="minorHAnsi" w:hAnsiTheme="minorHAnsi"/>
                <w:sz w:val="16"/>
              </w:rPr>
              <w:t xml:space="preserve">Director </w:t>
            </w:r>
            <w:proofErr w:type="spellStart"/>
            <w:r w:rsidRPr="00535E30">
              <w:rPr>
                <w:rFonts w:asciiTheme="minorHAnsi" w:hAnsiTheme="minorHAnsi"/>
                <w:sz w:val="16"/>
              </w:rPr>
              <w:t>Parquesoft</w:t>
            </w:r>
            <w:proofErr w:type="spellEnd"/>
          </w:p>
          <w:p w:rsidR="001418FB" w:rsidRPr="00535E30" w:rsidRDefault="001418FB" w:rsidP="00EB79AD">
            <w:pPr>
              <w:spacing w:after="0" w:line="276" w:lineRule="auto"/>
              <w:rPr>
                <w:rFonts w:asciiTheme="minorHAnsi" w:hAnsiTheme="minorHAnsi"/>
                <w:sz w:val="16"/>
              </w:rPr>
            </w:pPr>
          </w:p>
          <w:p w:rsidR="001418FB" w:rsidRPr="00535E30" w:rsidRDefault="001418FB" w:rsidP="00EB79AD">
            <w:pPr>
              <w:spacing w:after="0" w:line="276" w:lineRule="auto"/>
              <w:rPr>
                <w:rFonts w:asciiTheme="minorHAnsi" w:hAnsiTheme="minorHAnsi"/>
                <w:sz w:val="16"/>
                <w:u w:val="single"/>
              </w:rPr>
            </w:pPr>
            <w:r w:rsidRPr="00535E30">
              <w:rPr>
                <w:rFonts w:asciiTheme="minorHAnsi" w:hAnsiTheme="minorHAnsi"/>
                <w:sz w:val="16"/>
                <w:u w:val="single"/>
              </w:rPr>
              <w:t>Carlos Alberto Guevara Gallego</w:t>
            </w:r>
          </w:p>
          <w:p w:rsidR="001418FB" w:rsidRPr="00535E30" w:rsidRDefault="001418FB" w:rsidP="00EB79AD">
            <w:pPr>
              <w:spacing w:after="0" w:line="276" w:lineRule="auto"/>
              <w:rPr>
                <w:rFonts w:asciiTheme="minorHAnsi" w:hAnsiTheme="minorHAnsi"/>
                <w:sz w:val="16"/>
              </w:rPr>
            </w:pPr>
            <w:r w:rsidRPr="00535E30">
              <w:rPr>
                <w:rFonts w:asciiTheme="minorHAnsi" w:hAnsiTheme="minorHAnsi"/>
                <w:sz w:val="16"/>
              </w:rPr>
              <w:t>Director Ejecutivo Incubadora de Empresas de Base Tecnológica</w:t>
            </w:r>
          </w:p>
          <w:p w:rsidR="001418FB" w:rsidRPr="00535E30" w:rsidRDefault="001418FB" w:rsidP="00EB79AD">
            <w:pPr>
              <w:spacing w:after="0" w:line="276" w:lineRule="auto"/>
              <w:rPr>
                <w:rFonts w:asciiTheme="minorHAnsi" w:hAnsiTheme="minorHAnsi"/>
                <w:sz w:val="16"/>
              </w:rPr>
            </w:pPr>
          </w:p>
          <w:p w:rsidR="001418FB" w:rsidRPr="00535E30" w:rsidRDefault="001418FB" w:rsidP="00EB79AD">
            <w:pPr>
              <w:spacing w:after="0" w:line="276" w:lineRule="auto"/>
              <w:rPr>
                <w:rFonts w:asciiTheme="minorHAnsi" w:hAnsiTheme="minorHAnsi"/>
                <w:sz w:val="16"/>
                <w:u w:val="single"/>
              </w:rPr>
            </w:pPr>
            <w:r w:rsidRPr="00535E30">
              <w:rPr>
                <w:rFonts w:asciiTheme="minorHAnsi" w:hAnsiTheme="minorHAnsi"/>
                <w:sz w:val="16"/>
                <w:u w:val="single"/>
              </w:rPr>
              <w:t>Jorge Alberto Lozano Valencia</w:t>
            </w:r>
          </w:p>
          <w:p w:rsidR="001418FB" w:rsidRPr="00535E30" w:rsidRDefault="001418FB" w:rsidP="00EB79AD">
            <w:pPr>
              <w:spacing w:after="0" w:line="276" w:lineRule="auto"/>
              <w:rPr>
                <w:rFonts w:asciiTheme="minorHAnsi" w:hAnsiTheme="minorHAnsi"/>
                <w:sz w:val="16"/>
              </w:rPr>
            </w:pPr>
            <w:r w:rsidRPr="00535E30">
              <w:rPr>
                <w:rFonts w:asciiTheme="minorHAnsi" w:hAnsiTheme="minorHAnsi"/>
                <w:sz w:val="16"/>
              </w:rPr>
              <w:t>Director Unidad Virtual</w:t>
            </w:r>
          </w:p>
          <w:p w:rsidR="001418FB" w:rsidRPr="00535E30" w:rsidRDefault="001418FB" w:rsidP="00EB79AD">
            <w:pPr>
              <w:spacing w:after="0" w:line="276" w:lineRule="auto"/>
              <w:rPr>
                <w:rFonts w:asciiTheme="minorHAnsi" w:hAnsiTheme="minorHAnsi"/>
                <w:sz w:val="16"/>
              </w:rPr>
            </w:pPr>
          </w:p>
          <w:p w:rsidR="001418FB" w:rsidRPr="00535E30" w:rsidRDefault="001418FB" w:rsidP="00EB79AD">
            <w:pPr>
              <w:spacing w:after="0" w:line="276" w:lineRule="auto"/>
              <w:rPr>
                <w:rFonts w:asciiTheme="minorHAnsi" w:hAnsiTheme="minorHAnsi"/>
                <w:sz w:val="16"/>
                <w:u w:val="single"/>
              </w:rPr>
            </w:pPr>
            <w:r>
              <w:rPr>
                <w:rFonts w:asciiTheme="minorHAnsi" w:hAnsiTheme="minorHAnsi"/>
                <w:sz w:val="16"/>
                <w:u w:val="single"/>
              </w:rPr>
              <w:t>Diego Mauricio Arias Arango</w:t>
            </w:r>
          </w:p>
          <w:p w:rsidR="001418FB" w:rsidRPr="00535E30" w:rsidRDefault="001418FB" w:rsidP="00EB79AD">
            <w:pPr>
              <w:spacing w:after="0" w:line="276" w:lineRule="auto"/>
              <w:rPr>
                <w:rFonts w:asciiTheme="minorHAnsi" w:hAnsiTheme="minorHAnsi"/>
                <w:sz w:val="16"/>
              </w:rPr>
            </w:pPr>
            <w:r w:rsidRPr="00535E30">
              <w:rPr>
                <w:rFonts w:asciiTheme="minorHAnsi" w:hAnsiTheme="minorHAnsi"/>
                <w:sz w:val="16"/>
              </w:rPr>
              <w:t>Director Ejecutivo Red de Universidades Públicas del Eje Cafetero – Alma Mater</w:t>
            </w:r>
          </w:p>
          <w:p w:rsidR="001418FB" w:rsidRPr="00535E30" w:rsidRDefault="001418FB" w:rsidP="00EB79AD">
            <w:pPr>
              <w:spacing w:after="0" w:line="276" w:lineRule="auto"/>
              <w:rPr>
                <w:rFonts w:asciiTheme="minorHAnsi" w:hAnsiTheme="minorHAnsi"/>
                <w:sz w:val="16"/>
              </w:rPr>
            </w:pPr>
          </w:p>
          <w:p w:rsidR="001418FB" w:rsidRPr="00535E30" w:rsidRDefault="001418FB" w:rsidP="00EB79AD">
            <w:pPr>
              <w:spacing w:after="0" w:line="276" w:lineRule="auto"/>
              <w:rPr>
                <w:rFonts w:asciiTheme="minorHAnsi" w:hAnsiTheme="minorHAnsi"/>
                <w:sz w:val="16"/>
                <w:u w:val="single"/>
              </w:rPr>
            </w:pPr>
            <w:r w:rsidRPr="00535E30">
              <w:rPr>
                <w:rFonts w:asciiTheme="minorHAnsi" w:hAnsiTheme="minorHAnsi"/>
                <w:sz w:val="16"/>
                <w:u w:val="single"/>
              </w:rPr>
              <w:t>Aida Milena García Arenas</w:t>
            </w:r>
          </w:p>
          <w:p w:rsidR="001418FB" w:rsidRPr="00535E30" w:rsidRDefault="001418FB" w:rsidP="00EB79AD">
            <w:pPr>
              <w:spacing w:after="0" w:line="276" w:lineRule="auto"/>
              <w:rPr>
                <w:rFonts w:asciiTheme="minorHAnsi" w:hAnsiTheme="minorHAnsi"/>
                <w:sz w:val="16"/>
              </w:rPr>
            </w:pPr>
            <w:r w:rsidRPr="00535E30">
              <w:rPr>
                <w:rFonts w:asciiTheme="minorHAnsi" w:hAnsiTheme="minorHAnsi"/>
                <w:sz w:val="16"/>
              </w:rPr>
              <w:t>Directora Instituto de Investigaciones Ambientales</w:t>
            </w:r>
          </w:p>
        </w:tc>
      </w:tr>
    </w:tbl>
    <w:p w:rsidR="00CA579D" w:rsidRDefault="00CA579D" w:rsidP="001418FB">
      <w:pPr>
        <w:spacing w:line="276" w:lineRule="auto"/>
        <w:jc w:val="center"/>
        <w:rPr>
          <w:rFonts w:asciiTheme="minorHAnsi" w:hAnsiTheme="minorHAnsi"/>
        </w:rPr>
      </w:pPr>
    </w:p>
    <w:p w:rsidR="00356F9E" w:rsidRPr="00535E30" w:rsidRDefault="00CA579D" w:rsidP="005F39F9">
      <w:pPr>
        <w:spacing w:line="276" w:lineRule="auto"/>
        <w:jc w:val="center"/>
        <w:rPr>
          <w:rFonts w:asciiTheme="minorHAnsi" w:hAnsiTheme="minorHAnsi"/>
          <w:b/>
          <w:sz w:val="32"/>
        </w:rPr>
      </w:pPr>
      <w:r>
        <w:rPr>
          <w:rFonts w:asciiTheme="minorHAnsi" w:hAnsiTheme="minorHAnsi"/>
        </w:rPr>
        <w:br w:type="page"/>
      </w:r>
      <w:r w:rsidR="00D37CD5" w:rsidRPr="00535E30">
        <w:rPr>
          <w:rFonts w:asciiTheme="minorHAnsi" w:hAnsiTheme="minorHAnsi"/>
          <w:b/>
          <w:sz w:val="32"/>
        </w:rPr>
        <w:lastRenderedPageBreak/>
        <w:t xml:space="preserve"> </w:t>
      </w:r>
      <w:r w:rsidR="00F632DE" w:rsidRPr="00535E30">
        <w:rPr>
          <w:rFonts w:asciiTheme="minorHAnsi" w:hAnsiTheme="minorHAnsi"/>
          <w:b/>
          <w:sz w:val="32"/>
        </w:rPr>
        <w:t xml:space="preserve">TABLA DE </w:t>
      </w:r>
      <w:r w:rsidR="000C467D" w:rsidRPr="00535E30">
        <w:rPr>
          <w:rFonts w:asciiTheme="minorHAnsi" w:hAnsiTheme="minorHAnsi"/>
          <w:b/>
          <w:sz w:val="32"/>
        </w:rPr>
        <w:t>CONTENIDO</w:t>
      </w:r>
      <w:bookmarkEnd w:id="11"/>
      <w:bookmarkEnd w:id="12"/>
      <w:bookmarkEnd w:id="13"/>
      <w:bookmarkEnd w:id="14"/>
    </w:p>
    <w:p w:rsidR="00F632DE" w:rsidRDefault="00F632DE" w:rsidP="00F80905">
      <w:pPr>
        <w:spacing w:line="276" w:lineRule="auto"/>
        <w:jc w:val="center"/>
        <w:rPr>
          <w:rFonts w:asciiTheme="minorHAnsi" w:hAnsiTheme="minorHAnsi"/>
          <w:b/>
          <w:sz w:val="32"/>
        </w:rPr>
      </w:pPr>
    </w:p>
    <w:p w:rsidR="00535E30" w:rsidRPr="00535E30" w:rsidRDefault="00535E30" w:rsidP="00F80905">
      <w:pPr>
        <w:spacing w:line="276" w:lineRule="auto"/>
        <w:jc w:val="center"/>
        <w:rPr>
          <w:rFonts w:asciiTheme="minorHAnsi" w:hAnsiTheme="minorHAnsi"/>
          <w:b/>
          <w:sz w:val="32"/>
        </w:rPr>
      </w:pPr>
    </w:p>
    <w:sdt>
      <w:sdtPr>
        <w:rPr>
          <w:b/>
        </w:rPr>
        <w:id w:val="62865479"/>
        <w:docPartObj>
          <w:docPartGallery w:val="Table of Contents"/>
          <w:docPartUnique/>
        </w:docPartObj>
      </w:sdtPr>
      <w:sdtEndPr>
        <w:rPr>
          <w:b w:val="0"/>
        </w:rPr>
      </w:sdtEndPr>
      <w:sdtContent>
        <w:p w:rsidR="00535E30" w:rsidRPr="00794A82" w:rsidRDefault="00535E30" w:rsidP="00F80905">
          <w:pPr>
            <w:spacing w:line="276" w:lineRule="auto"/>
            <w:jc w:val="right"/>
            <w:rPr>
              <w:b/>
            </w:rPr>
          </w:pPr>
          <w:r w:rsidRPr="00794A82">
            <w:rPr>
              <w:b/>
            </w:rPr>
            <w:t>Pág.</w:t>
          </w:r>
        </w:p>
        <w:p w:rsidR="00535E30" w:rsidRDefault="00535E30" w:rsidP="00F80905">
          <w:pPr>
            <w:spacing w:line="276" w:lineRule="auto"/>
            <w:jc w:val="right"/>
          </w:pPr>
        </w:p>
        <w:p w:rsidR="000D5224" w:rsidRDefault="00480CE9">
          <w:pPr>
            <w:pStyle w:val="TDC1"/>
            <w:tabs>
              <w:tab w:val="right" w:leader="dot" w:pos="8828"/>
            </w:tabs>
            <w:rPr>
              <w:rFonts w:eastAsiaTheme="minorEastAsia" w:cstheme="minorBidi"/>
              <w:b w:val="0"/>
              <w:bCs w:val="0"/>
              <w:i w:val="0"/>
              <w:iCs w:val="0"/>
              <w:noProof/>
              <w:sz w:val="22"/>
              <w:szCs w:val="22"/>
              <w:lang w:val="es-CO" w:eastAsia="es-CO"/>
            </w:rPr>
          </w:pPr>
          <w:r>
            <w:fldChar w:fldCharType="begin"/>
          </w:r>
          <w:r w:rsidR="00535E30">
            <w:instrText xml:space="preserve"> TOC \o "1-3" \h \z \u </w:instrText>
          </w:r>
          <w:r>
            <w:fldChar w:fldCharType="separate"/>
          </w:r>
          <w:hyperlink w:anchor="_Toc354671304" w:history="1">
            <w:r w:rsidR="000D5224" w:rsidRPr="008440F7">
              <w:rPr>
                <w:rStyle w:val="Hipervnculo"/>
                <w:noProof/>
              </w:rPr>
              <w:t>INTRODUCCIÓN</w:t>
            </w:r>
            <w:r w:rsidR="000D5224">
              <w:rPr>
                <w:noProof/>
                <w:webHidden/>
              </w:rPr>
              <w:tab/>
            </w:r>
            <w:r w:rsidR="000D5224">
              <w:rPr>
                <w:noProof/>
                <w:webHidden/>
              </w:rPr>
              <w:fldChar w:fldCharType="begin"/>
            </w:r>
            <w:r w:rsidR="000D5224">
              <w:rPr>
                <w:noProof/>
                <w:webHidden/>
              </w:rPr>
              <w:instrText xml:space="preserve"> PAGEREF _Toc354671304 \h </w:instrText>
            </w:r>
            <w:r w:rsidR="000D5224">
              <w:rPr>
                <w:noProof/>
                <w:webHidden/>
              </w:rPr>
            </w:r>
            <w:r w:rsidR="000D5224">
              <w:rPr>
                <w:noProof/>
                <w:webHidden/>
              </w:rPr>
              <w:fldChar w:fldCharType="separate"/>
            </w:r>
            <w:r w:rsidR="00020665">
              <w:rPr>
                <w:noProof/>
                <w:webHidden/>
              </w:rPr>
              <w:t>1</w:t>
            </w:r>
            <w:r w:rsidR="000D5224">
              <w:rPr>
                <w:noProof/>
                <w:webHidden/>
              </w:rPr>
              <w:fldChar w:fldCharType="end"/>
            </w:r>
          </w:hyperlink>
        </w:p>
        <w:p w:rsidR="000D5224" w:rsidRDefault="000E4B39">
          <w:pPr>
            <w:pStyle w:val="TDC1"/>
            <w:tabs>
              <w:tab w:val="left" w:pos="440"/>
              <w:tab w:val="right" w:leader="dot" w:pos="8828"/>
            </w:tabs>
            <w:rPr>
              <w:rFonts w:eastAsiaTheme="minorEastAsia" w:cstheme="minorBidi"/>
              <w:b w:val="0"/>
              <w:bCs w:val="0"/>
              <w:i w:val="0"/>
              <w:iCs w:val="0"/>
              <w:noProof/>
              <w:sz w:val="22"/>
              <w:szCs w:val="22"/>
              <w:lang w:val="es-CO" w:eastAsia="es-CO"/>
            </w:rPr>
          </w:pPr>
          <w:hyperlink w:anchor="_Toc354671305" w:history="1">
            <w:r w:rsidR="000D5224" w:rsidRPr="008440F7">
              <w:rPr>
                <w:rStyle w:val="Hipervnculo"/>
                <w:noProof/>
                <w:lang w:bidi="en-US"/>
              </w:rPr>
              <w:t>1.</w:t>
            </w:r>
            <w:r w:rsidR="000D5224">
              <w:rPr>
                <w:rFonts w:eastAsiaTheme="minorEastAsia" w:cstheme="minorBidi"/>
                <w:b w:val="0"/>
                <w:bCs w:val="0"/>
                <w:i w:val="0"/>
                <w:iCs w:val="0"/>
                <w:noProof/>
                <w:sz w:val="22"/>
                <w:szCs w:val="22"/>
                <w:lang w:val="es-CO" w:eastAsia="es-CO"/>
              </w:rPr>
              <w:tab/>
            </w:r>
            <w:r w:rsidR="000D5224" w:rsidRPr="008440F7">
              <w:rPr>
                <w:rStyle w:val="Hipervnculo"/>
                <w:noProof/>
                <w:lang w:bidi="en-US"/>
              </w:rPr>
              <w:t>MARCO INSTITUCIONAL</w:t>
            </w:r>
            <w:r w:rsidR="000D5224">
              <w:rPr>
                <w:noProof/>
                <w:webHidden/>
              </w:rPr>
              <w:tab/>
            </w:r>
            <w:r w:rsidR="000D5224">
              <w:rPr>
                <w:noProof/>
                <w:webHidden/>
              </w:rPr>
              <w:fldChar w:fldCharType="begin"/>
            </w:r>
            <w:r w:rsidR="000D5224">
              <w:rPr>
                <w:noProof/>
                <w:webHidden/>
              </w:rPr>
              <w:instrText xml:space="preserve"> PAGEREF _Toc354671305 \h </w:instrText>
            </w:r>
            <w:r w:rsidR="000D5224">
              <w:rPr>
                <w:noProof/>
                <w:webHidden/>
              </w:rPr>
            </w:r>
            <w:r w:rsidR="000D5224">
              <w:rPr>
                <w:noProof/>
                <w:webHidden/>
              </w:rPr>
              <w:fldChar w:fldCharType="separate"/>
            </w:r>
            <w:r w:rsidR="00020665">
              <w:rPr>
                <w:noProof/>
                <w:webHidden/>
              </w:rPr>
              <w:t>3</w:t>
            </w:r>
            <w:r w:rsidR="000D5224">
              <w:rPr>
                <w:noProof/>
                <w:webHidden/>
              </w:rPr>
              <w:fldChar w:fldCharType="end"/>
            </w:r>
          </w:hyperlink>
        </w:p>
        <w:p w:rsidR="000D5224" w:rsidRDefault="000E4B39">
          <w:pPr>
            <w:pStyle w:val="TDC2"/>
            <w:tabs>
              <w:tab w:val="left" w:pos="880"/>
              <w:tab w:val="right" w:leader="dot" w:pos="8828"/>
            </w:tabs>
            <w:rPr>
              <w:rFonts w:eastAsiaTheme="minorEastAsia" w:cstheme="minorBidi"/>
              <w:b w:val="0"/>
              <w:bCs w:val="0"/>
              <w:noProof/>
              <w:lang w:val="es-CO" w:eastAsia="es-CO"/>
            </w:rPr>
          </w:pPr>
          <w:hyperlink w:anchor="_Toc354671306" w:history="1">
            <w:r w:rsidR="000D5224" w:rsidRPr="008440F7">
              <w:rPr>
                <w:rStyle w:val="Hipervnculo"/>
                <w:noProof/>
                <w:lang w:bidi="en-US"/>
              </w:rPr>
              <w:t>1.1.</w:t>
            </w:r>
            <w:r w:rsidR="000D5224">
              <w:rPr>
                <w:rFonts w:eastAsiaTheme="minorEastAsia" w:cstheme="minorBidi"/>
                <w:b w:val="0"/>
                <w:bCs w:val="0"/>
                <w:noProof/>
                <w:lang w:val="es-CO" w:eastAsia="es-CO"/>
              </w:rPr>
              <w:tab/>
            </w:r>
            <w:r w:rsidR="000D5224" w:rsidRPr="008440F7">
              <w:rPr>
                <w:rStyle w:val="Hipervnculo"/>
                <w:noProof/>
                <w:lang w:bidi="en-US"/>
              </w:rPr>
              <w:t>MISIÓN</w:t>
            </w:r>
            <w:r w:rsidR="000D5224">
              <w:rPr>
                <w:noProof/>
                <w:webHidden/>
              </w:rPr>
              <w:tab/>
            </w:r>
            <w:r w:rsidR="000D5224">
              <w:rPr>
                <w:noProof/>
                <w:webHidden/>
              </w:rPr>
              <w:fldChar w:fldCharType="begin"/>
            </w:r>
            <w:r w:rsidR="000D5224">
              <w:rPr>
                <w:noProof/>
                <w:webHidden/>
              </w:rPr>
              <w:instrText xml:space="preserve"> PAGEREF _Toc354671306 \h </w:instrText>
            </w:r>
            <w:r w:rsidR="000D5224">
              <w:rPr>
                <w:noProof/>
                <w:webHidden/>
              </w:rPr>
            </w:r>
            <w:r w:rsidR="000D5224">
              <w:rPr>
                <w:noProof/>
                <w:webHidden/>
              </w:rPr>
              <w:fldChar w:fldCharType="separate"/>
            </w:r>
            <w:r w:rsidR="00020665">
              <w:rPr>
                <w:noProof/>
                <w:webHidden/>
              </w:rPr>
              <w:t>3</w:t>
            </w:r>
            <w:r w:rsidR="000D5224">
              <w:rPr>
                <w:noProof/>
                <w:webHidden/>
              </w:rPr>
              <w:fldChar w:fldCharType="end"/>
            </w:r>
          </w:hyperlink>
        </w:p>
        <w:p w:rsidR="000D5224" w:rsidRDefault="000E4B39">
          <w:pPr>
            <w:pStyle w:val="TDC2"/>
            <w:tabs>
              <w:tab w:val="left" w:pos="880"/>
              <w:tab w:val="right" w:leader="dot" w:pos="8828"/>
            </w:tabs>
            <w:rPr>
              <w:rFonts w:eastAsiaTheme="minorEastAsia" w:cstheme="minorBidi"/>
              <w:b w:val="0"/>
              <w:bCs w:val="0"/>
              <w:noProof/>
              <w:lang w:val="es-CO" w:eastAsia="es-CO"/>
            </w:rPr>
          </w:pPr>
          <w:hyperlink w:anchor="_Toc354671307" w:history="1">
            <w:r w:rsidR="000D5224" w:rsidRPr="008440F7">
              <w:rPr>
                <w:rStyle w:val="Hipervnculo"/>
                <w:noProof/>
                <w:lang w:bidi="en-US"/>
              </w:rPr>
              <w:t>1.2.</w:t>
            </w:r>
            <w:r w:rsidR="000D5224">
              <w:rPr>
                <w:rFonts w:eastAsiaTheme="minorEastAsia" w:cstheme="minorBidi"/>
                <w:b w:val="0"/>
                <w:bCs w:val="0"/>
                <w:noProof/>
                <w:lang w:val="es-CO" w:eastAsia="es-CO"/>
              </w:rPr>
              <w:tab/>
            </w:r>
            <w:r w:rsidR="000D5224" w:rsidRPr="008440F7">
              <w:rPr>
                <w:rStyle w:val="Hipervnculo"/>
                <w:noProof/>
                <w:lang w:bidi="en-US"/>
              </w:rPr>
              <w:t>VISIÓN</w:t>
            </w:r>
            <w:r w:rsidR="000D5224">
              <w:rPr>
                <w:noProof/>
                <w:webHidden/>
              </w:rPr>
              <w:tab/>
            </w:r>
            <w:r w:rsidR="000D5224">
              <w:rPr>
                <w:noProof/>
                <w:webHidden/>
              </w:rPr>
              <w:fldChar w:fldCharType="begin"/>
            </w:r>
            <w:r w:rsidR="000D5224">
              <w:rPr>
                <w:noProof/>
                <w:webHidden/>
              </w:rPr>
              <w:instrText xml:space="preserve"> PAGEREF _Toc354671307 \h </w:instrText>
            </w:r>
            <w:r w:rsidR="000D5224">
              <w:rPr>
                <w:noProof/>
                <w:webHidden/>
              </w:rPr>
            </w:r>
            <w:r w:rsidR="000D5224">
              <w:rPr>
                <w:noProof/>
                <w:webHidden/>
              </w:rPr>
              <w:fldChar w:fldCharType="separate"/>
            </w:r>
            <w:r w:rsidR="00020665">
              <w:rPr>
                <w:noProof/>
                <w:webHidden/>
              </w:rPr>
              <w:t>3</w:t>
            </w:r>
            <w:r w:rsidR="000D5224">
              <w:rPr>
                <w:noProof/>
                <w:webHidden/>
              </w:rPr>
              <w:fldChar w:fldCharType="end"/>
            </w:r>
          </w:hyperlink>
        </w:p>
        <w:p w:rsidR="000D5224" w:rsidRDefault="000E4B39">
          <w:pPr>
            <w:pStyle w:val="TDC2"/>
            <w:tabs>
              <w:tab w:val="left" w:pos="880"/>
              <w:tab w:val="right" w:leader="dot" w:pos="8828"/>
            </w:tabs>
            <w:rPr>
              <w:rFonts w:eastAsiaTheme="minorEastAsia" w:cstheme="minorBidi"/>
              <w:b w:val="0"/>
              <w:bCs w:val="0"/>
              <w:noProof/>
              <w:lang w:val="es-CO" w:eastAsia="es-CO"/>
            </w:rPr>
          </w:pPr>
          <w:hyperlink w:anchor="_Toc354671308" w:history="1">
            <w:r w:rsidR="000D5224" w:rsidRPr="008440F7">
              <w:rPr>
                <w:rStyle w:val="Hipervnculo"/>
                <w:noProof/>
                <w:lang w:bidi="en-US"/>
              </w:rPr>
              <w:t>1.3.</w:t>
            </w:r>
            <w:r w:rsidR="000D5224">
              <w:rPr>
                <w:rFonts w:eastAsiaTheme="minorEastAsia" w:cstheme="minorBidi"/>
                <w:b w:val="0"/>
                <w:bCs w:val="0"/>
                <w:noProof/>
                <w:lang w:val="es-CO" w:eastAsia="es-CO"/>
              </w:rPr>
              <w:tab/>
            </w:r>
            <w:r w:rsidR="000D5224" w:rsidRPr="008440F7">
              <w:rPr>
                <w:rStyle w:val="Hipervnculo"/>
                <w:noProof/>
                <w:lang w:bidi="en-US"/>
              </w:rPr>
              <w:t>PRINCIPIOS</w:t>
            </w:r>
            <w:r w:rsidR="000D5224">
              <w:rPr>
                <w:noProof/>
                <w:webHidden/>
              </w:rPr>
              <w:tab/>
            </w:r>
            <w:r w:rsidR="000D5224">
              <w:rPr>
                <w:noProof/>
                <w:webHidden/>
              </w:rPr>
              <w:fldChar w:fldCharType="begin"/>
            </w:r>
            <w:r w:rsidR="000D5224">
              <w:rPr>
                <w:noProof/>
                <w:webHidden/>
              </w:rPr>
              <w:instrText xml:space="preserve"> PAGEREF _Toc354671308 \h </w:instrText>
            </w:r>
            <w:r w:rsidR="000D5224">
              <w:rPr>
                <w:noProof/>
                <w:webHidden/>
              </w:rPr>
            </w:r>
            <w:r w:rsidR="000D5224">
              <w:rPr>
                <w:noProof/>
                <w:webHidden/>
              </w:rPr>
              <w:fldChar w:fldCharType="separate"/>
            </w:r>
            <w:r w:rsidR="00020665">
              <w:rPr>
                <w:noProof/>
                <w:webHidden/>
              </w:rPr>
              <w:t>3</w:t>
            </w:r>
            <w:r w:rsidR="000D5224">
              <w:rPr>
                <w:noProof/>
                <w:webHidden/>
              </w:rPr>
              <w:fldChar w:fldCharType="end"/>
            </w:r>
          </w:hyperlink>
        </w:p>
        <w:p w:rsidR="000D5224" w:rsidRDefault="000E4B39">
          <w:pPr>
            <w:pStyle w:val="TDC2"/>
            <w:tabs>
              <w:tab w:val="left" w:pos="880"/>
              <w:tab w:val="right" w:leader="dot" w:pos="8828"/>
            </w:tabs>
            <w:rPr>
              <w:rFonts w:eastAsiaTheme="minorEastAsia" w:cstheme="minorBidi"/>
              <w:b w:val="0"/>
              <w:bCs w:val="0"/>
              <w:noProof/>
              <w:lang w:val="es-CO" w:eastAsia="es-CO"/>
            </w:rPr>
          </w:pPr>
          <w:hyperlink w:anchor="_Toc354671309" w:history="1">
            <w:r w:rsidR="000D5224" w:rsidRPr="008440F7">
              <w:rPr>
                <w:rStyle w:val="Hipervnculo"/>
                <w:noProof/>
                <w:lang w:bidi="en-US"/>
              </w:rPr>
              <w:t>1.4.</w:t>
            </w:r>
            <w:r w:rsidR="000D5224">
              <w:rPr>
                <w:rFonts w:eastAsiaTheme="minorEastAsia" w:cstheme="minorBidi"/>
                <w:b w:val="0"/>
                <w:bCs w:val="0"/>
                <w:noProof/>
                <w:lang w:val="es-CO" w:eastAsia="es-CO"/>
              </w:rPr>
              <w:tab/>
            </w:r>
            <w:r w:rsidR="000D5224" w:rsidRPr="008440F7">
              <w:rPr>
                <w:rStyle w:val="Hipervnculo"/>
                <w:noProof/>
                <w:lang w:bidi="en-US"/>
              </w:rPr>
              <w:t>VALORES INSTITUCIONALES</w:t>
            </w:r>
            <w:r w:rsidR="000D5224">
              <w:rPr>
                <w:noProof/>
                <w:webHidden/>
              </w:rPr>
              <w:tab/>
            </w:r>
            <w:r w:rsidR="000D5224">
              <w:rPr>
                <w:noProof/>
                <w:webHidden/>
              </w:rPr>
              <w:fldChar w:fldCharType="begin"/>
            </w:r>
            <w:r w:rsidR="000D5224">
              <w:rPr>
                <w:noProof/>
                <w:webHidden/>
              </w:rPr>
              <w:instrText xml:space="preserve"> PAGEREF _Toc354671309 \h </w:instrText>
            </w:r>
            <w:r w:rsidR="000D5224">
              <w:rPr>
                <w:noProof/>
                <w:webHidden/>
              </w:rPr>
            </w:r>
            <w:r w:rsidR="000D5224">
              <w:rPr>
                <w:noProof/>
                <w:webHidden/>
              </w:rPr>
              <w:fldChar w:fldCharType="separate"/>
            </w:r>
            <w:r w:rsidR="00020665">
              <w:rPr>
                <w:noProof/>
                <w:webHidden/>
              </w:rPr>
              <w:t>6</w:t>
            </w:r>
            <w:r w:rsidR="000D5224">
              <w:rPr>
                <w:noProof/>
                <w:webHidden/>
              </w:rPr>
              <w:fldChar w:fldCharType="end"/>
            </w:r>
          </w:hyperlink>
        </w:p>
        <w:p w:rsidR="000D5224" w:rsidRDefault="000E4B39">
          <w:pPr>
            <w:pStyle w:val="TDC2"/>
            <w:tabs>
              <w:tab w:val="left" w:pos="880"/>
              <w:tab w:val="right" w:leader="dot" w:pos="8828"/>
            </w:tabs>
            <w:rPr>
              <w:rFonts w:eastAsiaTheme="minorEastAsia" w:cstheme="minorBidi"/>
              <w:b w:val="0"/>
              <w:bCs w:val="0"/>
              <w:noProof/>
              <w:lang w:val="es-CO" w:eastAsia="es-CO"/>
            </w:rPr>
          </w:pPr>
          <w:hyperlink w:anchor="_Toc354671310" w:history="1">
            <w:r w:rsidR="000D5224" w:rsidRPr="008440F7">
              <w:rPr>
                <w:rStyle w:val="Hipervnculo"/>
                <w:noProof/>
                <w:lang w:bidi="en-US"/>
              </w:rPr>
              <w:t>1.5.</w:t>
            </w:r>
            <w:r w:rsidR="000D5224">
              <w:rPr>
                <w:rFonts w:eastAsiaTheme="minorEastAsia" w:cstheme="minorBidi"/>
                <w:b w:val="0"/>
                <w:bCs w:val="0"/>
                <w:noProof/>
                <w:lang w:val="es-CO" w:eastAsia="es-CO"/>
              </w:rPr>
              <w:tab/>
            </w:r>
            <w:r w:rsidR="000D5224" w:rsidRPr="008440F7">
              <w:rPr>
                <w:rStyle w:val="Hipervnculo"/>
                <w:noProof/>
                <w:lang w:bidi="en-US"/>
              </w:rPr>
              <w:t>SÍMBOLOS INSTITUCIONALES</w:t>
            </w:r>
            <w:r w:rsidR="000D5224">
              <w:rPr>
                <w:noProof/>
                <w:webHidden/>
              </w:rPr>
              <w:tab/>
            </w:r>
            <w:r w:rsidR="000D5224">
              <w:rPr>
                <w:noProof/>
                <w:webHidden/>
              </w:rPr>
              <w:fldChar w:fldCharType="begin"/>
            </w:r>
            <w:r w:rsidR="000D5224">
              <w:rPr>
                <w:noProof/>
                <w:webHidden/>
              </w:rPr>
              <w:instrText xml:space="preserve"> PAGEREF _Toc354671310 \h </w:instrText>
            </w:r>
            <w:r w:rsidR="000D5224">
              <w:rPr>
                <w:noProof/>
                <w:webHidden/>
              </w:rPr>
            </w:r>
            <w:r w:rsidR="000D5224">
              <w:rPr>
                <w:noProof/>
                <w:webHidden/>
              </w:rPr>
              <w:fldChar w:fldCharType="separate"/>
            </w:r>
            <w:r w:rsidR="00020665">
              <w:rPr>
                <w:noProof/>
                <w:webHidden/>
              </w:rPr>
              <w:t>7</w:t>
            </w:r>
            <w:r w:rsidR="000D5224">
              <w:rPr>
                <w:noProof/>
                <w:webHidden/>
              </w:rPr>
              <w:fldChar w:fldCharType="end"/>
            </w:r>
          </w:hyperlink>
        </w:p>
        <w:p w:rsidR="000D5224" w:rsidRDefault="000E4B39">
          <w:pPr>
            <w:pStyle w:val="TDC2"/>
            <w:tabs>
              <w:tab w:val="left" w:pos="880"/>
              <w:tab w:val="right" w:leader="dot" w:pos="8828"/>
            </w:tabs>
            <w:rPr>
              <w:rFonts w:eastAsiaTheme="minorEastAsia" w:cstheme="minorBidi"/>
              <w:b w:val="0"/>
              <w:bCs w:val="0"/>
              <w:noProof/>
              <w:lang w:val="es-CO" w:eastAsia="es-CO"/>
            </w:rPr>
          </w:pPr>
          <w:hyperlink w:anchor="_Toc354671311" w:history="1">
            <w:r w:rsidR="000D5224" w:rsidRPr="008440F7">
              <w:rPr>
                <w:rStyle w:val="Hipervnculo"/>
                <w:noProof/>
                <w:lang w:bidi="en-US"/>
              </w:rPr>
              <w:t>1.6.</w:t>
            </w:r>
            <w:r w:rsidR="000D5224">
              <w:rPr>
                <w:rFonts w:eastAsiaTheme="minorEastAsia" w:cstheme="minorBidi"/>
                <w:b w:val="0"/>
                <w:bCs w:val="0"/>
                <w:noProof/>
                <w:lang w:val="es-CO" w:eastAsia="es-CO"/>
              </w:rPr>
              <w:tab/>
            </w:r>
            <w:r w:rsidR="000D5224" w:rsidRPr="008440F7">
              <w:rPr>
                <w:rStyle w:val="Hipervnculo"/>
                <w:noProof/>
                <w:lang w:bidi="en-US"/>
              </w:rPr>
              <w:t>HIMNO DE LA UNIVERSIDAD</w:t>
            </w:r>
            <w:r w:rsidR="000D5224">
              <w:rPr>
                <w:noProof/>
                <w:webHidden/>
              </w:rPr>
              <w:tab/>
            </w:r>
            <w:r w:rsidR="000D5224">
              <w:rPr>
                <w:noProof/>
                <w:webHidden/>
              </w:rPr>
              <w:fldChar w:fldCharType="begin"/>
            </w:r>
            <w:r w:rsidR="000D5224">
              <w:rPr>
                <w:noProof/>
                <w:webHidden/>
              </w:rPr>
              <w:instrText xml:space="preserve"> PAGEREF _Toc354671311 \h </w:instrText>
            </w:r>
            <w:r w:rsidR="000D5224">
              <w:rPr>
                <w:noProof/>
                <w:webHidden/>
              </w:rPr>
            </w:r>
            <w:r w:rsidR="000D5224">
              <w:rPr>
                <w:noProof/>
                <w:webHidden/>
              </w:rPr>
              <w:fldChar w:fldCharType="separate"/>
            </w:r>
            <w:r w:rsidR="00020665">
              <w:rPr>
                <w:noProof/>
                <w:webHidden/>
              </w:rPr>
              <w:t>11</w:t>
            </w:r>
            <w:r w:rsidR="000D5224">
              <w:rPr>
                <w:noProof/>
                <w:webHidden/>
              </w:rPr>
              <w:fldChar w:fldCharType="end"/>
            </w:r>
          </w:hyperlink>
        </w:p>
        <w:p w:rsidR="000D5224" w:rsidRDefault="000E4B39">
          <w:pPr>
            <w:pStyle w:val="TDC1"/>
            <w:tabs>
              <w:tab w:val="left" w:pos="440"/>
              <w:tab w:val="right" w:leader="dot" w:pos="8828"/>
            </w:tabs>
            <w:rPr>
              <w:rFonts w:eastAsiaTheme="minorEastAsia" w:cstheme="minorBidi"/>
              <w:b w:val="0"/>
              <w:bCs w:val="0"/>
              <w:i w:val="0"/>
              <w:iCs w:val="0"/>
              <w:noProof/>
              <w:sz w:val="22"/>
              <w:szCs w:val="22"/>
              <w:lang w:val="es-CO" w:eastAsia="es-CO"/>
            </w:rPr>
          </w:pPr>
          <w:hyperlink w:anchor="_Toc354671312" w:history="1">
            <w:r w:rsidR="000D5224" w:rsidRPr="008440F7">
              <w:rPr>
                <w:rStyle w:val="Hipervnculo"/>
                <w:noProof/>
              </w:rPr>
              <w:t>2.</w:t>
            </w:r>
            <w:r w:rsidR="000D5224">
              <w:rPr>
                <w:rFonts w:eastAsiaTheme="minorEastAsia" w:cstheme="minorBidi"/>
                <w:b w:val="0"/>
                <w:bCs w:val="0"/>
                <w:i w:val="0"/>
                <w:iCs w:val="0"/>
                <w:noProof/>
                <w:sz w:val="22"/>
                <w:szCs w:val="22"/>
                <w:lang w:val="es-CO" w:eastAsia="es-CO"/>
              </w:rPr>
              <w:tab/>
            </w:r>
            <w:r w:rsidR="000D5224" w:rsidRPr="008440F7">
              <w:rPr>
                <w:rStyle w:val="Hipervnculo"/>
                <w:noProof/>
              </w:rPr>
              <w:t>FINES DEL PLAN DE DESARROLLO INSTITUCIONAL</w:t>
            </w:r>
            <w:r w:rsidR="000D5224">
              <w:rPr>
                <w:noProof/>
                <w:webHidden/>
              </w:rPr>
              <w:tab/>
            </w:r>
            <w:r w:rsidR="000D5224">
              <w:rPr>
                <w:noProof/>
                <w:webHidden/>
              </w:rPr>
              <w:fldChar w:fldCharType="begin"/>
            </w:r>
            <w:r w:rsidR="000D5224">
              <w:rPr>
                <w:noProof/>
                <w:webHidden/>
              </w:rPr>
              <w:instrText xml:space="preserve"> PAGEREF _Toc354671312 \h </w:instrText>
            </w:r>
            <w:r w:rsidR="000D5224">
              <w:rPr>
                <w:noProof/>
                <w:webHidden/>
              </w:rPr>
            </w:r>
            <w:r w:rsidR="000D5224">
              <w:rPr>
                <w:noProof/>
                <w:webHidden/>
              </w:rPr>
              <w:fldChar w:fldCharType="separate"/>
            </w:r>
            <w:r w:rsidR="00020665">
              <w:rPr>
                <w:noProof/>
                <w:webHidden/>
              </w:rPr>
              <w:t>12</w:t>
            </w:r>
            <w:r w:rsidR="000D5224">
              <w:rPr>
                <w:noProof/>
                <w:webHidden/>
              </w:rPr>
              <w:fldChar w:fldCharType="end"/>
            </w:r>
          </w:hyperlink>
        </w:p>
        <w:p w:rsidR="000D5224" w:rsidRDefault="000E4B39">
          <w:pPr>
            <w:pStyle w:val="TDC2"/>
            <w:tabs>
              <w:tab w:val="left" w:pos="880"/>
              <w:tab w:val="right" w:leader="dot" w:pos="8828"/>
            </w:tabs>
            <w:rPr>
              <w:rFonts w:eastAsiaTheme="minorEastAsia" w:cstheme="minorBidi"/>
              <w:b w:val="0"/>
              <w:bCs w:val="0"/>
              <w:noProof/>
              <w:lang w:val="es-CO" w:eastAsia="es-CO"/>
            </w:rPr>
          </w:pPr>
          <w:hyperlink w:anchor="_Toc354671313" w:history="1">
            <w:r w:rsidR="000D5224" w:rsidRPr="008440F7">
              <w:rPr>
                <w:rStyle w:val="Hipervnculo"/>
                <w:noProof/>
                <w:lang w:bidi="en-US"/>
              </w:rPr>
              <w:t>2.1.</w:t>
            </w:r>
            <w:r w:rsidR="000D5224">
              <w:rPr>
                <w:rFonts w:eastAsiaTheme="minorEastAsia" w:cstheme="minorBidi"/>
                <w:b w:val="0"/>
                <w:bCs w:val="0"/>
                <w:noProof/>
                <w:lang w:val="es-CO" w:eastAsia="es-CO"/>
              </w:rPr>
              <w:tab/>
            </w:r>
            <w:r w:rsidR="000D5224" w:rsidRPr="008440F7">
              <w:rPr>
                <w:rStyle w:val="Hipervnculo"/>
                <w:noProof/>
                <w:lang w:bidi="en-US"/>
              </w:rPr>
              <w:t>LA UNIVERSIDAD, EL CONTROL SOCIAL Y LA RENDICIÓN DE CUENTAS A LA CIUDADANÍA</w:t>
            </w:r>
            <w:r w:rsidR="000D5224">
              <w:rPr>
                <w:noProof/>
                <w:webHidden/>
              </w:rPr>
              <w:tab/>
            </w:r>
            <w:r w:rsidR="000D5224">
              <w:rPr>
                <w:noProof/>
                <w:webHidden/>
              </w:rPr>
              <w:fldChar w:fldCharType="begin"/>
            </w:r>
            <w:r w:rsidR="000D5224">
              <w:rPr>
                <w:noProof/>
                <w:webHidden/>
              </w:rPr>
              <w:instrText xml:space="preserve"> PAGEREF _Toc354671313 \h </w:instrText>
            </w:r>
            <w:r w:rsidR="000D5224">
              <w:rPr>
                <w:noProof/>
                <w:webHidden/>
              </w:rPr>
            </w:r>
            <w:r w:rsidR="000D5224">
              <w:rPr>
                <w:noProof/>
                <w:webHidden/>
              </w:rPr>
              <w:fldChar w:fldCharType="separate"/>
            </w:r>
            <w:r w:rsidR="00020665">
              <w:rPr>
                <w:noProof/>
                <w:webHidden/>
              </w:rPr>
              <w:t>15</w:t>
            </w:r>
            <w:r w:rsidR="000D5224">
              <w:rPr>
                <w:noProof/>
                <w:webHidden/>
              </w:rPr>
              <w:fldChar w:fldCharType="end"/>
            </w:r>
          </w:hyperlink>
        </w:p>
        <w:p w:rsidR="000D5224" w:rsidRDefault="000E4B39">
          <w:pPr>
            <w:pStyle w:val="TDC2"/>
            <w:tabs>
              <w:tab w:val="left" w:pos="880"/>
              <w:tab w:val="right" w:leader="dot" w:pos="8828"/>
            </w:tabs>
            <w:rPr>
              <w:rFonts w:eastAsiaTheme="minorEastAsia" w:cstheme="minorBidi"/>
              <w:b w:val="0"/>
              <w:bCs w:val="0"/>
              <w:noProof/>
              <w:lang w:val="es-CO" w:eastAsia="es-CO"/>
            </w:rPr>
          </w:pPr>
          <w:hyperlink w:anchor="_Toc354671314" w:history="1">
            <w:r w:rsidR="000D5224" w:rsidRPr="008440F7">
              <w:rPr>
                <w:rStyle w:val="Hipervnculo"/>
                <w:noProof/>
              </w:rPr>
              <w:t>2.2.</w:t>
            </w:r>
            <w:r w:rsidR="000D5224">
              <w:rPr>
                <w:rFonts w:eastAsiaTheme="minorEastAsia" w:cstheme="minorBidi"/>
                <w:b w:val="0"/>
                <w:bCs w:val="0"/>
                <w:noProof/>
                <w:lang w:val="es-CO" w:eastAsia="es-CO"/>
              </w:rPr>
              <w:tab/>
            </w:r>
            <w:r w:rsidR="000D5224" w:rsidRPr="008440F7">
              <w:rPr>
                <w:rStyle w:val="Hipervnculo"/>
                <w:noProof/>
              </w:rPr>
              <w:t>METODOLOGÍA DE MEDICIÓN</w:t>
            </w:r>
            <w:r w:rsidR="000D5224">
              <w:rPr>
                <w:noProof/>
                <w:webHidden/>
              </w:rPr>
              <w:tab/>
            </w:r>
            <w:r w:rsidR="000D5224">
              <w:rPr>
                <w:noProof/>
                <w:webHidden/>
              </w:rPr>
              <w:fldChar w:fldCharType="begin"/>
            </w:r>
            <w:r w:rsidR="000D5224">
              <w:rPr>
                <w:noProof/>
                <w:webHidden/>
              </w:rPr>
              <w:instrText xml:space="preserve"> PAGEREF _Toc354671314 \h </w:instrText>
            </w:r>
            <w:r w:rsidR="000D5224">
              <w:rPr>
                <w:noProof/>
                <w:webHidden/>
              </w:rPr>
            </w:r>
            <w:r w:rsidR="000D5224">
              <w:rPr>
                <w:noProof/>
                <w:webHidden/>
              </w:rPr>
              <w:fldChar w:fldCharType="separate"/>
            </w:r>
            <w:r w:rsidR="00020665">
              <w:rPr>
                <w:noProof/>
                <w:webHidden/>
              </w:rPr>
              <w:t>17</w:t>
            </w:r>
            <w:r w:rsidR="000D5224">
              <w:rPr>
                <w:noProof/>
                <w:webHidden/>
              </w:rPr>
              <w:fldChar w:fldCharType="end"/>
            </w:r>
          </w:hyperlink>
        </w:p>
        <w:p w:rsidR="000D5224" w:rsidRDefault="000E4B39">
          <w:pPr>
            <w:pStyle w:val="TDC1"/>
            <w:tabs>
              <w:tab w:val="left" w:pos="440"/>
              <w:tab w:val="right" w:leader="dot" w:pos="8828"/>
            </w:tabs>
            <w:rPr>
              <w:rFonts w:eastAsiaTheme="minorEastAsia" w:cstheme="minorBidi"/>
              <w:b w:val="0"/>
              <w:bCs w:val="0"/>
              <w:i w:val="0"/>
              <w:iCs w:val="0"/>
              <w:noProof/>
              <w:sz w:val="22"/>
              <w:szCs w:val="22"/>
              <w:lang w:val="es-CO" w:eastAsia="es-CO"/>
            </w:rPr>
          </w:pPr>
          <w:hyperlink w:anchor="_Toc354671315" w:history="1">
            <w:r w:rsidR="000D5224" w:rsidRPr="008440F7">
              <w:rPr>
                <w:rStyle w:val="Hipervnculo"/>
                <w:noProof/>
              </w:rPr>
              <w:t>3.</w:t>
            </w:r>
            <w:r w:rsidR="000D5224">
              <w:rPr>
                <w:rFonts w:eastAsiaTheme="minorEastAsia" w:cstheme="minorBidi"/>
                <w:b w:val="0"/>
                <w:bCs w:val="0"/>
                <w:i w:val="0"/>
                <w:iCs w:val="0"/>
                <w:noProof/>
                <w:sz w:val="22"/>
                <w:szCs w:val="22"/>
                <w:lang w:val="es-CO" w:eastAsia="es-CO"/>
              </w:rPr>
              <w:tab/>
            </w:r>
            <w:r w:rsidR="000D5224" w:rsidRPr="008440F7">
              <w:rPr>
                <w:rStyle w:val="Hipervnculo"/>
                <w:noProof/>
              </w:rPr>
              <w:t>RESULTADOS GENERALES DEL PLAN DE DESARROLLO INSTITUCIONAL</w:t>
            </w:r>
            <w:r w:rsidR="000D5224">
              <w:rPr>
                <w:noProof/>
                <w:webHidden/>
              </w:rPr>
              <w:tab/>
            </w:r>
            <w:r w:rsidR="000D5224">
              <w:rPr>
                <w:noProof/>
                <w:webHidden/>
              </w:rPr>
              <w:fldChar w:fldCharType="begin"/>
            </w:r>
            <w:r w:rsidR="000D5224">
              <w:rPr>
                <w:noProof/>
                <w:webHidden/>
              </w:rPr>
              <w:instrText xml:space="preserve"> PAGEREF _Toc354671315 \h </w:instrText>
            </w:r>
            <w:r w:rsidR="000D5224">
              <w:rPr>
                <w:noProof/>
                <w:webHidden/>
              </w:rPr>
            </w:r>
            <w:r w:rsidR="000D5224">
              <w:rPr>
                <w:noProof/>
                <w:webHidden/>
              </w:rPr>
              <w:fldChar w:fldCharType="separate"/>
            </w:r>
            <w:r w:rsidR="00020665">
              <w:rPr>
                <w:noProof/>
                <w:webHidden/>
              </w:rPr>
              <w:t>18</w:t>
            </w:r>
            <w:r w:rsidR="000D5224">
              <w:rPr>
                <w:noProof/>
                <w:webHidden/>
              </w:rPr>
              <w:fldChar w:fldCharType="end"/>
            </w:r>
          </w:hyperlink>
        </w:p>
        <w:p w:rsidR="000D5224" w:rsidRDefault="000E4B39">
          <w:pPr>
            <w:pStyle w:val="TDC2"/>
            <w:tabs>
              <w:tab w:val="left" w:pos="880"/>
              <w:tab w:val="right" w:leader="dot" w:pos="8828"/>
            </w:tabs>
            <w:rPr>
              <w:rFonts w:eastAsiaTheme="minorEastAsia" w:cstheme="minorBidi"/>
              <w:b w:val="0"/>
              <w:bCs w:val="0"/>
              <w:noProof/>
              <w:lang w:val="es-CO" w:eastAsia="es-CO"/>
            </w:rPr>
          </w:pPr>
          <w:hyperlink w:anchor="_Toc354671316" w:history="1">
            <w:r w:rsidR="000D5224" w:rsidRPr="008440F7">
              <w:rPr>
                <w:rStyle w:val="Hipervnculo"/>
                <w:noProof/>
              </w:rPr>
              <w:t>3.1.</w:t>
            </w:r>
            <w:r w:rsidR="000D5224">
              <w:rPr>
                <w:rFonts w:eastAsiaTheme="minorEastAsia" w:cstheme="minorBidi"/>
                <w:b w:val="0"/>
                <w:bCs w:val="0"/>
                <w:noProof/>
                <w:lang w:val="es-CO" w:eastAsia="es-CO"/>
              </w:rPr>
              <w:tab/>
            </w:r>
            <w:r w:rsidR="000D5224" w:rsidRPr="008440F7">
              <w:rPr>
                <w:rStyle w:val="Hipervnculo"/>
                <w:noProof/>
              </w:rPr>
              <w:t>DESARROLLO INSTITUCIONAL</w:t>
            </w:r>
            <w:r w:rsidR="000D5224">
              <w:rPr>
                <w:noProof/>
                <w:webHidden/>
              </w:rPr>
              <w:tab/>
            </w:r>
            <w:r w:rsidR="000D5224">
              <w:rPr>
                <w:noProof/>
                <w:webHidden/>
              </w:rPr>
              <w:fldChar w:fldCharType="begin"/>
            </w:r>
            <w:r w:rsidR="000D5224">
              <w:rPr>
                <w:noProof/>
                <w:webHidden/>
              </w:rPr>
              <w:instrText xml:space="preserve"> PAGEREF _Toc354671316 \h </w:instrText>
            </w:r>
            <w:r w:rsidR="000D5224">
              <w:rPr>
                <w:noProof/>
                <w:webHidden/>
              </w:rPr>
            </w:r>
            <w:r w:rsidR="000D5224">
              <w:rPr>
                <w:noProof/>
                <w:webHidden/>
              </w:rPr>
              <w:fldChar w:fldCharType="separate"/>
            </w:r>
            <w:r w:rsidR="00020665">
              <w:rPr>
                <w:noProof/>
                <w:webHidden/>
              </w:rPr>
              <w:t>20</w:t>
            </w:r>
            <w:r w:rsidR="000D5224">
              <w:rPr>
                <w:noProof/>
                <w:webHidden/>
              </w:rPr>
              <w:fldChar w:fldCharType="end"/>
            </w:r>
          </w:hyperlink>
        </w:p>
        <w:p w:rsidR="000D5224" w:rsidRDefault="000E4B39">
          <w:pPr>
            <w:pStyle w:val="TDC2"/>
            <w:tabs>
              <w:tab w:val="left" w:pos="880"/>
              <w:tab w:val="right" w:leader="dot" w:pos="8828"/>
            </w:tabs>
            <w:rPr>
              <w:rFonts w:eastAsiaTheme="minorEastAsia" w:cstheme="minorBidi"/>
              <w:b w:val="0"/>
              <w:bCs w:val="0"/>
              <w:noProof/>
              <w:lang w:val="es-CO" w:eastAsia="es-CO"/>
            </w:rPr>
          </w:pPr>
          <w:hyperlink w:anchor="_Toc354671317" w:history="1">
            <w:r w:rsidR="000D5224" w:rsidRPr="008440F7">
              <w:rPr>
                <w:rStyle w:val="Hipervnculo"/>
                <w:noProof/>
              </w:rPr>
              <w:t>3.2.</w:t>
            </w:r>
            <w:r w:rsidR="000D5224">
              <w:rPr>
                <w:rFonts w:eastAsiaTheme="minorEastAsia" w:cstheme="minorBidi"/>
                <w:b w:val="0"/>
                <w:bCs w:val="0"/>
                <w:noProof/>
                <w:lang w:val="es-CO" w:eastAsia="es-CO"/>
              </w:rPr>
              <w:tab/>
            </w:r>
            <w:r w:rsidR="000D5224" w:rsidRPr="008440F7">
              <w:rPr>
                <w:rStyle w:val="Hipervnculo"/>
                <w:noProof/>
              </w:rPr>
              <w:t>Desarrollo Físico Sostenible</w:t>
            </w:r>
            <w:r w:rsidR="000D5224">
              <w:rPr>
                <w:noProof/>
                <w:webHidden/>
              </w:rPr>
              <w:tab/>
            </w:r>
            <w:r w:rsidR="000D5224">
              <w:rPr>
                <w:noProof/>
                <w:webHidden/>
              </w:rPr>
              <w:fldChar w:fldCharType="begin"/>
            </w:r>
            <w:r w:rsidR="000D5224">
              <w:rPr>
                <w:noProof/>
                <w:webHidden/>
              </w:rPr>
              <w:instrText xml:space="preserve"> PAGEREF _Toc354671317 \h </w:instrText>
            </w:r>
            <w:r w:rsidR="000D5224">
              <w:rPr>
                <w:noProof/>
                <w:webHidden/>
              </w:rPr>
            </w:r>
            <w:r w:rsidR="000D5224">
              <w:rPr>
                <w:noProof/>
                <w:webHidden/>
              </w:rPr>
              <w:fldChar w:fldCharType="separate"/>
            </w:r>
            <w:r w:rsidR="00020665">
              <w:rPr>
                <w:noProof/>
                <w:webHidden/>
              </w:rPr>
              <w:t>21</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18" w:history="1">
            <w:r w:rsidR="000D5224" w:rsidRPr="008440F7">
              <w:rPr>
                <w:rStyle w:val="Hipervnculo"/>
                <w:noProof/>
              </w:rPr>
              <w:t>Índice de crecimiento de la planta física</w:t>
            </w:r>
            <w:r w:rsidR="000D5224">
              <w:rPr>
                <w:noProof/>
                <w:webHidden/>
              </w:rPr>
              <w:tab/>
            </w:r>
            <w:r w:rsidR="000D5224">
              <w:rPr>
                <w:noProof/>
                <w:webHidden/>
              </w:rPr>
              <w:fldChar w:fldCharType="begin"/>
            </w:r>
            <w:r w:rsidR="000D5224">
              <w:rPr>
                <w:noProof/>
                <w:webHidden/>
              </w:rPr>
              <w:instrText xml:space="preserve"> PAGEREF _Toc354671318 \h </w:instrText>
            </w:r>
            <w:r w:rsidR="000D5224">
              <w:rPr>
                <w:noProof/>
                <w:webHidden/>
              </w:rPr>
            </w:r>
            <w:r w:rsidR="000D5224">
              <w:rPr>
                <w:noProof/>
                <w:webHidden/>
              </w:rPr>
              <w:fldChar w:fldCharType="separate"/>
            </w:r>
            <w:r w:rsidR="00020665">
              <w:rPr>
                <w:noProof/>
                <w:webHidden/>
              </w:rPr>
              <w:t>22</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19" w:history="1">
            <w:r w:rsidR="000D5224" w:rsidRPr="008440F7">
              <w:rPr>
                <w:rStyle w:val="Hipervnculo"/>
                <w:noProof/>
              </w:rPr>
              <w:t>Gestión y sostenibilidad ambiental</w:t>
            </w:r>
            <w:r w:rsidR="000D5224">
              <w:rPr>
                <w:noProof/>
                <w:webHidden/>
              </w:rPr>
              <w:tab/>
            </w:r>
            <w:r w:rsidR="000D5224">
              <w:rPr>
                <w:noProof/>
                <w:webHidden/>
              </w:rPr>
              <w:fldChar w:fldCharType="begin"/>
            </w:r>
            <w:r w:rsidR="000D5224">
              <w:rPr>
                <w:noProof/>
                <w:webHidden/>
              </w:rPr>
              <w:instrText xml:space="preserve"> PAGEREF _Toc354671319 \h </w:instrText>
            </w:r>
            <w:r w:rsidR="000D5224">
              <w:rPr>
                <w:noProof/>
                <w:webHidden/>
              </w:rPr>
            </w:r>
            <w:r w:rsidR="000D5224">
              <w:rPr>
                <w:noProof/>
                <w:webHidden/>
              </w:rPr>
              <w:fldChar w:fldCharType="separate"/>
            </w:r>
            <w:r w:rsidR="00020665">
              <w:rPr>
                <w:noProof/>
                <w:webHidden/>
              </w:rPr>
              <w:t>23</w:t>
            </w:r>
            <w:r w:rsidR="000D5224">
              <w:rPr>
                <w:noProof/>
                <w:webHidden/>
              </w:rPr>
              <w:fldChar w:fldCharType="end"/>
            </w:r>
          </w:hyperlink>
        </w:p>
        <w:p w:rsidR="000D5224" w:rsidRDefault="000E4B39">
          <w:pPr>
            <w:pStyle w:val="TDC2"/>
            <w:tabs>
              <w:tab w:val="left" w:pos="880"/>
              <w:tab w:val="right" w:leader="dot" w:pos="8828"/>
            </w:tabs>
            <w:rPr>
              <w:rFonts w:eastAsiaTheme="minorEastAsia" w:cstheme="minorBidi"/>
              <w:b w:val="0"/>
              <w:bCs w:val="0"/>
              <w:noProof/>
              <w:lang w:val="es-CO" w:eastAsia="es-CO"/>
            </w:rPr>
          </w:pPr>
          <w:hyperlink w:anchor="_Toc354671320" w:history="1">
            <w:r w:rsidR="000D5224" w:rsidRPr="008440F7">
              <w:rPr>
                <w:rStyle w:val="Hipervnculo"/>
                <w:noProof/>
              </w:rPr>
              <w:t>3.3.</w:t>
            </w:r>
            <w:r w:rsidR="000D5224">
              <w:rPr>
                <w:rFonts w:eastAsiaTheme="minorEastAsia" w:cstheme="minorBidi"/>
                <w:b w:val="0"/>
                <w:bCs w:val="0"/>
                <w:noProof/>
                <w:lang w:val="es-CO" w:eastAsia="es-CO"/>
              </w:rPr>
              <w:tab/>
            </w:r>
            <w:r w:rsidR="000D5224" w:rsidRPr="008440F7">
              <w:rPr>
                <w:rStyle w:val="Hipervnculo"/>
                <w:noProof/>
              </w:rPr>
              <w:t>Desarrollo Informático y de Comunicaciones</w:t>
            </w:r>
            <w:r w:rsidR="000D5224">
              <w:rPr>
                <w:noProof/>
                <w:webHidden/>
              </w:rPr>
              <w:tab/>
            </w:r>
            <w:r w:rsidR="000D5224">
              <w:rPr>
                <w:noProof/>
                <w:webHidden/>
              </w:rPr>
              <w:fldChar w:fldCharType="begin"/>
            </w:r>
            <w:r w:rsidR="000D5224">
              <w:rPr>
                <w:noProof/>
                <w:webHidden/>
              </w:rPr>
              <w:instrText xml:space="preserve"> PAGEREF _Toc354671320 \h </w:instrText>
            </w:r>
            <w:r w:rsidR="000D5224">
              <w:rPr>
                <w:noProof/>
                <w:webHidden/>
              </w:rPr>
            </w:r>
            <w:r w:rsidR="000D5224">
              <w:rPr>
                <w:noProof/>
                <w:webHidden/>
              </w:rPr>
              <w:fldChar w:fldCharType="separate"/>
            </w:r>
            <w:r w:rsidR="00020665">
              <w:rPr>
                <w:noProof/>
                <w:webHidden/>
              </w:rPr>
              <w:t>27</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21" w:history="1">
            <w:r w:rsidR="000D5224" w:rsidRPr="008440F7">
              <w:rPr>
                <w:rStyle w:val="Hipervnculo"/>
                <w:noProof/>
              </w:rPr>
              <w:t>Automatización de Recursos Físicos</w:t>
            </w:r>
            <w:r w:rsidR="000D5224">
              <w:rPr>
                <w:noProof/>
                <w:webHidden/>
              </w:rPr>
              <w:tab/>
            </w:r>
            <w:r w:rsidR="000D5224">
              <w:rPr>
                <w:noProof/>
                <w:webHidden/>
              </w:rPr>
              <w:fldChar w:fldCharType="begin"/>
            </w:r>
            <w:r w:rsidR="000D5224">
              <w:rPr>
                <w:noProof/>
                <w:webHidden/>
              </w:rPr>
              <w:instrText xml:space="preserve"> PAGEREF _Toc354671321 \h </w:instrText>
            </w:r>
            <w:r w:rsidR="000D5224">
              <w:rPr>
                <w:noProof/>
                <w:webHidden/>
              </w:rPr>
            </w:r>
            <w:r w:rsidR="000D5224">
              <w:rPr>
                <w:noProof/>
                <w:webHidden/>
              </w:rPr>
              <w:fldChar w:fldCharType="separate"/>
            </w:r>
            <w:r w:rsidR="00020665">
              <w:rPr>
                <w:noProof/>
                <w:webHidden/>
              </w:rPr>
              <w:t>28</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22" w:history="1">
            <w:r w:rsidR="000D5224" w:rsidRPr="008440F7">
              <w:rPr>
                <w:rStyle w:val="Hipervnculo"/>
                <w:noProof/>
              </w:rPr>
              <w:t>Sistemas de información</w:t>
            </w:r>
            <w:r w:rsidR="000D5224">
              <w:rPr>
                <w:noProof/>
                <w:webHidden/>
              </w:rPr>
              <w:tab/>
            </w:r>
            <w:r w:rsidR="000D5224">
              <w:rPr>
                <w:noProof/>
                <w:webHidden/>
              </w:rPr>
              <w:fldChar w:fldCharType="begin"/>
            </w:r>
            <w:r w:rsidR="000D5224">
              <w:rPr>
                <w:noProof/>
                <w:webHidden/>
              </w:rPr>
              <w:instrText xml:space="preserve"> PAGEREF _Toc354671322 \h </w:instrText>
            </w:r>
            <w:r w:rsidR="000D5224">
              <w:rPr>
                <w:noProof/>
                <w:webHidden/>
              </w:rPr>
            </w:r>
            <w:r w:rsidR="000D5224">
              <w:rPr>
                <w:noProof/>
                <w:webHidden/>
              </w:rPr>
              <w:fldChar w:fldCharType="separate"/>
            </w:r>
            <w:r w:rsidR="00020665">
              <w:rPr>
                <w:noProof/>
                <w:webHidden/>
              </w:rPr>
              <w:t>28</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23" w:history="1">
            <w:r w:rsidR="000D5224" w:rsidRPr="008440F7">
              <w:rPr>
                <w:rStyle w:val="Hipervnculo"/>
                <w:noProof/>
              </w:rPr>
              <w:t>Sistema de comunicaciones</w:t>
            </w:r>
            <w:r w:rsidR="000D5224">
              <w:rPr>
                <w:noProof/>
                <w:webHidden/>
              </w:rPr>
              <w:tab/>
            </w:r>
            <w:r w:rsidR="000D5224">
              <w:rPr>
                <w:noProof/>
                <w:webHidden/>
              </w:rPr>
              <w:fldChar w:fldCharType="begin"/>
            </w:r>
            <w:r w:rsidR="000D5224">
              <w:rPr>
                <w:noProof/>
                <w:webHidden/>
              </w:rPr>
              <w:instrText xml:space="preserve"> PAGEREF _Toc354671323 \h </w:instrText>
            </w:r>
            <w:r w:rsidR="000D5224">
              <w:rPr>
                <w:noProof/>
                <w:webHidden/>
              </w:rPr>
            </w:r>
            <w:r w:rsidR="000D5224">
              <w:rPr>
                <w:noProof/>
                <w:webHidden/>
              </w:rPr>
              <w:fldChar w:fldCharType="separate"/>
            </w:r>
            <w:r w:rsidR="00020665">
              <w:rPr>
                <w:noProof/>
                <w:webHidden/>
              </w:rPr>
              <w:t>29</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24" w:history="1">
            <w:r w:rsidR="000D5224" w:rsidRPr="008440F7">
              <w:rPr>
                <w:rStyle w:val="Hipervnculo"/>
                <w:noProof/>
              </w:rPr>
              <w:t>Sostenibilidad de hardware y software</w:t>
            </w:r>
            <w:r w:rsidR="000D5224">
              <w:rPr>
                <w:noProof/>
                <w:webHidden/>
              </w:rPr>
              <w:tab/>
            </w:r>
            <w:r w:rsidR="000D5224">
              <w:rPr>
                <w:noProof/>
                <w:webHidden/>
              </w:rPr>
              <w:fldChar w:fldCharType="begin"/>
            </w:r>
            <w:r w:rsidR="000D5224">
              <w:rPr>
                <w:noProof/>
                <w:webHidden/>
              </w:rPr>
              <w:instrText xml:space="preserve"> PAGEREF _Toc354671324 \h </w:instrText>
            </w:r>
            <w:r w:rsidR="000D5224">
              <w:rPr>
                <w:noProof/>
                <w:webHidden/>
              </w:rPr>
            </w:r>
            <w:r w:rsidR="000D5224">
              <w:rPr>
                <w:noProof/>
                <w:webHidden/>
              </w:rPr>
              <w:fldChar w:fldCharType="separate"/>
            </w:r>
            <w:r w:rsidR="00020665">
              <w:rPr>
                <w:noProof/>
                <w:webHidden/>
              </w:rPr>
              <w:t>30</w:t>
            </w:r>
            <w:r w:rsidR="000D5224">
              <w:rPr>
                <w:noProof/>
                <w:webHidden/>
              </w:rPr>
              <w:fldChar w:fldCharType="end"/>
            </w:r>
          </w:hyperlink>
        </w:p>
        <w:p w:rsidR="000D5224" w:rsidRDefault="000E4B39">
          <w:pPr>
            <w:pStyle w:val="TDC2"/>
            <w:tabs>
              <w:tab w:val="left" w:pos="880"/>
              <w:tab w:val="right" w:leader="dot" w:pos="8828"/>
            </w:tabs>
            <w:rPr>
              <w:rFonts w:eastAsiaTheme="minorEastAsia" w:cstheme="minorBidi"/>
              <w:b w:val="0"/>
              <w:bCs w:val="0"/>
              <w:noProof/>
              <w:lang w:val="es-CO" w:eastAsia="es-CO"/>
            </w:rPr>
          </w:pPr>
          <w:hyperlink w:anchor="_Toc354671325" w:history="1">
            <w:r w:rsidR="000D5224" w:rsidRPr="008440F7">
              <w:rPr>
                <w:rStyle w:val="Hipervnculo"/>
                <w:noProof/>
              </w:rPr>
              <w:t>3.4.</w:t>
            </w:r>
            <w:r w:rsidR="000D5224">
              <w:rPr>
                <w:rFonts w:eastAsiaTheme="minorEastAsia" w:cstheme="minorBidi"/>
                <w:b w:val="0"/>
                <w:bCs w:val="0"/>
                <w:noProof/>
                <w:lang w:val="es-CO" w:eastAsia="es-CO"/>
              </w:rPr>
              <w:tab/>
            </w:r>
            <w:r w:rsidR="000D5224" w:rsidRPr="008440F7">
              <w:rPr>
                <w:rStyle w:val="Hipervnculo"/>
                <w:noProof/>
              </w:rPr>
              <w:t>Desarrollo Humano y Organizacional</w:t>
            </w:r>
            <w:r w:rsidR="000D5224">
              <w:rPr>
                <w:noProof/>
                <w:webHidden/>
              </w:rPr>
              <w:tab/>
            </w:r>
            <w:r w:rsidR="000D5224">
              <w:rPr>
                <w:noProof/>
                <w:webHidden/>
              </w:rPr>
              <w:fldChar w:fldCharType="begin"/>
            </w:r>
            <w:r w:rsidR="000D5224">
              <w:rPr>
                <w:noProof/>
                <w:webHidden/>
              </w:rPr>
              <w:instrText xml:space="preserve"> PAGEREF _Toc354671325 \h </w:instrText>
            </w:r>
            <w:r w:rsidR="000D5224">
              <w:rPr>
                <w:noProof/>
                <w:webHidden/>
              </w:rPr>
            </w:r>
            <w:r w:rsidR="000D5224">
              <w:rPr>
                <w:noProof/>
                <w:webHidden/>
              </w:rPr>
              <w:fldChar w:fldCharType="separate"/>
            </w:r>
            <w:r w:rsidR="00020665">
              <w:rPr>
                <w:noProof/>
                <w:webHidden/>
              </w:rPr>
              <w:t>32</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26" w:history="1">
            <w:r w:rsidR="000D5224" w:rsidRPr="008440F7">
              <w:rPr>
                <w:rStyle w:val="Hipervnculo"/>
                <w:noProof/>
              </w:rPr>
              <w:t>Procesos de Gestión Humana</w:t>
            </w:r>
            <w:r w:rsidR="000D5224">
              <w:rPr>
                <w:noProof/>
                <w:webHidden/>
              </w:rPr>
              <w:tab/>
            </w:r>
            <w:r w:rsidR="000D5224">
              <w:rPr>
                <w:noProof/>
                <w:webHidden/>
              </w:rPr>
              <w:fldChar w:fldCharType="begin"/>
            </w:r>
            <w:r w:rsidR="000D5224">
              <w:rPr>
                <w:noProof/>
                <w:webHidden/>
              </w:rPr>
              <w:instrText xml:space="preserve"> PAGEREF _Toc354671326 \h </w:instrText>
            </w:r>
            <w:r w:rsidR="000D5224">
              <w:rPr>
                <w:noProof/>
                <w:webHidden/>
              </w:rPr>
            </w:r>
            <w:r w:rsidR="000D5224">
              <w:rPr>
                <w:noProof/>
                <w:webHidden/>
              </w:rPr>
              <w:fldChar w:fldCharType="separate"/>
            </w:r>
            <w:r w:rsidR="00020665">
              <w:rPr>
                <w:noProof/>
                <w:webHidden/>
              </w:rPr>
              <w:t>33</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27" w:history="1">
            <w:r w:rsidR="000D5224" w:rsidRPr="008440F7">
              <w:rPr>
                <w:rStyle w:val="Hipervnculo"/>
                <w:noProof/>
              </w:rPr>
              <w:t>Cultura Organizacional</w:t>
            </w:r>
            <w:r w:rsidR="000D5224">
              <w:rPr>
                <w:noProof/>
                <w:webHidden/>
              </w:rPr>
              <w:tab/>
            </w:r>
            <w:r w:rsidR="000D5224">
              <w:rPr>
                <w:noProof/>
                <w:webHidden/>
              </w:rPr>
              <w:fldChar w:fldCharType="begin"/>
            </w:r>
            <w:r w:rsidR="000D5224">
              <w:rPr>
                <w:noProof/>
                <w:webHidden/>
              </w:rPr>
              <w:instrText xml:space="preserve"> PAGEREF _Toc354671327 \h </w:instrText>
            </w:r>
            <w:r w:rsidR="000D5224">
              <w:rPr>
                <w:noProof/>
                <w:webHidden/>
              </w:rPr>
            </w:r>
            <w:r w:rsidR="000D5224">
              <w:rPr>
                <w:noProof/>
                <w:webHidden/>
              </w:rPr>
              <w:fldChar w:fldCharType="separate"/>
            </w:r>
            <w:r w:rsidR="00020665">
              <w:rPr>
                <w:noProof/>
                <w:webHidden/>
              </w:rPr>
              <w:t>33</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28" w:history="1">
            <w:r w:rsidR="000D5224" w:rsidRPr="008440F7">
              <w:rPr>
                <w:rStyle w:val="Hipervnculo"/>
                <w:noProof/>
              </w:rPr>
              <w:t>Estructura Organizacional</w:t>
            </w:r>
            <w:r w:rsidR="000D5224">
              <w:rPr>
                <w:noProof/>
                <w:webHidden/>
              </w:rPr>
              <w:tab/>
            </w:r>
            <w:r w:rsidR="000D5224">
              <w:rPr>
                <w:noProof/>
                <w:webHidden/>
              </w:rPr>
              <w:fldChar w:fldCharType="begin"/>
            </w:r>
            <w:r w:rsidR="000D5224">
              <w:rPr>
                <w:noProof/>
                <w:webHidden/>
              </w:rPr>
              <w:instrText xml:space="preserve"> PAGEREF _Toc354671328 \h </w:instrText>
            </w:r>
            <w:r w:rsidR="000D5224">
              <w:rPr>
                <w:noProof/>
                <w:webHidden/>
              </w:rPr>
            </w:r>
            <w:r w:rsidR="000D5224">
              <w:rPr>
                <w:noProof/>
                <w:webHidden/>
              </w:rPr>
              <w:fldChar w:fldCharType="separate"/>
            </w:r>
            <w:r w:rsidR="00020665">
              <w:rPr>
                <w:noProof/>
                <w:webHidden/>
              </w:rPr>
              <w:t>33</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29" w:history="1">
            <w:r w:rsidR="000D5224" w:rsidRPr="008440F7">
              <w:rPr>
                <w:rStyle w:val="Hipervnculo"/>
                <w:noProof/>
              </w:rPr>
              <w:t>Gestión de Procesos</w:t>
            </w:r>
            <w:r w:rsidR="000D5224">
              <w:rPr>
                <w:noProof/>
                <w:webHidden/>
              </w:rPr>
              <w:tab/>
            </w:r>
            <w:r w:rsidR="000D5224">
              <w:rPr>
                <w:noProof/>
                <w:webHidden/>
              </w:rPr>
              <w:fldChar w:fldCharType="begin"/>
            </w:r>
            <w:r w:rsidR="000D5224">
              <w:rPr>
                <w:noProof/>
                <w:webHidden/>
              </w:rPr>
              <w:instrText xml:space="preserve"> PAGEREF _Toc354671329 \h </w:instrText>
            </w:r>
            <w:r w:rsidR="000D5224">
              <w:rPr>
                <w:noProof/>
                <w:webHidden/>
              </w:rPr>
            </w:r>
            <w:r w:rsidR="000D5224">
              <w:rPr>
                <w:noProof/>
                <w:webHidden/>
              </w:rPr>
              <w:fldChar w:fldCharType="separate"/>
            </w:r>
            <w:r w:rsidR="00020665">
              <w:rPr>
                <w:noProof/>
                <w:webHidden/>
              </w:rPr>
              <w:t>34</w:t>
            </w:r>
            <w:r w:rsidR="000D5224">
              <w:rPr>
                <w:noProof/>
                <w:webHidden/>
              </w:rPr>
              <w:fldChar w:fldCharType="end"/>
            </w:r>
          </w:hyperlink>
        </w:p>
        <w:p w:rsidR="000D5224" w:rsidRDefault="000E4B39">
          <w:pPr>
            <w:pStyle w:val="TDC2"/>
            <w:tabs>
              <w:tab w:val="left" w:pos="880"/>
              <w:tab w:val="right" w:leader="dot" w:pos="8828"/>
            </w:tabs>
            <w:rPr>
              <w:rFonts w:eastAsiaTheme="minorEastAsia" w:cstheme="minorBidi"/>
              <w:b w:val="0"/>
              <w:bCs w:val="0"/>
              <w:noProof/>
              <w:lang w:val="es-CO" w:eastAsia="es-CO"/>
            </w:rPr>
          </w:pPr>
          <w:hyperlink w:anchor="_Toc354671330" w:history="1">
            <w:r w:rsidR="000D5224" w:rsidRPr="008440F7">
              <w:rPr>
                <w:rStyle w:val="Hipervnculo"/>
                <w:noProof/>
              </w:rPr>
              <w:t>3.5.</w:t>
            </w:r>
            <w:r w:rsidR="000D5224">
              <w:rPr>
                <w:rFonts w:eastAsiaTheme="minorEastAsia" w:cstheme="minorBidi"/>
                <w:b w:val="0"/>
                <w:bCs w:val="0"/>
                <w:noProof/>
                <w:lang w:val="es-CO" w:eastAsia="es-CO"/>
              </w:rPr>
              <w:tab/>
            </w:r>
            <w:r w:rsidR="000D5224" w:rsidRPr="008440F7">
              <w:rPr>
                <w:rStyle w:val="Hipervnculo"/>
                <w:noProof/>
              </w:rPr>
              <w:t>Desarrollo Financiero</w:t>
            </w:r>
            <w:r w:rsidR="000D5224">
              <w:rPr>
                <w:noProof/>
                <w:webHidden/>
              </w:rPr>
              <w:tab/>
            </w:r>
            <w:r w:rsidR="000D5224">
              <w:rPr>
                <w:noProof/>
                <w:webHidden/>
              </w:rPr>
              <w:fldChar w:fldCharType="begin"/>
            </w:r>
            <w:r w:rsidR="000D5224">
              <w:rPr>
                <w:noProof/>
                <w:webHidden/>
              </w:rPr>
              <w:instrText xml:space="preserve"> PAGEREF _Toc354671330 \h </w:instrText>
            </w:r>
            <w:r w:rsidR="000D5224">
              <w:rPr>
                <w:noProof/>
                <w:webHidden/>
              </w:rPr>
            </w:r>
            <w:r w:rsidR="000D5224">
              <w:rPr>
                <w:noProof/>
                <w:webHidden/>
              </w:rPr>
              <w:fldChar w:fldCharType="separate"/>
            </w:r>
            <w:r w:rsidR="00020665">
              <w:rPr>
                <w:noProof/>
                <w:webHidden/>
              </w:rPr>
              <w:t>35</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31" w:history="1">
            <w:r w:rsidR="000D5224" w:rsidRPr="008440F7">
              <w:rPr>
                <w:rStyle w:val="Hipervnculo"/>
                <w:noProof/>
              </w:rPr>
              <w:t>Optimización de ingresos</w:t>
            </w:r>
            <w:r w:rsidR="000D5224">
              <w:rPr>
                <w:noProof/>
                <w:webHidden/>
              </w:rPr>
              <w:tab/>
            </w:r>
            <w:r w:rsidR="000D5224">
              <w:rPr>
                <w:noProof/>
                <w:webHidden/>
              </w:rPr>
              <w:fldChar w:fldCharType="begin"/>
            </w:r>
            <w:r w:rsidR="000D5224">
              <w:rPr>
                <w:noProof/>
                <w:webHidden/>
              </w:rPr>
              <w:instrText xml:space="preserve"> PAGEREF _Toc354671331 \h </w:instrText>
            </w:r>
            <w:r w:rsidR="000D5224">
              <w:rPr>
                <w:noProof/>
                <w:webHidden/>
              </w:rPr>
            </w:r>
            <w:r w:rsidR="000D5224">
              <w:rPr>
                <w:noProof/>
                <w:webHidden/>
              </w:rPr>
              <w:fldChar w:fldCharType="separate"/>
            </w:r>
            <w:r w:rsidR="00020665">
              <w:rPr>
                <w:noProof/>
                <w:webHidden/>
              </w:rPr>
              <w:t>35</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32" w:history="1">
            <w:r w:rsidR="000D5224" w:rsidRPr="008440F7">
              <w:rPr>
                <w:rStyle w:val="Hipervnculo"/>
                <w:noProof/>
              </w:rPr>
              <w:t>Nuevas líneas de financiamiento</w:t>
            </w:r>
            <w:r w:rsidR="000D5224">
              <w:rPr>
                <w:noProof/>
                <w:webHidden/>
              </w:rPr>
              <w:tab/>
            </w:r>
            <w:r w:rsidR="000D5224">
              <w:rPr>
                <w:noProof/>
                <w:webHidden/>
              </w:rPr>
              <w:fldChar w:fldCharType="begin"/>
            </w:r>
            <w:r w:rsidR="000D5224">
              <w:rPr>
                <w:noProof/>
                <w:webHidden/>
              </w:rPr>
              <w:instrText xml:space="preserve"> PAGEREF _Toc354671332 \h </w:instrText>
            </w:r>
            <w:r w:rsidR="000D5224">
              <w:rPr>
                <w:noProof/>
                <w:webHidden/>
              </w:rPr>
            </w:r>
            <w:r w:rsidR="000D5224">
              <w:rPr>
                <w:noProof/>
                <w:webHidden/>
              </w:rPr>
              <w:fldChar w:fldCharType="separate"/>
            </w:r>
            <w:r w:rsidR="00020665">
              <w:rPr>
                <w:noProof/>
                <w:webHidden/>
              </w:rPr>
              <w:t>36</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33" w:history="1">
            <w:r w:rsidR="000D5224" w:rsidRPr="008440F7">
              <w:rPr>
                <w:rStyle w:val="Hipervnculo"/>
                <w:noProof/>
              </w:rPr>
              <w:t>Racionalización del uso de los recursos</w:t>
            </w:r>
            <w:r w:rsidR="000D5224">
              <w:rPr>
                <w:noProof/>
                <w:webHidden/>
              </w:rPr>
              <w:tab/>
            </w:r>
            <w:r w:rsidR="000D5224">
              <w:rPr>
                <w:noProof/>
                <w:webHidden/>
              </w:rPr>
              <w:fldChar w:fldCharType="begin"/>
            </w:r>
            <w:r w:rsidR="000D5224">
              <w:rPr>
                <w:noProof/>
                <w:webHidden/>
              </w:rPr>
              <w:instrText xml:space="preserve"> PAGEREF _Toc354671333 \h </w:instrText>
            </w:r>
            <w:r w:rsidR="000D5224">
              <w:rPr>
                <w:noProof/>
                <w:webHidden/>
              </w:rPr>
            </w:r>
            <w:r w:rsidR="000D5224">
              <w:rPr>
                <w:noProof/>
                <w:webHidden/>
              </w:rPr>
              <w:fldChar w:fldCharType="separate"/>
            </w:r>
            <w:r w:rsidR="00020665">
              <w:rPr>
                <w:noProof/>
                <w:webHidden/>
              </w:rPr>
              <w:t>36</w:t>
            </w:r>
            <w:r w:rsidR="000D5224">
              <w:rPr>
                <w:noProof/>
                <w:webHidden/>
              </w:rPr>
              <w:fldChar w:fldCharType="end"/>
            </w:r>
          </w:hyperlink>
        </w:p>
        <w:p w:rsidR="000D5224" w:rsidRDefault="000E4B39">
          <w:pPr>
            <w:pStyle w:val="TDC2"/>
            <w:tabs>
              <w:tab w:val="left" w:pos="880"/>
              <w:tab w:val="right" w:leader="dot" w:pos="8828"/>
            </w:tabs>
            <w:rPr>
              <w:rFonts w:eastAsiaTheme="minorEastAsia" w:cstheme="minorBidi"/>
              <w:b w:val="0"/>
              <w:bCs w:val="0"/>
              <w:noProof/>
              <w:lang w:val="es-CO" w:eastAsia="es-CO"/>
            </w:rPr>
          </w:pPr>
          <w:hyperlink w:anchor="_Toc354671334" w:history="1">
            <w:r w:rsidR="000D5224" w:rsidRPr="008440F7">
              <w:rPr>
                <w:rStyle w:val="Hipervnculo"/>
                <w:noProof/>
              </w:rPr>
              <w:t>3.6.</w:t>
            </w:r>
            <w:r w:rsidR="000D5224">
              <w:rPr>
                <w:rFonts w:eastAsiaTheme="minorEastAsia" w:cstheme="minorBidi"/>
                <w:b w:val="0"/>
                <w:bCs w:val="0"/>
                <w:noProof/>
                <w:lang w:val="es-CO" w:eastAsia="es-CO"/>
              </w:rPr>
              <w:tab/>
            </w:r>
            <w:r w:rsidR="000D5224" w:rsidRPr="008440F7">
              <w:rPr>
                <w:rStyle w:val="Hipervnculo"/>
                <w:noProof/>
              </w:rPr>
              <w:t>COBERTURA CON CALIDAD</w:t>
            </w:r>
            <w:r w:rsidR="000D5224">
              <w:rPr>
                <w:noProof/>
                <w:webHidden/>
              </w:rPr>
              <w:tab/>
            </w:r>
            <w:r w:rsidR="000D5224">
              <w:rPr>
                <w:noProof/>
                <w:webHidden/>
              </w:rPr>
              <w:fldChar w:fldCharType="begin"/>
            </w:r>
            <w:r w:rsidR="000D5224">
              <w:rPr>
                <w:noProof/>
                <w:webHidden/>
              </w:rPr>
              <w:instrText xml:space="preserve"> PAGEREF _Toc354671334 \h </w:instrText>
            </w:r>
            <w:r w:rsidR="000D5224">
              <w:rPr>
                <w:noProof/>
                <w:webHidden/>
              </w:rPr>
            </w:r>
            <w:r w:rsidR="000D5224">
              <w:rPr>
                <w:noProof/>
                <w:webHidden/>
              </w:rPr>
              <w:fldChar w:fldCharType="separate"/>
            </w:r>
            <w:r w:rsidR="00020665">
              <w:rPr>
                <w:noProof/>
                <w:webHidden/>
              </w:rPr>
              <w:t>38</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35" w:history="1">
            <w:r w:rsidR="000D5224" w:rsidRPr="008440F7">
              <w:rPr>
                <w:rStyle w:val="Hipervnculo"/>
                <w:noProof/>
              </w:rPr>
              <w:t>Absorción de la Educación Media</w:t>
            </w:r>
            <w:r w:rsidR="000D5224">
              <w:rPr>
                <w:noProof/>
                <w:webHidden/>
              </w:rPr>
              <w:tab/>
            </w:r>
            <w:r w:rsidR="000D5224">
              <w:rPr>
                <w:noProof/>
                <w:webHidden/>
              </w:rPr>
              <w:fldChar w:fldCharType="begin"/>
            </w:r>
            <w:r w:rsidR="000D5224">
              <w:rPr>
                <w:noProof/>
                <w:webHidden/>
              </w:rPr>
              <w:instrText xml:space="preserve"> PAGEREF _Toc354671335 \h </w:instrText>
            </w:r>
            <w:r w:rsidR="000D5224">
              <w:rPr>
                <w:noProof/>
                <w:webHidden/>
              </w:rPr>
            </w:r>
            <w:r w:rsidR="000D5224">
              <w:rPr>
                <w:noProof/>
                <w:webHidden/>
              </w:rPr>
              <w:fldChar w:fldCharType="separate"/>
            </w:r>
            <w:r w:rsidR="00020665">
              <w:rPr>
                <w:noProof/>
                <w:webHidden/>
              </w:rPr>
              <w:t>38</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36" w:history="1">
            <w:r w:rsidR="000D5224" w:rsidRPr="008440F7">
              <w:rPr>
                <w:rStyle w:val="Hipervnculo"/>
                <w:noProof/>
              </w:rPr>
              <w:t>Absorción de la Educación Superior</w:t>
            </w:r>
            <w:r w:rsidR="000D5224">
              <w:rPr>
                <w:noProof/>
                <w:webHidden/>
              </w:rPr>
              <w:tab/>
            </w:r>
            <w:r w:rsidR="000D5224">
              <w:rPr>
                <w:noProof/>
                <w:webHidden/>
              </w:rPr>
              <w:fldChar w:fldCharType="begin"/>
            </w:r>
            <w:r w:rsidR="000D5224">
              <w:rPr>
                <w:noProof/>
                <w:webHidden/>
              </w:rPr>
              <w:instrText xml:space="preserve"> PAGEREF _Toc354671336 \h </w:instrText>
            </w:r>
            <w:r w:rsidR="000D5224">
              <w:rPr>
                <w:noProof/>
                <w:webHidden/>
              </w:rPr>
            </w:r>
            <w:r w:rsidR="000D5224">
              <w:rPr>
                <w:noProof/>
                <w:webHidden/>
              </w:rPr>
              <w:fldChar w:fldCharType="separate"/>
            </w:r>
            <w:r w:rsidR="00020665">
              <w:rPr>
                <w:noProof/>
                <w:webHidden/>
              </w:rPr>
              <w:t>39</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37" w:history="1">
            <w:r w:rsidR="000D5224" w:rsidRPr="008440F7">
              <w:rPr>
                <w:rStyle w:val="Hipervnculo"/>
                <w:noProof/>
              </w:rPr>
              <w:t>Estudiantes Graduados por Cohorte</w:t>
            </w:r>
            <w:r w:rsidR="000D5224">
              <w:rPr>
                <w:noProof/>
                <w:webHidden/>
              </w:rPr>
              <w:tab/>
            </w:r>
            <w:r w:rsidR="000D5224">
              <w:rPr>
                <w:noProof/>
                <w:webHidden/>
              </w:rPr>
              <w:fldChar w:fldCharType="begin"/>
            </w:r>
            <w:r w:rsidR="000D5224">
              <w:rPr>
                <w:noProof/>
                <w:webHidden/>
              </w:rPr>
              <w:instrText xml:space="preserve"> PAGEREF _Toc354671337 \h </w:instrText>
            </w:r>
            <w:r w:rsidR="000D5224">
              <w:rPr>
                <w:noProof/>
                <w:webHidden/>
              </w:rPr>
            </w:r>
            <w:r w:rsidR="000D5224">
              <w:rPr>
                <w:noProof/>
                <w:webHidden/>
              </w:rPr>
              <w:fldChar w:fldCharType="separate"/>
            </w:r>
            <w:r w:rsidR="00020665">
              <w:rPr>
                <w:noProof/>
                <w:webHidden/>
              </w:rPr>
              <w:t>41</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38" w:history="1">
            <w:r w:rsidR="000D5224" w:rsidRPr="008440F7">
              <w:rPr>
                <w:rStyle w:val="Hipervnculo"/>
                <w:noProof/>
              </w:rPr>
              <w:t>Acreditación de programas académicos (pregrado)</w:t>
            </w:r>
            <w:r w:rsidR="000D5224">
              <w:rPr>
                <w:noProof/>
                <w:webHidden/>
              </w:rPr>
              <w:tab/>
            </w:r>
            <w:r w:rsidR="000D5224">
              <w:rPr>
                <w:noProof/>
                <w:webHidden/>
              </w:rPr>
              <w:fldChar w:fldCharType="begin"/>
            </w:r>
            <w:r w:rsidR="000D5224">
              <w:rPr>
                <w:noProof/>
                <w:webHidden/>
              </w:rPr>
              <w:instrText xml:space="preserve"> PAGEREF _Toc354671338 \h </w:instrText>
            </w:r>
            <w:r w:rsidR="000D5224">
              <w:rPr>
                <w:noProof/>
                <w:webHidden/>
              </w:rPr>
            </w:r>
            <w:r w:rsidR="000D5224">
              <w:rPr>
                <w:noProof/>
                <w:webHidden/>
              </w:rPr>
              <w:fldChar w:fldCharType="separate"/>
            </w:r>
            <w:r w:rsidR="00020665">
              <w:rPr>
                <w:noProof/>
                <w:webHidden/>
              </w:rPr>
              <w:t>42</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39" w:history="1">
            <w:r w:rsidR="000D5224" w:rsidRPr="008440F7">
              <w:rPr>
                <w:rStyle w:val="Hipervnculo"/>
                <w:noProof/>
              </w:rPr>
              <w:t>Acreditación de programas académicos (postgrado)</w:t>
            </w:r>
            <w:r w:rsidR="000D5224">
              <w:rPr>
                <w:noProof/>
                <w:webHidden/>
              </w:rPr>
              <w:tab/>
            </w:r>
            <w:r w:rsidR="000D5224">
              <w:rPr>
                <w:noProof/>
                <w:webHidden/>
              </w:rPr>
              <w:fldChar w:fldCharType="begin"/>
            </w:r>
            <w:r w:rsidR="000D5224">
              <w:rPr>
                <w:noProof/>
                <w:webHidden/>
              </w:rPr>
              <w:instrText xml:space="preserve"> PAGEREF _Toc354671339 \h </w:instrText>
            </w:r>
            <w:r w:rsidR="000D5224">
              <w:rPr>
                <w:noProof/>
                <w:webHidden/>
              </w:rPr>
            </w:r>
            <w:r w:rsidR="000D5224">
              <w:rPr>
                <w:noProof/>
                <w:webHidden/>
              </w:rPr>
              <w:fldChar w:fldCharType="separate"/>
            </w:r>
            <w:r w:rsidR="00020665">
              <w:rPr>
                <w:noProof/>
                <w:webHidden/>
              </w:rPr>
              <w:t>43</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40" w:history="1">
            <w:r w:rsidR="000D5224" w:rsidRPr="008440F7">
              <w:rPr>
                <w:rStyle w:val="Hipervnculo"/>
                <w:noProof/>
              </w:rPr>
              <w:t>Renovación de la Acreditación Institucional  de Alta Calidad</w:t>
            </w:r>
            <w:r w:rsidR="000D5224">
              <w:rPr>
                <w:noProof/>
                <w:webHidden/>
              </w:rPr>
              <w:tab/>
            </w:r>
            <w:r w:rsidR="000D5224">
              <w:rPr>
                <w:noProof/>
                <w:webHidden/>
              </w:rPr>
              <w:fldChar w:fldCharType="begin"/>
            </w:r>
            <w:r w:rsidR="000D5224">
              <w:rPr>
                <w:noProof/>
                <w:webHidden/>
              </w:rPr>
              <w:instrText xml:space="preserve"> PAGEREF _Toc354671340 \h </w:instrText>
            </w:r>
            <w:r w:rsidR="000D5224">
              <w:rPr>
                <w:noProof/>
                <w:webHidden/>
              </w:rPr>
            </w:r>
            <w:r w:rsidR="000D5224">
              <w:rPr>
                <w:noProof/>
                <w:webHidden/>
              </w:rPr>
              <w:fldChar w:fldCharType="separate"/>
            </w:r>
            <w:r w:rsidR="00020665">
              <w:rPr>
                <w:noProof/>
                <w:webHidden/>
              </w:rPr>
              <w:t>45</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41" w:history="1">
            <w:r w:rsidR="000D5224" w:rsidRPr="008440F7">
              <w:rPr>
                <w:rStyle w:val="Hipervnculo"/>
                <w:noProof/>
              </w:rPr>
              <w:t>Componentes Objetivo Institucional Cobertura con Calidad en la Oferta Educativa</w:t>
            </w:r>
            <w:r w:rsidR="000D5224">
              <w:rPr>
                <w:noProof/>
                <w:webHidden/>
              </w:rPr>
              <w:tab/>
            </w:r>
            <w:r w:rsidR="000D5224">
              <w:rPr>
                <w:noProof/>
                <w:webHidden/>
              </w:rPr>
              <w:fldChar w:fldCharType="begin"/>
            </w:r>
            <w:r w:rsidR="000D5224">
              <w:rPr>
                <w:noProof/>
                <w:webHidden/>
              </w:rPr>
              <w:instrText xml:space="preserve"> PAGEREF _Toc354671341 \h </w:instrText>
            </w:r>
            <w:r w:rsidR="000D5224">
              <w:rPr>
                <w:noProof/>
                <w:webHidden/>
              </w:rPr>
            </w:r>
            <w:r w:rsidR="000D5224">
              <w:rPr>
                <w:noProof/>
                <w:webHidden/>
              </w:rPr>
              <w:fldChar w:fldCharType="separate"/>
            </w:r>
            <w:r w:rsidR="00020665">
              <w:rPr>
                <w:noProof/>
                <w:webHidden/>
              </w:rPr>
              <w:t>48</w:t>
            </w:r>
            <w:r w:rsidR="000D5224">
              <w:rPr>
                <w:noProof/>
                <w:webHidden/>
              </w:rPr>
              <w:fldChar w:fldCharType="end"/>
            </w:r>
          </w:hyperlink>
        </w:p>
        <w:p w:rsidR="000D5224" w:rsidRDefault="000E4B39">
          <w:pPr>
            <w:pStyle w:val="TDC2"/>
            <w:tabs>
              <w:tab w:val="left" w:pos="880"/>
              <w:tab w:val="right" w:leader="dot" w:pos="8828"/>
            </w:tabs>
            <w:rPr>
              <w:rFonts w:eastAsiaTheme="minorEastAsia" w:cstheme="minorBidi"/>
              <w:b w:val="0"/>
              <w:bCs w:val="0"/>
              <w:noProof/>
              <w:lang w:val="es-CO" w:eastAsia="es-CO"/>
            </w:rPr>
          </w:pPr>
          <w:hyperlink w:anchor="_Toc354671342" w:history="1">
            <w:r w:rsidR="000D5224" w:rsidRPr="008440F7">
              <w:rPr>
                <w:rStyle w:val="Hipervnculo"/>
                <w:noProof/>
              </w:rPr>
              <w:t>3.7.</w:t>
            </w:r>
            <w:r w:rsidR="000D5224">
              <w:rPr>
                <w:rFonts w:eastAsiaTheme="minorEastAsia" w:cstheme="minorBidi"/>
                <w:b w:val="0"/>
                <w:bCs w:val="0"/>
                <w:noProof/>
                <w:lang w:val="es-CO" w:eastAsia="es-CO"/>
              </w:rPr>
              <w:tab/>
            </w:r>
            <w:r w:rsidR="000D5224" w:rsidRPr="008440F7">
              <w:rPr>
                <w:rStyle w:val="Hipervnculo"/>
                <w:noProof/>
              </w:rPr>
              <w:t>BIENESTAR INSTITUCIONAL</w:t>
            </w:r>
            <w:r w:rsidR="000D5224">
              <w:rPr>
                <w:noProof/>
                <w:webHidden/>
              </w:rPr>
              <w:tab/>
            </w:r>
            <w:r w:rsidR="000D5224">
              <w:rPr>
                <w:noProof/>
                <w:webHidden/>
              </w:rPr>
              <w:fldChar w:fldCharType="begin"/>
            </w:r>
            <w:r w:rsidR="000D5224">
              <w:rPr>
                <w:noProof/>
                <w:webHidden/>
              </w:rPr>
              <w:instrText xml:space="preserve"> PAGEREF _Toc354671342 \h </w:instrText>
            </w:r>
            <w:r w:rsidR="000D5224">
              <w:rPr>
                <w:noProof/>
                <w:webHidden/>
              </w:rPr>
            </w:r>
            <w:r w:rsidR="000D5224">
              <w:rPr>
                <w:noProof/>
                <w:webHidden/>
              </w:rPr>
              <w:fldChar w:fldCharType="separate"/>
            </w:r>
            <w:r w:rsidR="00020665">
              <w:rPr>
                <w:noProof/>
                <w:webHidden/>
              </w:rPr>
              <w:t>58</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43" w:history="1">
            <w:r w:rsidR="000D5224" w:rsidRPr="008440F7">
              <w:rPr>
                <w:rStyle w:val="Hipervnculo"/>
                <w:noProof/>
              </w:rPr>
              <w:t>Formación Integral</w:t>
            </w:r>
            <w:r w:rsidR="000D5224">
              <w:rPr>
                <w:noProof/>
                <w:webHidden/>
              </w:rPr>
              <w:tab/>
            </w:r>
            <w:r w:rsidR="000D5224">
              <w:rPr>
                <w:noProof/>
                <w:webHidden/>
              </w:rPr>
              <w:fldChar w:fldCharType="begin"/>
            </w:r>
            <w:r w:rsidR="000D5224">
              <w:rPr>
                <w:noProof/>
                <w:webHidden/>
              </w:rPr>
              <w:instrText xml:space="preserve"> PAGEREF _Toc354671343 \h </w:instrText>
            </w:r>
            <w:r w:rsidR="000D5224">
              <w:rPr>
                <w:noProof/>
                <w:webHidden/>
              </w:rPr>
            </w:r>
            <w:r w:rsidR="000D5224">
              <w:rPr>
                <w:noProof/>
                <w:webHidden/>
              </w:rPr>
              <w:fldChar w:fldCharType="separate"/>
            </w:r>
            <w:r w:rsidR="00020665">
              <w:rPr>
                <w:noProof/>
                <w:webHidden/>
              </w:rPr>
              <w:t>59</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44" w:history="1">
            <w:r w:rsidR="000D5224" w:rsidRPr="008440F7">
              <w:rPr>
                <w:rStyle w:val="Hipervnculo"/>
                <w:noProof/>
              </w:rPr>
              <w:t>Salud Integral</w:t>
            </w:r>
            <w:r w:rsidR="000D5224">
              <w:rPr>
                <w:noProof/>
                <w:webHidden/>
              </w:rPr>
              <w:tab/>
            </w:r>
            <w:r w:rsidR="000D5224">
              <w:rPr>
                <w:noProof/>
                <w:webHidden/>
              </w:rPr>
              <w:fldChar w:fldCharType="begin"/>
            </w:r>
            <w:r w:rsidR="000D5224">
              <w:rPr>
                <w:noProof/>
                <w:webHidden/>
              </w:rPr>
              <w:instrText xml:space="preserve"> PAGEREF _Toc354671344 \h </w:instrText>
            </w:r>
            <w:r w:rsidR="000D5224">
              <w:rPr>
                <w:noProof/>
                <w:webHidden/>
              </w:rPr>
            </w:r>
            <w:r w:rsidR="000D5224">
              <w:rPr>
                <w:noProof/>
                <w:webHidden/>
              </w:rPr>
              <w:fldChar w:fldCharType="separate"/>
            </w:r>
            <w:r w:rsidR="00020665">
              <w:rPr>
                <w:noProof/>
                <w:webHidden/>
              </w:rPr>
              <w:t>61</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45" w:history="1">
            <w:r w:rsidR="000D5224" w:rsidRPr="008440F7">
              <w:rPr>
                <w:rStyle w:val="Hipervnculo"/>
                <w:noProof/>
              </w:rPr>
              <w:t>Atención Integral y Cultura Democrática, Participativa e Incluyente</w:t>
            </w:r>
            <w:r w:rsidR="000D5224">
              <w:rPr>
                <w:noProof/>
                <w:webHidden/>
              </w:rPr>
              <w:tab/>
            </w:r>
            <w:r w:rsidR="000D5224">
              <w:rPr>
                <w:noProof/>
                <w:webHidden/>
              </w:rPr>
              <w:fldChar w:fldCharType="begin"/>
            </w:r>
            <w:r w:rsidR="000D5224">
              <w:rPr>
                <w:noProof/>
                <w:webHidden/>
              </w:rPr>
              <w:instrText xml:space="preserve"> PAGEREF _Toc354671345 \h </w:instrText>
            </w:r>
            <w:r w:rsidR="000D5224">
              <w:rPr>
                <w:noProof/>
                <w:webHidden/>
              </w:rPr>
            </w:r>
            <w:r w:rsidR="000D5224">
              <w:rPr>
                <w:noProof/>
                <w:webHidden/>
              </w:rPr>
              <w:fldChar w:fldCharType="separate"/>
            </w:r>
            <w:r w:rsidR="00020665">
              <w:rPr>
                <w:noProof/>
                <w:webHidden/>
              </w:rPr>
              <w:t>63</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46" w:history="1">
            <w:r w:rsidR="000D5224" w:rsidRPr="008440F7">
              <w:rPr>
                <w:rStyle w:val="Hipervnculo"/>
                <w:noProof/>
              </w:rPr>
              <w:t>Vinculación Familiar</w:t>
            </w:r>
            <w:r w:rsidR="000D5224">
              <w:rPr>
                <w:noProof/>
                <w:webHidden/>
              </w:rPr>
              <w:tab/>
            </w:r>
            <w:r w:rsidR="000D5224">
              <w:rPr>
                <w:noProof/>
                <w:webHidden/>
              </w:rPr>
              <w:fldChar w:fldCharType="begin"/>
            </w:r>
            <w:r w:rsidR="000D5224">
              <w:rPr>
                <w:noProof/>
                <w:webHidden/>
              </w:rPr>
              <w:instrText xml:space="preserve"> PAGEREF _Toc354671346 \h </w:instrText>
            </w:r>
            <w:r w:rsidR="000D5224">
              <w:rPr>
                <w:noProof/>
                <w:webHidden/>
              </w:rPr>
            </w:r>
            <w:r w:rsidR="000D5224">
              <w:rPr>
                <w:noProof/>
                <w:webHidden/>
              </w:rPr>
              <w:fldChar w:fldCharType="separate"/>
            </w:r>
            <w:r w:rsidR="00020665">
              <w:rPr>
                <w:noProof/>
                <w:webHidden/>
              </w:rPr>
              <w:t>64</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47" w:history="1">
            <w:r w:rsidR="000D5224" w:rsidRPr="008440F7">
              <w:rPr>
                <w:rStyle w:val="Hipervnculo"/>
                <w:noProof/>
              </w:rPr>
              <w:t>Observatorio Social</w:t>
            </w:r>
            <w:r w:rsidR="000D5224">
              <w:rPr>
                <w:noProof/>
                <w:webHidden/>
              </w:rPr>
              <w:tab/>
            </w:r>
            <w:r w:rsidR="000D5224">
              <w:rPr>
                <w:noProof/>
                <w:webHidden/>
              </w:rPr>
              <w:fldChar w:fldCharType="begin"/>
            </w:r>
            <w:r w:rsidR="000D5224">
              <w:rPr>
                <w:noProof/>
                <w:webHidden/>
              </w:rPr>
              <w:instrText xml:space="preserve"> PAGEREF _Toc354671347 \h </w:instrText>
            </w:r>
            <w:r w:rsidR="000D5224">
              <w:rPr>
                <w:noProof/>
                <w:webHidden/>
              </w:rPr>
            </w:r>
            <w:r w:rsidR="000D5224">
              <w:rPr>
                <w:noProof/>
                <w:webHidden/>
              </w:rPr>
              <w:fldChar w:fldCharType="separate"/>
            </w:r>
            <w:r w:rsidR="00020665">
              <w:rPr>
                <w:noProof/>
                <w:webHidden/>
              </w:rPr>
              <w:t>65</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48" w:history="1">
            <w:r w:rsidR="000D5224" w:rsidRPr="008440F7">
              <w:rPr>
                <w:rStyle w:val="Hipervnculo"/>
                <w:noProof/>
              </w:rPr>
              <w:t>Gestión Estratégica</w:t>
            </w:r>
            <w:r w:rsidR="000D5224">
              <w:rPr>
                <w:noProof/>
                <w:webHidden/>
              </w:rPr>
              <w:tab/>
            </w:r>
            <w:r w:rsidR="000D5224">
              <w:rPr>
                <w:noProof/>
                <w:webHidden/>
              </w:rPr>
              <w:fldChar w:fldCharType="begin"/>
            </w:r>
            <w:r w:rsidR="000D5224">
              <w:rPr>
                <w:noProof/>
                <w:webHidden/>
              </w:rPr>
              <w:instrText xml:space="preserve"> PAGEREF _Toc354671348 \h </w:instrText>
            </w:r>
            <w:r w:rsidR="000D5224">
              <w:rPr>
                <w:noProof/>
                <w:webHidden/>
              </w:rPr>
            </w:r>
            <w:r w:rsidR="000D5224">
              <w:rPr>
                <w:noProof/>
                <w:webHidden/>
              </w:rPr>
              <w:fldChar w:fldCharType="separate"/>
            </w:r>
            <w:r w:rsidR="00020665">
              <w:rPr>
                <w:noProof/>
                <w:webHidden/>
              </w:rPr>
              <w:t>65</w:t>
            </w:r>
            <w:r w:rsidR="000D5224">
              <w:rPr>
                <w:noProof/>
                <w:webHidden/>
              </w:rPr>
              <w:fldChar w:fldCharType="end"/>
            </w:r>
          </w:hyperlink>
        </w:p>
        <w:p w:rsidR="000D5224" w:rsidRDefault="000E4B39">
          <w:pPr>
            <w:pStyle w:val="TDC2"/>
            <w:tabs>
              <w:tab w:val="left" w:pos="880"/>
              <w:tab w:val="right" w:leader="dot" w:pos="8828"/>
            </w:tabs>
            <w:rPr>
              <w:rFonts w:eastAsiaTheme="minorEastAsia" w:cstheme="minorBidi"/>
              <w:b w:val="0"/>
              <w:bCs w:val="0"/>
              <w:noProof/>
              <w:lang w:val="es-CO" w:eastAsia="es-CO"/>
            </w:rPr>
          </w:pPr>
          <w:hyperlink w:anchor="_Toc354671349" w:history="1">
            <w:r w:rsidR="000D5224" w:rsidRPr="008440F7">
              <w:rPr>
                <w:rStyle w:val="Hipervnculo"/>
                <w:noProof/>
              </w:rPr>
              <w:t>3.8.</w:t>
            </w:r>
            <w:r w:rsidR="000D5224">
              <w:rPr>
                <w:rFonts w:eastAsiaTheme="minorEastAsia" w:cstheme="minorBidi"/>
                <w:b w:val="0"/>
                <w:bCs w:val="0"/>
                <w:noProof/>
                <w:lang w:val="es-CO" w:eastAsia="es-CO"/>
              </w:rPr>
              <w:tab/>
            </w:r>
            <w:r w:rsidR="000D5224" w:rsidRPr="008440F7">
              <w:rPr>
                <w:rStyle w:val="Hipervnculo"/>
                <w:noProof/>
              </w:rPr>
              <w:t>INVESTIGACIONES, INNOVACIÓN Y EXTENSIÓN</w:t>
            </w:r>
            <w:r w:rsidR="000D5224">
              <w:rPr>
                <w:noProof/>
                <w:webHidden/>
              </w:rPr>
              <w:tab/>
            </w:r>
            <w:r w:rsidR="000D5224">
              <w:rPr>
                <w:noProof/>
                <w:webHidden/>
              </w:rPr>
              <w:fldChar w:fldCharType="begin"/>
            </w:r>
            <w:r w:rsidR="000D5224">
              <w:rPr>
                <w:noProof/>
                <w:webHidden/>
              </w:rPr>
              <w:instrText xml:space="preserve"> PAGEREF _Toc354671349 \h </w:instrText>
            </w:r>
            <w:r w:rsidR="000D5224">
              <w:rPr>
                <w:noProof/>
                <w:webHidden/>
              </w:rPr>
            </w:r>
            <w:r w:rsidR="000D5224">
              <w:rPr>
                <w:noProof/>
                <w:webHidden/>
              </w:rPr>
              <w:fldChar w:fldCharType="separate"/>
            </w:r>
            <w:r w:rsidR="00020665">
              <w:rPr>
                <w:noProof/>
                <w:webHidden/>
              </w:rPr>
              <w:t>68</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50" w:history="1">
            <w:r w:rsidR="000D5224" w:rsidRPr="008440F7">
              <w:rPr>
                <w:rStyle w:val="Hipervnculo"/>
                <w:noProof/>
              </w:rPr>
              <w:t>Porcentaje de Patentes en Trámite o aprobadas que hayan sido comercializadas</w:t>
            </w:r>
            <w:r w:rsidR="000D5224">
              <w:rPr>
                <w:noProof/>
                <w:webHidden/>
              </w:rPr>
              <w:tab/>
            </w:r>
            <w:r w:rsidR="000D5224">
              <w:rPr>
                <w:noProof/>
                <w:webHidden/>
              </w:rPr>
              <w:fldChar w:fldCharType="begin"/>
            </w:r>
            <w:r w:rsidR="000D5224">
              <w:rPr>
                <w:noProof/>
                <w:webHidden/>
              </w:rPr>
              <w:instrText xml:space="preserve"> PAGEREF _Toc354671350 \h </w:instrText>
            </w:r>
            <w:r w:rsidR="000D5224">
              <w:rPr>
                <w:noProof/>
                <w:webHidden/>
              </w:rPr>
            </w:r>
            <w:r w:rsidR="000D5224">
              <w:rPr>
                <w:noProof/>
                <w:webHidden/>
              </w:rPr>
              <w:fldChar w:fldCharType="separate"/>
            </w:r>
            <w:r w:rsidR="00020665">
              <w:rPr>
                <w:noProof/>
                <w:webHidden/>
              </w:rPr>
              <w:t>68</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51" w:history="1">
            <w:r w:rsidR="000D5224" w:rsidRPr="008440F7">
              <w:rPr>
                <w:rStyle w:val="Hipervnculo"/>
                <w:noProof/>
              </w:rPr>
              <w:t>Número de artículos publicados en los índex internacionales</w:t>
            </w:r>
            <w:r w:rsidR="000D5224">
              <w:rPr>
                <w:noProof/>
                <w:webHidden/>
              </w:rPr>
              <w:tab/>
            </w:r>
            <w:r w:rsidR="000D5224">
              <w:rPr>
                <w:noProof/>
                <w:webHidden/>
              </w:rPr>
              <w:fldChar w:fldCharType="begin"/>
            </w:r>
            <w:r w:rsidR="000D5224">
              <w:rPr>
                <w:noProof/>
                <w:webHidden/>
              </w:rPr>
              <w:instrText xml:space="preserve"> PAGEREF _Toc354671351 \h </w:instrText>
            </w:r>
            <w:r w:rsidR="000D5224">
              <w:rPr>
                <w:noProof/>
                <w:webHidden/>
              </w:rPr>
            </w:r>
            <w:r w:rsidR="000D5224">
              <w:rPr>
                <w:noProof/>
                <w:webHidden/>
              </w:rPr>
              <w:fldChar w:fldCharType="separate"/>
            </w:r>
            <w:r w:rsidR="00020665">
              <w:rPr>
                <w:noProof/>
                <w:webHidden/>
              </w:rPr>
              <w:t>70</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52" w:history="1">
            <w:r w:rsidR="000D5224" w:rsidRPr="008440F7">
              <w:rPr>
                <w:rStyle w:val="Hipervnculo"/>
                <w:noProof/>
              </w:rPr>
              <w:t>Porcentaje de proyectos de investigación apropiados por la sociedad</w:t>
            </w:r>
            <w:r w:rsidR="000D5224">
              <w:rPr>
                <w:noProof/>
                <w:webHidden/>
              </w:rPr>
              <w:tab/>
            </w:r>
            <w:r w:rsidR="000D5224">
              <w:rPr>
                <w:noProof/>
                <w:webHidden/>
              </w:rPr>
              <w:fldChar w:fldCharType="begin"/>
            </w:r>
            <w:r w:rsidR="000D5224">
              <w:rPr>
                <w:noProof/>
                <w:webHidden/>
              </w:rPr>
              <w:instrText xml:space="preserve"> PAGEREF _Toc354671352 \h </w:instrText>
            </w:r>
            <w:r w:rsidR="000D5224">
              <w:rPr>
                <w:noProof/>
                <w:webHidden/>
              </w:rPr>
            </w:r>
            <w:r w:rsidR="000D5224">
              <w:rPr>
                <w:noProof/>
                <w:webHidden/>
              </w:rPr>
              <w:fldChar w:fldCharType="separate"/>
            </w:r>
            <w:r w:rsidR="00020665">
              <w:rPr>
                <w:noProof/>
                <w:webHidden/>
              </w:rPr>
              <w:t>71</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53" w:history="1">
            <w:r w:rsidR="000D5224" w:rsidRPr="008440F7">
              <w:rPr>
                <w:rStyle w:val="Hipervnculo"/>
                <w:noProof/>
              </w:rPr>
              <w:t>Porcentaje de software y libros que hayan sido comercializados.</w:t>
            </w:r>
            <w:r w:rsidR="000D5224">
              <w:rPr>
                <w:noProof/>
                <w:webHidden/>
              </w:rPr>
              <w:tab/>
            </w:r>
            <w:r w:rsidR="000D5224">
              <w:rPr>
                <w:noProof/>
                <w:webHidden/>
              </w:rPr>
              <w:fldChar w:fldCharType="begin"/>
            </w:r>
            <w:r w:rsidR="000D5224">
              <w:rPr>
                <w:noProof/>
                <w:webHidden/>
              </w:rPr>
              <w:instrText xml:space="preserve"> PAGEREF _Toc354671353 \h </w:instrText>
            </w:r>
            <w:r w:rsidR="000D5224">
              <w:rPr>
                <w:noProof/>
                <w:webHidden/>
              </w:rPr>
            </w:r>
            <w:r w:rsidR="000D5224">
              <w:rPr>
                <w:noProof/>
                <w:webHidden/>
              </w:rPr>
              <w:fldChar w:fldCharType="separate"/>
            </w:r>
            <w:r w:rsidR="00020665">
              <w:rPr>
                <w:noProof/>
                <w:webHidden/>
              </w:rPr>
              <w:t>72</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54" w:history="1">
            <w:r w:rsidR="000D5224" w:rsidRPr="008440F7">
              <w:rPr>
                <w:rStyle w:val="Hipervnculo"/>
                <w:noProof/>
              </w:rPr>
              <w:t>Creación y transformación del conocimiento</w:t>
            </w:r>
            <w:r w:rsidR="000D5224">
              <w:rPr>
                <w:noProof/>
                <w:webHidden/>
              </w:rPr>
              <w:tab/>
            </w:r>
            <w:r w:rsidR="000D5224">
              <w:rPr>
                <w:noProof/>
                <w:webHidden/>
              </w:rPr>
              <w:fldChar w:fldCharType="begin"/>
            </w:r>
            <w:r w:rsidR="000D5224">
              <w:rPr>
                <w:noProof/>
                <w:webHidden/>
              </w:rPr>
              <w:instrText xml:space="preserve"> PAGEREF _Toc354671354 \h </w:instrText>
            </w:r>
            <w:r w:rsidR="000D5224">
              <w:rPr>
                <w:noProof/>
                <w:webHidden/>
              </w:rPr>
            </w:r>
            <w:r w:rsidR="000D5224">
              <w:rPr>
                <w:noProof/>
                <w:webHidden/>
              </w:rPr>
              <w:fldChar w:fldCharType="separate"/>
            </w:r>
            <w:r w:rsidR="00020665">
              <w:rPr>
                <w:noProof/>
                <w:webHidden/>
              </w:rPr>
              <w:t>73</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55" w:history="1">
            <w:r w:rsidR="000D5224" w:rsidRPr="008440F7">
              <w:rPr>
                <w:rStyle w:val="Hipervnculo"/>
                <w:noProof/>
              </w:rPr>
              <w:t>Transferencia o aplicación del conocimiento</w:t>
            </w:r>
            <w:r w:rsidR="000D5224">
              <w:rPr>
                <w:noProof/>
                <w:webHidden/>
              </w:rPr>
              <w:tab/>
            </w:r>
            <w:r w:rsidR="000D5224">
              <w:rPr>
                <w:noProof/>
                <w:webHidden/>
              </w:rPr>
              <w:fldChar w:fldCharType="begin"/>
            </w:r>
            <w:r w:rsidR="000D5224">
              <w:rPr>
                <w:noProof/>
                <w:webHidden/>
              </w:rPr>
              <w:instrText xml:space="preserve"> PAGEREF _Toc354671355 \h </w:instrText>
            </w:r>
            <w:r w:rsidR="000D5224">
              <w:rPr>
                <w:noProof/>
                <w:webHidden/>
              </w:rPr>
            </w:r>
            <w:r w:rsidR="000D5224">
              <w:rPr>
                <w:noProof/>
                <w:webHidden/>
              </w:rPr>
              <w:fldChar w:fldCharType="separate"/>
            </w:r>
            <w:r w:rsidR="00020665">
              <w:rPr>
                <w:noProof/>
                <w:webHidden/>
              </w:rPr>
              <w:t>74</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56" w:history="1">
            <w:r w:rsidR="000D5224" w:rsidRPr="008440F7">
              <w:rPr>
                <w:rStyle w:val="Hipervnculo"/>
                <w:noProof/>
              </w:rPr>
              <w:t>Generación de desarrollo social y cultural</w:t>
            </w:r>
            <w:r w:rsidR="000D5224">
              <w:rPr>
                <w:noProof/>
                <w:webHidden/>
              </w:rPr>
              <w:tab/>
            </w:r>
            <w:r w:rsidR="000D5224">
              <w:rPr>
                <w:noProof/>
                <w:webHidden/>
              </w:rPr>
              <w:fldChar w:fldCharType="begin"/>
            </w:r>
            <w:r w:rsidR="000D5224">
              <w:rPr>
                <w:noProof/>
                <w:webHidden/>
              </w:rPr>
              <w:instrText xml:space="preserve"> PAGEREF _Toc354671356 \h </w:instrText>
            </w:r>
            <w:r w:rsidR="000D5224">
              <w:rPr>
                <w:noProof/>
                <w:webHidden/>
              </w:rPr>
            </w:r>
            <w:r w:rsidR="000D5224">
              <w:rPr>
                <w:noProof/>
                <w:webHidden/>
              </w:rPr>
              <w:fldChar w:fldCharType="separate"/>
            </w:r>
            <w:r w:rsidR="00020665">
              <w:rPr>
                <w:noProof/>
                <w:webHidden/>
              </w:rPr>
              <w:t>74</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57" w:history="1">
            <w:r w:rsidR="000D5224" w:rsidRPr="008440F7">
              <w:rPr>
                <w:rStyle w:val="Hipervnculo"/>
                <w:noProof/>
              </w:rPr>
              <w:t>Generación de desarrollo Institucional</w:t>
            </w:r>
            <w:r w:rsidR="000D5224">
              <w:rPr>
                <w:noProof/>
                <w:webHidden/>
              </w:rPr>
              <w:tab/>
            </w:r>
            <w:r w:rsidR="000D5224">
              <w:rPr>
                <w:noProof/>
                <w:webHidden/>
              </w:rPr>
              <w:fldChar w:fldCharType="begin"/>
            </w:r>
            <w:r w:rsidR="000D5224">
              <w:rPr>
                <w:noProof/>
                <w:webHidden/>
              </w:rPr>
              <w:instrText xml:space="preserve"> PAGEREF _Toc354671357 \h </w:instrText>
            </w:r>
            <w:r w:rsidR="000D5224">
              <w:rPr>
                <w:noProof/>
                <w:webHidden/>
              </w:rPr>
            </w:r>
            <w:r w:rsidR="000D5224">
              <w:rPr>
                <w:noProof/>
                <w:webHidden/>
              </w:rPr>
              <w:fldChar w:fldCharType="separate"/>
            </w:r>
            <w:r w:rsidR="00020665">
              <w:rPr>
                <w:noProof/>
                <w:webHidden/>
              </w:rPr>
              <w:t>75</w:t>
            </w:r>
            <w:r w:rsidR="000D5224">
              <w:rPr>
                <w:noProof/>
                <w:webHidden/>
              </w:rPr>
              <w:fldChar w:fldCharType="end"/>
            </w:r>
          </w:hyperlink>
        </w:p>
        <w:p w:rsidR="000D5224" w:rsidRDefault="000E4B39">
          <w:pPr>
            <w:pStyle w:val="TDC2"/>
            <w:tabs>
              <w:tab w:val="left" w:pos="880"/>
              <w:tab w:val="right" w:leader="dot" w:pos="8828"/>
            </w:tabs>
            <w:rPr>
              <w:rFonts w:eastAsiaTheme="minorEastAsia" w:cstheme="minorBidi"/>
              <w:b w:val="0"/>
              <w:bCs w:val="0"/>
              <w:noProof/>
              <w:lang w:val="es-CO" w:eastAsia="es-CO"/>
            </w:rPr>
          </w:pPr>
          <w:hyperlink w:anchor="_Toc354671358" w:history="1">
            <w:r w:rsidR="000D5224" w:rsidRPr="008440F7">
              <w:rPr>
                <w:rStyle w:val="Hipervnculo"/>
                <w:noProof/>
              </w:rPr>
              <w:t>3.9.</w:t>
            </w:r>
            <w:r w:rsidR="000D5224">
              <w:rPr>
                <w:rFonts w:eastAsiaTheme="minorEastAsia" w:cstheme="minorBidi"/>
                <w:b w:val="0"/>
                <w:bCs w:val="0"/>
                <w:noProof/>
                <w:lang w:val="es-CO" w:eastAsia="es-CO"/>
              </w:rPr>
              <w:tab/>
            </w:r>
            <w:r w:rsidR="000D5224" w:rsidRPr="008440F7">
              <w:rPr>
                <w:rStyle w:val="Hipervnculo"/>
                <w:noProof/>
              </w:rPr>
              <w:t>INTERNACIONALIZACIÓN DE LA UNIVERSIDAD</w:t>
            </w:r>
            <w:r w:rsidR="000D5224">
              <w:rPr>
                <w:noProof/>
                <w:webHidden/>
              </w:rPr>
              <w:tab/>
            </w:r>
            <w:r w:rsidR="000D5224">
              <w:rPr>
                <w:noProof/>
                <w:webHidden/>
              </w:rPr>
              <w:fldChar w:fldCharType="begin"/>
            </w:r>
            <w:r w:rsidR="000D5224">
              <w:rPr>
                <w:noProof/>
                <w:webHidden/>
              </w:rPr>
              <w:instrText xml:space="preserve"> PAGEREF _Toc354671358 \h </w:instrText>
            </w:r>
            <w:r w:rsidR="000D5224">
              <w:rPr>
                <w:noProof/>
                <w:webHidden/>
              </w:rPr>
            </w:r>
            <w:r w:rsidR="000D5224">
              <w:rPr>
                <w:noProof/>
                <w:webHidden/>
              </w:rPr>
              <w:fldChar w:fldCharType="separate"/>
            </w:r>
            <w:r w:rsidR="00020665">
              <w:rPr>
                <w:noProof/>
                <w:webHidden/>
              </w:rPr>
              <w:t>78</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59" w:history="1">
            <w:r w:rsidR="000D5224" w:rsidRPr="008440F7">
              <w:rPr>
                <w:rStyle w:val="Hipervnculo"/>
                <w:noProof/>
              </w:rPr>
              <w:t>Nivel de Internacionalización</w:t>
            </w:r>
            <w:r w:rsidR="000D5224">
              <w:rPr>
                <w:noProof/>
                <w:webHidden/>
              </w:rPr>
              <w:tab/>
            </w:r>
            <w:r w:rsidR="000D5224">
              <w:rPr>
                <w:noProof/>
                <w:webHidden/>
              </w:rPr>
              <w:fldChar w:fldCharType="begin"/>
            </w:r>
            <w:r w:rsidR="000D5224">
              <w:rPr>
                <w:noProof/>
                <w:webHidden/>
              </w:rPr>
              <w:instrText xml:space="preserve"> PAGEREF _Toc354671359 \h </w:instrText>
            </w:r>
            <w:r w:rsidR="000D5224">
              <w:rPr>
                <w:noProof/>
                <w:webHidden/>
              </w:rPr>
            </w:r>
            <w:r w:rsidR="000D5224">
              <w:rPr>
                <w:noProof/>
                <w:webHidden/>
              </w:rPr>
              <w:fldChar w:fldCharType="separate"/>
            </w:r>
            <w:r w:rsidR="00020665">
              <w:rPr>
                <w:noProof/>
                <w:webHidden/>
              </w:rPr>
              <w:t>80</w:t>
            </w:r>
            <w:r w:rsidR="000D5224">
              <w:rPr>
                <w:noProof/>
                <w:webHidden/>
              </w:rPr>
              <w:fldChar w:fldCharType="end"/>
            </w:r>
          </w:hyperlink>
        </w:p>
        <w:p w:rsidR="000D5224" w:rsidRDefault="000E4B39">
          <w:pPr>
            <w:pStyle w:val="TDC1"/>
            <w:tabs>
              <w:tab w:val="right" w:leader="dot" w:pos="8828"/>
            </w:tabs>
            <w:rPr>
              <w:rFonts w:eastAsiaTheme="minorEastAsia" w:cstheme="minorBidi"/>
              <w:b w:val="0"/>
              <w:bCs w:val="0"/>
              <w:i w:val="0"/>
              <w:iCs w:val="0"/>
              <w:noProof/>
              <w:sz w:val="22"/>
              <w:szCs w:val="22"/>
              <w:lang w:val="es-CO" w:eastAsia="es-CO"/>
            </w:rPr>
          </w:pPr>
          <w:hyperlink w:anchor="_Toc354671360" w:history="1">
            <w:r w:rsidR="000D5224" w:rsidRPr="008440F7">
              <w:rPr>
                <w:rStyle w:val="Hipervnculo"/>
                <w:rFonts w:cs="Calibri"/>
                <w:noProof/>
              </w:rPr>
              <w:t>Grupo de funcionarios administrativos de la Universidad Tecnológica de Pereira en ELS Indianapolis.</w:t>
            </w:r>
            <w:r w:rsidR="000D5224">
              <w:rPr>
                <w:noProof/>
                <w:webHidden/>
              </w:rPr>
              <w:tab/>
            </w:r>
            <w:r w:rsidR="000D5224">
              <w:rPr>
                <w:noProof/>
                <w:webHidden/>
              </w:rPr>
              <w:fldChar w:fldCharType="begin"/>
            </w:r>
            <w:r w:rsidR="000D5224">
              <w:rPr>
                <w:noProof/>
                <w:webHidden/>
              </w:rPr>
              <w:instrText xml:space="preserve"> PAGEREF _Toc354671360 \h </w:instrText>
            </w:r>
            <w:r w:rsidR="000D5224">
              <w:rPr>
                <w:noProof/>
                <w:webHidden/>
              </w:rPr>
            </w:r>
            <w:r w:rsidR="000D5224">
              <w:rPr>
                <w:noProof/>
                <w:webHidden/>
              </w:rPr>
              <w:fldChar w:fldCharType="separate"/>
            </w:r>
            <w:r w:rsidR="00020665">
              <w:rPr>
                <w:noProof/>
                <w:webHidden/>
              </w:rPr>
              <w:t>81</w:t>
            </w:r>
            <w:r w:rsidR="000D5224">
              <w:rPr>
                <w:noProof/>
                <w:webHidden/>
              </w:rPr>
              <w:fldChar w:fldCharType="end"/>
            </w:r>
          </w:hyperlink>
        </w:p>
        <w:p w:rsidR="000D5224" w:rsidRDefault="000E4B39">
          <w:pPr>
            <w:pStyle w:val="TDC1"/>
            <w:tabs>
              <w:tab w:val="right" w:leader="dot" w:pos="8828"/>
            </w:tabs>
            <w:rPr>
              <w:rFonts w:eastAsiaTheme="minorEastAsia" w:cstheme="minorBidi"/>
              <w:b w:val="0"/>
              <w:bCs w:val="0"/>
              <w:i w:val="0"/>
              <w:iCs w:val="0"/>
              <w:noProof/>
              <w:sz w:val="22"/>
              <w:szCs w:val="22"/>
              <w:lang w:val="es-CO" w:eastAsia="es-CO"/>
            </w:rPr>
          </w:pPr>
          <w:hyperlink w:anchor="_Toc354671361" w:history="1">
            <w:r w:rsidR="000D5224" w:rsidRPr="008440F7">
              <w:rPr>
                <w:rStyle w:val="Hipervnculo"/>
                <w:rFonts w:cs="Calibri"/>
                <w:noProof/>
              </w:rPr>
              <w:t>Reunión de bienvenida para los estudiantes internacionales – 2012.</w:t>
            </w:r>
            <w:r w:rsidR="000D5224">
              <w:rPr>
                <w:noProof/>
                <w:webHidden/>
              </w:rPr>
              <w:tab/>
            </w:r>
            <w:r w:rsidR="000D5224">
              <w:rPr>
                <w:noProof/>
                <w:webHidden/>
              </w:rPr>
              <w:fldChar w:fldCharType="begin"/>
            </w:r>
            <w:r w:rsidR="000D5224">
              <w:rPr>
                <w:noProof/>
                <w:webHidden/>
              </w:rPr>
              <w:instrText xml:space="preserve"> PAGEREF _Toc354671361 \h </w:instrText>
            </w:r>
            <w:r w:rsidR="000D5224">
              <w:rPr>
                <w:noProof/>
                <w:webHidden/>
              </w:rPr>
            </w:r>
            <w:r w:rsidR="000D5224">
              <w:rPr>
                <w:noProof/>
                <w:webHidden/>
              </w:rPr>
              <w:fldChar w:fldCharType="separate"/>
            </w:r>
            <w:r w:rsidR="00020665">
              <w:rPr>
                <w:noProof/>
                <w:webHidden/>
              </w:rPr>
              <w:t>83</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62" w:history="1">
            <w:r w:rsidR="000D5224" w:rsidRPr="008440F7">
              <w:rPr>
                <w:rStyle w:val="Hipervnculo"/>
                <w:noProof/>
              </w:rPr>
              <w:t>Gestión de la Información en Internacionalización</w:t>
            </w:r>
            <w:r w:rsidR="000D5224">
              <w:rPr>
                <w:noProof/>
                <w:webHidden/>
              </w:rPr>
              <w:tab/>
            </w:r>
            <w:r w:rsidR="000D5224">
              <w:rPr>
                <w:noProof/>
                <w:webHidden/>
              </w:rPr>
              <w:fldChar w:fldCharType="begin"/>
            </w:r>
            <w:r w:rsidR="000D5224">
              <w:rPr>
                <w:noProof/>
                <w:webHidden/>
              </w:rPr>
              <w:instrText xml:space="preserve"> PAGEREF _Toc354671362 \h </w:instrText>
            </w:r>
            <w:r w:rsidR="000D5224">
              <w:rPr>
                <w:noProof/>
                <w:webHidden/>
              </w:rPr>
            </w:r>
            <w:r w:rsidR="000D5224">
              <w:rPr>
                <w:noProof/>
                <w:webHidden/>
              </w:rPr>
              <w:fldChar w:fldCharType="separate"/>
            </w:r>
            <w:r w:rsidR="00020665">
              <w:rPr>
                <w:noProof/>
                <w:webHidden/>
              </w:rPr>
              <w:t>88</w:t>
            </w:r>
            <w:r w:rsidR="000D5224">
              <w:rPr>
                <w:noProof/>
                <w:webHidden/>
              </w:rPr>
              <w:fldChar w:fldCharType="end"/>
            </w:r>
          </w:hyperlink>
        </w:p>
        <w:p w:rsidR="000D5224" w:rsidRDefault="000E4B39">
          <w:pPr>
            <w:pStyle w:val="TDC2"/>
            <w:tabs>
              <w:tab w:val="left" w:pos="1100"/>
              <w:tab w:val="right" w:leader="dot" w:pos="8828"/>
            </w:tabs>
            <w:rPr>
              <w:rFonts w:eastAsiaTheme="minorEastAsia" w:cstheme="minorBidi"/>
              <w:b w:val="0"/>
              <w:bCs w:val="0"/>
              <w:noProof/>
              <w:lang w:val="es-CO" w:eastAsia="es-CO"/>
            </w:rPr>
          </w:pPr>
          <w:hyperlink w:anchor="_Toc354671363" w:history="1">
            <w:r w:rsidR="000D5224" w:rsidRPr="008440F7">
              <w:rPr>
                <w:rStyle w:val="Hipervnculo"/>
                <w:noProof/>
              </w:rPr>
              <w:t>3.10.</w:t>
            </w:r>
            <w:r w:rsidR="000D5224">
              <w:rPr>
                <w:rFonts w:eastAsiaTheme="minorEastAsia" w:cstheme="minorBidi"/>
                <w:b w:val="0"/>
                <w:bCs w:val="0"/>
                <w:noProof/>
                <w:lang w:val="es-CO" w:eastAsia="es-CO"/>
              </w:rPr>
              <w:tab/>
            </w:r>
            <w:r w:rsidR="000D5224" w:rsidRPr="008440F7">
              <w:rPr>
                <w:rStyle w:val="Hipervnculo"/>
                <w:noProof/>
              </w:rPr>
              <w:t>IMPACTO REGIONAL</w:t>
            </w:r>
            <w:r w:rsidR="000D5224">
              <w:rPr>
                <w:noProof/>
                <w:webHidden/>
              </w:rPr>
              <w:tab/>
            </w:r>
            <w:r w:rsidR="000D5224">
              <w:rPr>
                <w:noProof/>
                <w:webHidden/>
              </w:rPr>
              <w:fldChar w:fldCharType="begin"/>
            </w:r>
            <w:r w:rsidR="000D5224">
              <w:rPr>
                <w:noProof/>
                <w:webHidden/>
              </w:rPr>
              <w:instrText xml:space="preserve"> PAGEREF _Toc354671363 \h </w:instrText>
            </w:r>
            <w:r w:rsidR="000D5224">
              <w:rPr>
                <w:noProof/>
                <w:webHidden/>
              </w:rPr>
            </w:r>
            <w:r w:rsidR="000D5224">
              <w:rPr>
                <w:noProof/>
                <w:webHidden/>
              </w:rPr>
              <w:fldChar w:fldCharType="separate"/>
            </w:r>
            <w:r w:rsidR="00020665">
              <w:rPr>
                <w:noProof/>
                <w:webHidden/>
              </w:rPr>
              <w:t>89</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64" w:history="1">
            <w:r w:rsidR="000D5224" w:rsidRPr="008440F7">
              <w:rPr>
                <w:rStyle w:val="Hipervnculo"/>
                <w:noProof/>
              </w:rPr>
              <w:t>Direccionamiento Estratégico de la Tecnología y Producción.</w:t>
            </w:r>
            <w:r w:rsidR="000D5224">
              <w:rPr>
                <w:noProof/>
                <w:webHidden/>
              </w:rPr>
              <w:tab/>
            </w:r>
            <w:r w:rsidR="000D5224">
              <w:rPr>
                <w:noProof/>
                <w:webHidden/>
              </w:rPr>
              <w:fldChar w:fldCharType="begin"/>
            </w:r>
            <w:r w:rsidR="000D5224">
              <w:rPr>
                <w:noProof/>
                <w:webHidden/>
              </w:rPr>
              <w:instrText xml:space="preserve"> PAGEREF _Toc354671364 \h </w:instrText>
            </w:r>
            <w:r w:rsidR="000D5224">
              <w:rPr>
                <w:noProof/>
                <w:webHidden/>
              </w:rPr>
            </w:r>
            <w:r w:rsidR="000D5224">
              <w:rPr>
                <w:noProof/>
                <w:webHidden/>
              </w:rPr>
              <w:fldChar w:fldCharType="separate"/>
            </w:r>
            <w:r w:rsidR="00020665">
              <w:rPr>
                <w:noProof/>
                <w:webHidden/>
              </w:rPr>
              <w:t>90</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65" w:history="1">
            <w:r w:rsidR="000D5224" w:rsidRPr="008440F7">
              <w:rPr>
                <w:rStyle w:val="Hipervnculo"/>
                <w:noProof/>
              </w:rPr>
              <w:t>Direccionamiento Estratégico del Conocimiento</w:t>
            </w:r>
            <w:r w:rsidR="000D5224">
              <w:rPr>
                <w:noProof/>
                <w:webHidden/>
              </w:rPr>
              <w:tab/>
            </w:r>
            <w:r w:rsidR="000D5224">
              <w:rPr>
                <w:noProof/>
                <w:webHidden/>
              </w:rPr>
              <w:fldChar w:fldCharType="begin"/>
            </w:r>
            <w:r w:rsidR="000D5224">
              <w:rPr>
                <w:noProof/>
                <w:webHidden/>
              </w:rPr>
              <w:instrText xml:space="preserve"> PAGEREF _Toc354671365 \h </w:instrText>
            </w:r>
            <w:r w:rsidR="000D5224">
              <w:rPr>
                <w:noProof/>
                <w:webHidden/>
              </w:rPr>
            </w:r>
            <w:r w:rsidR="000D5224">
              <w:rPr>
                <w:noProof/>
                <w:webHidden/>
              </w:rPr>
              <w:fldChar w:fldCharType="separate"/>
            </w:r>
            <w:r w:rsidR="00020665">
              <w:rPr>
                <w:noProof/>
                <w:webHidden/>
              </w:rPr>
              <w:t>92</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66" w:history="1">
            <w:r w:rsidR="000D5224" w:rsidRPr="008440F7">
              <w:rPr>
                <w:rStyle w:val="Hipervnculo"/>
                <w:noProof/>
              </w:rPr>
              <w:t>Direccionamiento Estratégico de la sociedad y ambiente</w:t>
            </w:r>
            <w:r w:rsidR="000D5224">
              <w:rPr>
                <w:noProof/>
                <w:webHidden/>
              </w:rPr>
              <w:tab/>
            </w:r>
            <w:r w:rsidR="000D5224">
              <w:rPr>
                <w:noProof/>
                <w:webHidden/>
              </w:rPr>
              <w:fldChar w:fldCharType="begin"/>
            </w:r>
            <w:r w:rsidR="000D5224">
              <w:rPr>
                <w:noProof/>
                <w:webHidden/>
              </w:rPr>
              <w:instrText xml:space="preserve"> PAGEREF _Toc354671366 \h </w:instrText>
            </w:r>
            <w:r w:rsidR="000D5224">
              <w:rPr>
                <w:noProof/>
                <w:webHidden/>
              </w:rPr>
            </w:r>
            <w:r w:rsidR="000D5224">
              <w:rPr>
                <w:noProof/>
                <w:webHidden/>
              </w:rPr>
              <w:fldChar w:fldCharType="separate"/>
            </w:r>
            <w:r w:rsidR="00020665">
              <w:rPr>
                <w:noProof/>
                <w:webHidden/>
              </w:rPr>
              <w:t>94</w:t>
            </w:r>
            <w:r w:rsidR="000D5224">
              <w:rPr>
                <w:noProof/>
                <w:webHidden/>
              </w:rPr>
              <w:fldChar w:fldCharType="end"/>
            </w:r>
          </w:hyperlink>
        </w:p>
        <w:p w:rsidR="000D5224" w:rsidRDefault="000E4B39">
          <w:pPr>
            <w:pStyle w:val="TDC2"/>
            <w:tabs>
              <w:tab w:val="left" w:pos="1100"/>
              <w:tab w:val="right" w:leader="dot" w:pos="8828"/>
            </w:tabs>
            <w:rPr>
              <w:rFonts w:eastAsiaTheme="minorEastAsia" w:cstheme="minorBidi"/>
              <w:b w:val="0"/>
              <w:bCs w:val="0"/>
              <w:noProof/>
              <w:lang w:val="es-CO" w:eastAsia="es-CO"/>
            </w:rPr>
          </w:pPr>
          <w:hyperlink w:anchor="_Toc354671367" w:history="1">
            <w:r w:rsidR="000D5224" w:rsidRPr="008440F7">
              <w:rPr>
                <w:rStyle w:val="Hipervnculo"/>
                <w:noProof/>
              </w:rPr>
              <w:t>3.11.</w:t>
            </w:r>
            <w:r w:rsidR="000D5224">
              <w:rPr>
                <w:rFonts w:eastAsiaTheme="minorEastAsia" w:cstheme="minorBidi"/>
                <w:b w:val="0"/>
                <w:bCs w:val="0"/>
                <w:noProof/>
                <w:lang w:val="es-CO" w:eastAsia="es-CO"/>
              </w:rPr>
              <w:tab/>
            </w:r>
            <w:r w:rsidR="000D5224" w:rsidRPr="008440F7">
              <w:rPr>
                <w:rStyle w:val="Hipervnculo"/>
                <w:noProof/>
              </w:rPr>
              <w:t>ALIANZAS ESTRATÉGICAS</w:t>
            </w:r>
            <w:r w:rsidR="000D5224">
              <w:rPr>
                <w:noProof/>
                <w:webHidden/>
              </w:rPr>
              <w:tab/>
            </w:r>
            <w:r w:rsidR="000D5224">
              <w:rPr>
                <w:noProof/>
                <w:webHidden/>
              </w:rPr>
              <w:fldChar w:fldCharType="begin"/>
            </w:r>
            <w:r w:rsidR="000D5224">
              <w:rPr>
                <w:noProof/>
                <w:webHidden/>
              </w:rPr>
              <w:instrText xml:space="preserve"> PAGEREF _Toc354671367 \h </w:instrText>
            </w:r>
            <w:r w:rsidR="000D5224">
              <w:rPr>
                <w:noProof/>
                <w:webHidden/>
              </w:rPr>
            </w:r>
            <w:r w:rsidR="000D5224">
              <w:rPr>
                <w:noProof/>
                <w:webHidden/>
              </w:rPr>
              <w:fldChar w:fldCharType="separate"/>
            </w:r>
            <w:r w:rsidR="00020665">
              <w:rPr>
                <w:noProof/>
                <w:webHidden/>
              </w:rPr>
              <w:t>97</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68" w:history="1">
            <w:r w:rsidR="000D5224" w:rsidRPr="008440F7">
              <w:rPr>
                <w:rStyle w:val="Hipervnculo"/>
                <w:noProof/>
              </w:rPr>
              <w:t>Alianzas Estratégicas Activas</w:t>
            </w:r>
            <w:r w:rsidR="000D5224">
              <w:rPr>
                <w:noProof/>
                <w:webHidden/>
              </w:rPr>
              <w:tab/>
            </w:r>
            <w:r w:rsidR="000D5224">
              <w:rPr>
                <w:noProof/>
                <w:webHidden/>
              </w:rPr>
              <w:fldChar w:fldCharType="begin"/>
            </w:r>
            <w:r w:rsidR="000D5224">
              <w:rPr>
                <w:noProof/>
                <w:webHidden/>
              </w:rPr>
              <w:instrText xml:space="preserve"> PAGEREF _Toc354671368 \h </w:instrText>
            </w:r>
            <w:r w:rsidR="000D5224">
              <w:rPr>
                <w:noProof/>
                <w:webHidden/>
              </w:rPr>
            </w:r>
            <w:r w:rsidR="000D5224">
              <w:rPr>
                <w:noProof/>
                <w:webHidden/>
              </w:rPr>
              <w:fldChar w:fldCharType="separate"/>
            </w:r>
            <w:r w:rsidR="00020665">
              <w:rPr>
                <w:noProof/>
                <w:webHidden/>
              </w:rPr>
              <w:t>97</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69" w:history="1">
            <w:r w:rsidR="000D5224" w:rsidRPr="008440F7">
              <w:rPr>
                <w:rStyle w:val="Hipervnculo"/>
                <w:noProof/>
              </w:rPr>
              <w:t>Participación de los grupos de Interés en Alianzas Estratégicas</w:t>
            </w:r>
            <w:r w:rsidR="000D5224">
              <w:rPr>
                <w:noProof/>
                <w:webHidden/>
              </w:rPr>
              <w:tab/>
            </w:r>
            <w:r w:rsidR="000D5224">
              <w:rPr>
                <w:noProof/>
                <w:webHidden/>
              </w:rPr>
              <w:fldChar w:fldCharType="begin"/>
            </w:r>
            <w:r w:rsidR="000D5224">
              <w:rPr>
                <w:noProof/>
                <w:webHidden/>
              </w:rPr>
              <w:instrText xml:space="preserve"> PAGEREF _Toc354671369 \h </w:instrText>
            </w:r>
            <w:r w:rsidR="000D5224">
              <w:rPr>
                <w:noProof/>
                <w:webHidden/>
              </w:rPr>
            </w:r>
            <w:r w:rsidR="000D5224">
              <w:rPr>
                <w:noProof/>
                <w:webHidden/>
              </w:rPr>
              <w:fldChar w:fldCharType="separate"/>
            </w:r>
            <w:r w:rsidR="00020665">
              <w:rPr>
                <w:noProof/>
                <w:webHidden/>
              </w:rPr>
              <w:t>99</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70" w:history="1">
            <w:r w:rsidR="000D5224" w:rsidRPr="008440F7">
              <w:rPr>
                <w:rStyle w:val="Hipervnculo"/>
                <w:noProof/>
              </w:rPr>
              <w:t>Tiempo Promedio de formalización de una alianza estratégica</w:t>
            </w:r>
            <w:r w:rsidR="000D5224">
              <w:rPr>
                <w:noProof/>
                <w:webHidden/>
              </w:rPr>
              <w:tab/>
            </w:r>
            <w:r w:rsidR="000D5224">
              <w:rPr>
                <w:noProof/>
                <w:webHidden/>
              </w:rPr>
              <w:fldChar w:fldCharType="begin"/>
            </w:r>
            <w:r w:rsidR="000D5224">
              <w:rPr>
                <w:noProof/>
                <w:webHidden/>
              </w:rPr>
              <w:instrText xml:space="preserve"> PAGEREF _Toc354671370 \h </w:instrText>
            </w:r>
            <w:r w:rsidR="000D5224">
              <w:rPr>
                <w:noProof/>
                <w:webHidden/>
              </w:rPr>
            </w:r>
            <w:r w:rsidR="000D5224">
              <w:rPr>
                <w:noProof/>
                <w:webHidden/>
              </w:rPr>
              <w:fldChar w:fldCharType="separate"/>
            </w:r>
            <w:r w:rsidR="00020665">
              <w:rPr>
                <w:noProof/>
                <w:webHidden/>
              </w:rPr>
              <w:t>100</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71" w:history="1">
            <w:r w:rsidR="000D5224" w:rsidRPr="008440F7">
              <w:rPr>
                <w:rStyle w:val="Hipervnculo"/>
                <w:noProof/>
              </w:rPr>
              <w:t>Componentes Alianzas Estratégicas</w:t>
            </w:r>
            <w:r w:rsidR="000D5224">
              <w:rPr>
                <w:noProof/>
                <w:webHidden/>
              </w:rPr>
              <w:tab/>
            </w:r>
            <w:r w:rsidR="000D5224">
              <w:rPr>
                <w:noProof/>
                <w:webHidden/>
              </w:rPr>
              <w:fldChar w:fldCharType="begin"/>
            </w:r>
            <w:r w:rsidR="000D5224">
              <w:rPr>
                <w:noProof/>
                <w:webHidden/>
              </w:rPr>
              <w:instrText xml:space="preserve"> PAGEREF _Toc354671371 \h </w:instrText>
            </w:r>
            <w:r w:rsidR="000D5224">
              <w:rPr>
                <w:noProof/>
                <w:webHidden/>
              </w:rPr>
            </w:r>
            <w:r w:rsidR="000D5224">
              <w:rPr>
                <w:noProof/>
                <w:webHidden/>
              </w:rPr>
              <w:fldChar w:fldCharType="separate"/>
            </w:r>
            <w:r w:rsidR="00020665">
              <w:rPr>
                <w:noProof/>
                <w:webHidden/>
              </w:rPr>
              <w:t>100</w:t>
            </w:r>
            <w:r w:rsidR="000D5224">
              <w:rPr>
                <w:noProof/>
                <w:webHidden/>
              </w:rPr>
              <w:fldChar w:fldCharType="end"/>
            </w:r>
          </w:hyperlink>
        </w:p>
        <w:p w:rsidR="000D5224" w:rsidRDefault="000E4B39">
          <w:pPr>
            <w:pStyle w:val="TDC2"/>
            <w:tabs>
              <w:tab w:val="left" w:pos="1100"/>
              <w:tab w:val="right" w:leader="dot" w:pos="8828"/>
            </w:tabs>
            <w:rPr>
              <w:rFonts w:eastAsiaTheme="minorEastAsia" w:cstheme="minorBidi"/>
              <w:b w:val="0"/>
              <w:bCs w:val="0"/>
              <w:noProof/>
              <w:lang w:val="es-CO" w:eastAsia="es-CO"/>
            </w:rPr>
          </w:pPr>
          <w:hyperlink w:anchor="_Toc354671372" w:history="1">
            <w:r w:rsidR="000D5224" w:rsidRPr="008440F7">
              <w:rPr>
                <w:rStyle w:val="Hipervnculo"/>
                <w:noProof/>
              </w:rPr>
              <w:t>3.12.</w:t>
            </w:r>
            <w:r w:rsidR="000D5224">
              <w:rPr>
                <w:rFonts w:eastAsiaTheme="minorEastAsia" w:cstheme="minorBidi"/>
                <w:b w:val="0"/>
                <w:bCs w:val="0"/>
                <w:noProof/>
                <w:lang w:val="es-CO" w:eastAsia="es-CO"/>
              </w:rPr>
              <w:tab/>
            </w:r>
            <w:r w:rsidR="000D5224" w:rsidRPr="008440F7">
              <w:rPr>
                <w:rStyle w:val="Hipervnculo"/>
                <w:noProof/>
              </w:rPr>
              <w:t>RESUMEN DE RESULTADOS DEL PDI 2012 A NIVEL DE OBJETIVO Y COMPONENTES</w:t>
            </w:r>
            <w:r w:rsidR="000D5224">
              <w:rPr>
                <w:noProof/>
                <w:webHidden/>
              </w:rPr>
              <w:tab/>
            </w:r>
            <w:r w:rsidR="000D5224">
              <w:rPr>
                <w:noProof/>
                <w:webHidden/>
              </w:rPr>
              <w:fldChar w:fldCharType="begin"/>
            </w:r>
            <w:r w:rsidR="000D5224">
              <w:rPr>
                <w:noProof/>
                <w:webHidden/>
              </w:rPr>
              <w:instrText xml:space="preserve"> PAGEREF _Toc354671372 \h </w:instrText>
            </w:r>
            <w:r w:rsidR="000D5224">
              <w:rPr>
                <w:noProof/>
                <w:webHidden/>
              </w:rPr>
            </w:r>
            <w:r w:rsidR="000D5224">
              <w:rPr>
                <w:noProof/>
                <w:webHidden/>
              </w:rPr>
              <w:fldChar w:fldCharType="separate"/>
            </w:r>
            <w:r w:rsidR="00020665">
              <w:rPr>
                <w:noProof/>
                <w:webHidden/>
              </w:rPr>
              <w:t>103</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73" w:history="1">
            <w:r w:rsidR="000D5224" w:rsidRPr="008440F7">
              <w:rPr>
                <w:rStyle w:val="Hipervnculo"/>
                <w:noProof/>
              </w:rPr>
              <w:t>Resumen resultados Plan de Desarrollo Institucional 2012 a nivel de Objetivo</w:t>
            </w:r>
            <w:r w:rsidR="000D5224">
              <w:rPr>
                <w:noProof/>
                <w:webHidden/>
              </w:rPr>
              <w:tab/>
            </w:r>
            <w:r w:rsidR="000D5224">
              <w:rPr>
                <w:noProof/>
                <w:webHidden/>
              </w:rPr>
              <w:fldChar w:fldCharType="begin"/>
            </w:r>
            <w:r w:rsidR="000D5224">
              <w:rPr>
                <w:noProof/>
                <w:webHidden/>
              </w:rPr>
              <w:instrText xml:space="preserve"> PAGEREF _Toc354671373 \h </w:instrText>
            </w:r>
            <w:r w:rsidR="000D5224">
              <w:rPr>
                <w:noProof/>
                <w:webHidden/>
              </w:rPr>
            </w:r>
            <w:r w:rsidR="000D5224">
              <w:rPr>
                <w:noProof/>
                <w:webHidden/>
              </w:rPr>
              <w:fldChar w:fldCharType="separate"/>
            </w:r>
            <w:r w:rsidR="00020665">
              <w:rPr>
                <w:noProof/>
                <w:webHidden/>
              </w:rPr>
              <w:t>103</w:t>
            </w:r>
            <w:r w:rsidR="000D5224">
              <w:rPr>
                <w:noProof/>
                <w:webHidden/>
              </w:rPr>
              <w:fldChar w:fldCharType="end"/>
            </w:r>
          </w:hyperlink>
        </w:p>
        <w:p w:rsidR="000D5224" w:rsidRDefault="000E4B39">
          <w:pPr>
            <w:pStyle w:val="TDC3"/>
            <w:tabs>
              <w:tab w:val="right" w:leader="dot" w:pos="8828"/>
            </w:tabs>
            <w:rPr>
              <w:rFonts w:eastAsiaTheme="minorEastAsia" w:cstheme="minorBidi"/>
              <w:noProof/>
              <w:sz w:val="22"/>
              <w:szCs w:val="22"/>
              <w:lang w:val="es-CO" w:eastAsia="es-CO"/>
            </w:rPr>
          </w:pPr>
          <w:hyperlink w:anchor="_Toc354671374" w:history="1">
            <w:r w:rsidR="000D5224" w:rsidRPr="008440F7">
              <w:rPr>
                <w:rStyle w:val="Hipervnculo"/>
                <w:noProof/>
              </w:rPr>
              <w:t>Resumen resultados Plan de Desarrollo Institucional 2012 a nivel de Componente</w:t>
            </w:r>
            <w:r w:rsidR="000D5224">
              <w:rPr>
                <w:noProof/>
                <w:webHidden/>
              </w:rPr>
              <w:tab/>
            </w:r>
            <w:r w:rsidR="000D5224">
              <w:rPr>
                <w:noProof/>
                <w:webHidden/>
              </w:rPr>
              <w:fldChar w:fldCharType="begin"/>
            </w:r>
            <w:r w:rsidR="000D5224">
              <w:rPr>
                <w:noProof/>
                <w:webHidden/>
              </w:rPr>
              <w:instrText xml:space="preserve"> PAGEREF _Toc354671374 \h </w:instrText>
            </w:r>
            <w:r w:rsidR="000D5224">
              <w:rPr>
                <w:noProof/>
                <w:webHidden/>
              </w:rPr>
            </w:r>
            <w:r w:rsidR="000D5224">
              <w:rPr>
                <w:noProof/>
                <w:webHidden/>
              </w:rPr>
              <w:fldChar w:fldCharType="separate"/>
            </w:r>
            <w:r w:rsidR="00020665">
              <w:rPr>
                <w:noProof/>
                <w:webHidden/>
              </w:rPr>
              <w:t>104</w:t>
            </w:r>
            <w:r w:rsidR="000D5224">
              <w:rPr>
                <w:noProof/>
                <w:webHidden/>
              </w:rPr>
              <w:fldChar w:fldCharType="end"/>
            </w:r>
          </w:hyperlink>
        </w:p>
        <w:p w:rsidR="000D5224" w:rsidRDefault="000E4B39">
          <w:pPr>
            <w:pStyle w:val="TDC1"/>
            <w:tabs>
              <w:tab w:val="left" w:pos="440"/>
              <w:tab w:val="right" w:leader="dot" w:pos="8828"/>
            </w:tabs>
            <w:rPr>
              <w:rFonts w:eastAsiaTheme="minorEastAsia" w:cstheme="minorBidi"/>
              <w:b w:val="0"/>
              <w:bCs w:val="0"/>
              <w:i w:val="0"/>
              <w:iCs w:val="0"/>
              <w:noProof/>
              <w:sz w:val="22"/>
              <w:szCs w:val="22"/>
              <w:lang w:val="es-CO" w:eastAsia="es-CO"/>
            </w:rPr>
          </w:pPr>
          <w:hyperlink w:anchor="_Toc354671375" w:history="1">
            <w:r w:rsidR="000D5224" w:rsidRPr="008440F7">
              <w:rPr>
                <w:rStyle w:val="Hipervnculo"/>
                <w:rFonts w:eastAsia="Times New Roman"/>
                <w:noProof/>
                <w:lang w:eastAsia="es-ES"/>
              </w:rPr>
              <w:t>4.</w:t>
            </w:r>
            <w:r w:rsidR="000D5224">
              <w:rPr>
                <w:rFonts w:eastAsiaTheme="minorEastAsia" w:cstheme="minorBidi"/>
                <w:b w:val="0"/>
                <w:bCs w:val="0"/>
                <w:i w:val="0"/>
                <w:iCs w:val="0"/>
                <w:noProof/>
                <w:sz w:val="22"/>
                <w:szCs w:val="22"/>
                <w:lang w:val="es-CO" w:eastAsia="es-CO"/>
              </w:rPr>
              <w:tab/>
            </w:r>
            <w:r w:rsidR="000D5224" w:rsidRPr="008440F7">
              <w:rPr>
                <w:rStyle w:val="Hipervnculo"/>
                <w:rFonts w:eastAsia="Times New Roman"/>
                <w:noProof/>
                <w:lang w:eastAsia="es-ES"/>
              </w:rPr>
              <w:t>PROCESO DE AJUSTE A LA CADENA DE LOGRO DEL PLAN DE DESARROLLO INSTITUCIONAL 2009 - 2019</w:t>
            </w:r>
            <w:r w:rsidR="000D5224">
              <w:rPr>
                <w:noProof/>
                <w:webHidden/>
              </w:rPr>
              <w:tab/>
            </w:r>
            <w:r w:rsidR="000D5224">
              <w:rPr>
                <w:noProof/>
                <w:webHidden/>
              </w:rPr>
              <w:fldChar w:fldCharType="begin"/>
            </w:r>
            <w:r w:rsidR="000D5224">
              <w:rPr>
                <w:noProof/>
                <w:webHidden/>
              </w:rPr>
              <w:instrText xml:space="preserve"> PAGEREF _Toc354671375 \h </w:instrText>
            </w:r>
            <w:r w:rsidR="000D5224">
              <w:rPr>
                <w:noProof/>
                <w:webHidden/>
              </w:rPr>
            </w:r>
            <w:r w:rsidR="000D5224">
              <w:rPr>
                <w:noProof/>
                <w:webHidden/>
              </w:rPr>
              <w:fldChar w:fldCharType="separate"/>
            </w:r>
            <w:r w:rsidR="00020665">
              <w:rPr>
                <w:noProof/>
                <w:webHidden/>
              </w:rPr>
              <w:t>111</w:t>
            </w:r>
            <w:r w:rsidR="000D5224">
              <w:rPr>
                <w:noProof/>
                <w:webHidden/>
              </w:rPr>
              <w:fldChar w:fldCharType="end"/>
            </w:r>
          </w:hyperlink>
        </w:p>
        <w:p w:rsidR="000D5224" w:rsidRDefault="000E4B39">
          <w:pPr>
            <w:pStyle w:val="TDC1"/>
            <w:tabs>
              <w:tab w:val="left" w:pos="440"/>
              <w:tab w:val="right" w:leader="dot" w:pos="8828"/>
            </w:tabs>
            <w:rPr>
              <w:rFonts w:eastAsiaTheme="minorEastAsia" w:cstheme="minorBidi"/>
              <w:b w:val="0"/>
              <w:bCs w:val="0"/>
              <w:i w:val="0"/>
              <w:iCs w:val="0"/>
              <w:noProof/>
              <w:sz w:val="22"/>
              <w:szCs w:val="22"/>
              <w:lang w:val="es-CO" w:eastAsia="es-CO"/>
            </w:rPr>
          </w:pPr>
          <w:hyperlink w:anchor="_Toc354671376" w:history="1">
            <w:r w:rsidR="000D5224" w:rsidRPr="008440F7">
              <w:rPr>
                <w:rStyle w:val="Hipervnculo"/>
                <w:noProof/>
              </w:rPr>
              <w:t>5.</w:t>
            </w:r>
            <w:r w:rsidR="000D5224">
              <w:rPr>
                <w:rFonts w:eastAsiaTheme="minorEastAsia" w:cstheme="minorBidi"/>
                <w:b w:val="0"/>
                <w:bCs w:val="0"/>
                <w:i w:val="0"/>
                <w:iCs w:val="0"/>
                <w:noProof/>
                <w:sz w:val="22"/>
                <w:szCs w:val="22"/>
                <w:lang w:val="es-CO" w:eastAsia="es-CO"/>
              </w:rPr>
              <w:tab/>
            </w:r>
            <w:r w:rsidR="000D5224" w:rsidRPr="008440F7">
              <w:rPr>
                <w:rStyle w:val="Hipervnculo"/>
                <w:noProof/>
              </w:rPr>
              <w:t>CONCLUSIONES</w:t>
            </w:r>
            <w:r w:rsidR="000D5224">
              <w:rPr>
                <w:noProof/>
                <w:webHidden/>
              </w:rPr>
              <w:tab/>
            </w:r>
            <w:r w:rsidR="000D5224">
              <w:rPr>
                <w:noProof/>
                <w:webHidden/>
              </w:rPr>
              <w:fldChar w:fldCharType="begin"/>
            </w:r>
            <w:r w:rsidR="000D5224">
              <w:rPr>
                <w:noProof/>
                <w:webHidden/>
              </w:rPr>
              <w:instrText xml:space="preserve"> PAGEREF _Toc354671376 \h </w:instrText>
            </w:r>
            <w:r w:rsidR="000D5224">
              <w:rPr>
                <w:noProof/>
                <w:webHidden/>
              </w:rPr>
            </w:r>
            <w:r w:rsidR="000D5224">
              <w:rPr>
                <w:noProof/>
                <w:webHidden/>
              </w:rPr>
              <w:fldChar w:fldCharType="separate"/>
            </w:r>
            <w:r w:rsidR="00020665">
              <w:rPr>
                <w:noProof/>
                <w:webHidden/>
              </w:rPr>
              <w:t>116</w:t>
            </w:r>
            <w:r w:rsidR="000D5224">
              <w:rPr>
                <w:noProof/>
                <w:webHidden/>
              </w:rPr>
              <w:fldChar w:fldCharType="end"/>
            </w:r>
          </w:hyperlink>
        </w:p>
        <w:p w:rsidR="000D5224" w:rsidRDefault="000E4B39">
          <w:pPr>
            <w:pStyle w:val="TDC1"/>
            <w:tabs>
              <w:tab w:val="left" w:pos="440"/>
              <w:tab w:val="right" w:leader="dot" w:pos="8828"/>
            </w:tabs>
            <w:rPr>
              <w:rFonts w:eastAsiaTheme="minorEastAsia" w:cstheme="minorBidi"/>
              <w:b w:val="0"/>
              <w:bCs w:val="0"/>
              <w:i w:val="0"/>
              <w:iCs w:val="0"/>
              <w:noProof/>
              <w:sz w:val="22"/>
              <w:szCs w:val="22"/>
              <w:lang w:val="es-CO" w:eastAsia="es-CO"/>
            </w:rPr>
          </w:pPr>
          <w:hyperlink w:anchor="_Toc354671377" w:history="1">
            <w:r w:rsidR="000D5224" w:rsidRPr="008440F7">
              <w:rPr>
                <w:rStyle w:val="Hipervnculo"/>
                <w:noProof/>
              </w:rPr>
              <w:t>6.</w:t>
            </w:r>
            <w:r w:rsidR="000D5224">
              <w:rPr>
                <w:rFonts w:eastAsiaTheme="minorEastAsia" w:cstheme="minorBidi"/>
                <w:b w:val="0"/>
                <w:bCs w:val="0"/>
                <w:i w:val="0"/>
                <w:iCs w:val="0"/>
                <w:noProof/>
                <w:sz w:val="22"/>
                <w:szCs w:val="22"/>
                <w:lang w:val="es-CO" w:eastAsia="es-CO"/>
              </w:rPr>
              <w:tab/>
            </w:r>
            <w:r w:rsidR="000D5224" w:rsidRPr="008440F7">
              <w:rPr>
                <w:rStyle w:val="Hipervnculo"/>
                <w:noProof/>
              </w:rPr>
              <w:t>APRENDIZAJES</w:t>
            </w:r>
            <w:r w:rsidR="000D5224">
              <w:rPr>
                <w:noProof/>
                <w:webHidden/>
              </w:rPr>
              <w:tab/>
            </w:r>
            <w:r w:rsidR="000D5224">
              <w:rPr>
                <w:noProof/>
                <w:webHidden/>
              </w:rPr>
              <w:fldChar w:fldCharType="begin"/>
            </w:r>
            <w:r w:rsidR="000D5224">
              <w:rPr>
                <w:noProof/>
                <w:webHidden/>
              </w:rPr>
              <w:instrText xml:space="preserve"> PAGEREF _Toc354671377 \h </w:instrText>
            </w:r>
            <w:r w:rsidR="000D5224">
              <w:rPr>
                <w:noProof/>
                <w:webHidden/>
              </w:rPr>
            </w:r>
            <w:r w:rsidR="000D5224">
              <w:rPr>
                <w:noProof/>
                <w:webHidden/>
              </w:rPr>
              <w:fldChar w:fldCharType="separate"/>
            </w:r>
            <w:r w:rsidR="00020665">
              <w:rPr>
                <w:noProof/>
                <w:webHidden/>
              </w:rPr>
              <w:t>117</w:t>
            </w:r>
            <w:r w:rsidR="000D5224">
              <w:rPr>
                <w:noProof/>
                <w:webHidden/>
              </w:rPr>
              <w:fldChar w:fldCharType="end"/>
            </w:r>
          </w:hyperlink>
        </w:p>
        <w:p w:rsidR="000D5224" w:rsidRDefault="000E4B39">
          <w:pPr>
            <w:pStyle w:val="TDC1"/>
            <w:tabs>
              <w:tab w:val="right" w:leader="dot" w:pos="8828"/>
            </w:tabs>
            <w:rPr>
              <w:rFonts w:eastAsiaTheme="minorEastAsia" w:cstheme="minorBidi"/>
              <w:b w:val="0"/>
              <w:bCs w:val="0"/>
              <w:i w:val="0"/>
              <w:iCs w:val="0"/>
              <w:noProof/>
              <w:sz w:val="22"/>
              <w:szCs w:val="22"/>
              <w:lang w:val="es-CO" w:eastAsia="es-CO"/>
            </w:rPr>
          </w:pPr>
          <w:hyperlink w:anchor="_Toc354671378" w:history="1">
            <w:r w:rsidR="000D5224" w:rsidRPr="008440F7">
              <w:rPr>
                <w:rStyle w:val="Hipervnculo"/>
                <w:noProof/>
                <w:lang w:val="es-CO"/>
              </w:rPr>
              <w:t>ANEXO</w:t>
            </w:r>
            <w:r w:rsidR="000D5224">
              <w:rPr>
                <w:rStyle w:val="Hipervnculo"/>
                <w:noProof/>
                <w:lang w:val="es-CO"/>
              </w:rPr>
              <w:t>S</w:t>
            </w:r>
            <w:r w:rsidR="000D5224" w:rsidRPr="008440F7">
              <w:rPr>
                <w:rStyle w:val="Hipervnculo"/>
                <w:noProof/>
                <w:lang w:val="es-CO"/>
              </w:rPr>
              <w:t xml:space="preserve"> </w:t>
            </w:r>
            <w:r w:rsidR="000D5224">
              <w:rPr>
                <w:noProof/>
                <w:webHidden/>
              </w:rPr>
              <w:tab/>
            </w:r>
            <w:r w:rsidR="000D5224">
              <w:rPr>
                <w:noProof/>
                <w:webHidden/>
              </w:rPr>
              <w:fldChar w:fldCharType="begin"/>
            </w:r>
            <w:r w:rsidR="000D5224">
              <w:rPr>
                <w:noProof/>
                <w:webHidden/>
              </w:rPr>
              <w:instrText xml:space="preserve"> PAGEREF _Toc354671378 \h </w:instrText>
            </w:r>
            <w:r w:rsidR="000D5224">
              <w:rPr>
                <w:noProof/>
                <w:webHidden/>
              </w:rPr>
            </w:r>
            <w:r w:rsidR="000D5224">
              <w:rPr>
                <w:noProof/>
                <w:webHidden/>
              </w:rPr>
              <w:fldChar w:fldCharType="separate"/>
            </w:r>
            <w:r w:rsidR="00020665">
              <w:rPr>
                <w:noProof/>
                <w:webHidden/>
              </w:rPr>
              <w:t>119</w:t>
            </w:r>
            <w:r w:rsidR="000D5224">
              <w:rPr>
                <w:noProof/>
                <w:webHidden/>
              </w:rPr>
              <w:fldChar w:fldCharType="end"/>
            </w:r>
          </w:hyperlink>
        </w:p>
        <w:p w:rsidR="000D5224" w:rsidRDefault="000D5224">
          <w:pPr>
            <w:pStyle w:val="TDC2"/>
            <w:tabs>
              <w:tab w:val="right" w:leader="dot" w:pos="8828"/>
            </w:tabs>
            <w:rPr>
              <w:rFonts w:eastAsiaTheme="minorEastAsia" w:cstheme="minorBidi"/>
              <w:b w:val="0"/>
              <w:bCs w:val="0"/>
              <w:noProof/>
              <w:lang w:val="es-CO" w:eastAsia="es-CO"/>
            </w:rPr>
          </w:pPr>
        </w:p>
        <w:p w:rsidR="00535E30" w:rsidRDefault="00480CE9" w:rsidP="00F80905">
          <w:pPr>
            <w:spacing w:line="276" w:lineRule="auto"/>
          </w:pPr>
          <w:r>
            <w:fldChar w:fldCharType="end"/>
          </w:r>
        </w:p>
      </w:sdtContent>
    </w:sdt>
    <w:p w:rsidR="001A11FD" w:rsidRDefault="00535E30" w:rsidP="00F80905">
      <w:pPr>
        <w:spacing w:after="200" w:line="276" w:lineRule="auto"/>
        <w:jc w:val="left"/>
        <w:rPr>
          <w:rFonts w:asciiTheme="minorHAnsi" w:hAnsiTheme="minorHAnsi"/>
        </w:rPr>
        <w:sectPr w:rsidR="001A11FD" w:rsidSect="008D5B37">
          <w:footerReference w:type="default" r:id="rId10"/>
          <w:pgSz w:w="12240" w:h="15840" w:code="1"/>
          <w:pgMar w:top="2268" w:right="1701" w:bottom="1701" w:left="1701" w:header="709" w:footer="709" w:gutter="0"/>
          <w:pgNumType w:fmt="lowerRoman" w:start="1"/>
          <w:cols w:space="708"/>
          <w:docGrid w:linePitch="360"/>
        </w:sectPr>
      </w:pPr>
      <w:r>
        <w:rPr>
          <w:rFonts w:asciiTheme="minorHAnsi" w:hAnsiTheme="minorHAnsi"/>
        </w:rPr>
        <w:br w:type="page"/>
      </w:r>
    </w:p>
    <w:p w:rsidR="000C467D" w:rsidRPr="00535E30" w:rsidRDefault="000C467D" w:rsidP="00F80905">
      <w:pPr>
        <w:pStyle w:val="Ttulo1"/>
        <w:spacing w:line="276" w:lineRule="auto"/>
        <w:jc w:val="center"/>
      </w:pPr>
      <w:bookmarkStart w:id="15" w:name="_Toc319421844"/>
      <w:bookmarkStart w:id="16" w:name="_Toc320298340"/>
      <w:bookmarkStart w:id="17" w:name="_Toc332979189"/>
      <w:bookmarkStart w:id="18" w:name="_Toc347392838"/>
      <w:bookmarkStart w:id="19" w:name="_Toc354671304"/>
      <w:r w:rsidRPr="00535E30">
        <w:lastRenderedPageBreak/>
        <w:t>INTRODUCCIÓN</w:t>
      </w:r>
      <w:bookmarkEnd w:id="15"/>
      <w:bookmarkEnd w:id="16"/>
      <w:bookmarkEnd w:id="17"/>
      <w:bookmarkEnd w:id="18"/>
      <w:bookmarkEnd w:id="19"/>
    </w:p>
    <w:p w:rsidR="000C467D" w:rsidRPr="00535E30" w:rsidRDefault="000C467D" w:rsidP="00F80905">
      <w:pPr>
        <w:spacing w:after="0" w:line="276" w:lineRule="auto"/>
        <w:rPr>
          <w:rFonts w:asciiTheme="minorHAnsi" w:hAnsiTheme="minorHAnsi" w:cs="Arial"/>
        </w:rPr>
      </w:pPr>
    </w:p>
    <w:p w:rsidR="00CB02C4" w:rsidRDefault="00CB02C4" w:rsidP="00CB02C4">
      <w:r>
        <w:t xml:space="preserve">La Universidad Tecnológica de Pereira (UTP) a través de su plan de Desarrollo 2009 – 2019 ha planteado su direccionamiento estratégico en el largo plazo, y dentro de sus principales fines, se ha propuesto contribuir hacia la generación de desarrollo social, económico, competitivo, científico, tecnológico y financiero de la región de manera sostenible. </w:t>
      </w:r>
    </w:p>
    <w:p w:rsidR="00CB02C4" w:rsidRDefault="00CB02C4" w:rsidP="00CB02C4"/>
    <w:p w:rsidR="00CB02C4" w:rsidRDefault="00CB02C4" w:rsidP="00CB02C4">
      <w:r>
        <w:t xml:space="preserve">Lo anterior implica intervenir la agenda pública del desarrollo generando un cambio hacia una sociedad y economía basada en el conocimiento con equidad, justicia, inclusión y responsabilidad social. </w:t>
      </w:r>
    </w:p>
    <w:p w:rsidR="00CB02C4" w:rsidRDefault="00CB02C4" w:rsidP="00CB02C4"/>
    <w:p w:rsidR="00CB02C4" w:rsidRDefault="00CB02C4" w:rsidP="00CB02C4">
      <w:r>
        <w:t xml:space="preserve">Con un contexto que genera mejores condiciones, la universidad tiene la oportunidad de poner a disposición de la sociedad toda su capacidad y sus esfuerzos para cumplir sus objetivos e impactar contribuyendo de manera más focalizada al desarrollo económico y social de la región. </w:t>
      </w:r>
    </w:p>
    <w:p w:rsidR="00CB02C4" w:rsidRDefault="00CB02C4" w:rsidP="00CB02C4"/>
    <w:p w:rsidR="00CB02C4" w:rsidRDefault="00CB02C4" w:rsidP="00CB02C4">
      <w:r>
        <w:t>El entorno se está preparando para este gran cambio social y la Universidad internamente, también se está fortaleciendo para apuntar a este gran objetivo, entre los aspectos más relevantes tenemos</w:t>
      </w:r>
      <w:r w:rsidRPr="007449DD">
        <w:t>: La búsqueda de la renovación de la Acreditación de Alta Calidad, La construcción de la primera etapa del Centro de innovación y desarrollo tecnológico articulado al proyecto de la Red de Nodos de Ciencia Tecnología e Innovación, las gestiones encaminadas a la formulación del proyecto para construcción del Centro Multipropósito como impulso a la Responsabilidad Social y Bienestar</w:t>
      </w:r>
      <w:r>
        <w:t xml:space="preserve">, la construcción de la Marca UTP, el plan de gestión del campus, la modernización académica, la política de propiedad intelectual, el plan de desarrollo docente, la consecución de nuevos registros de propiedad intelectual, el fortalecimiento de la relación Universidad-empresa estado, las alianzas estratégicas, Risaralda profesional, el fomento del bilingüismo y la internacionalización, el observatorio de egresados, el observatorio académico, la acreditación de laboratorios y organismos entre otros proyectos que apuntan a impactar en los objetivos institucionales. Para la universidad es importante conocer los avances que se han obtenido en la ejecución del Plan de Desarrollo, de sus logros depende su visibilidad y viabilidad en términos de ser un referente para el desarrollo. </w:t>
      </w:r>
    </w:p>
    <w:p w:rsidR="00CB02C4" w:rsidRDefault="00CB02C4" w:rsidP="00CB02C4"/>
    <w:p w:rsidR="00CB02C4" w:rsidRDefault="00CB02C4" w:rsidP="00CB02C4">
      <w:r>
        <w:t xml:space="preserve">Para la comunidad en general (Estudiantes, docentes, personal administrativo y personal externo relacionado), significa conocer los avances en los proyectos y objetivos propuestos por ellos mismos en la construcción del plan. </w:t>
      </w:r>
    </w:p>
    <w:p w:rsidR="00CB02C4" w:rsidRDefault="00CB02C4" w:rsidP="00CB02C4"/>
    <w:p w:rsidR="00CB02C4" w:rsidRDefault="00CB02C4" w:rsidP="00CB02C4">
      <w:r>
        <w:t xml:space="preserve">Para los equipos técnicos del Plan de Desarrollo y la Dirección, significa el reconocimiento de los logros alcanzados y la identificación de oportunidades de mejoramiento al momento de dar operatividad al Plan de Desarrollo. </w:t>
      </w:r>
    </w:p>
    <w:p w:rsidR="00CB02C4" w:rsidRDefault="00CB02C4" w:rsidP="00CB02C4"/>
    <w:p w:rsidR="00CB02C4" w:rsidRDefault="00CB02C4" w:rsidP="00CB02C4">
      <w:r>
        <w:t>Para el consejo Superior y el Consejo Académico que constituyen una parte muy importante del sistema del mismo al cual presentamos informes de avance semestrales y al final de cada vigencia, nos permitimos colocar en su conocimiento el presente informe.</w:t>
      </w:r>
    </w:p>
    <w:p w:rsidR="000C467D" w:rsidRPr="00535E30" w:rsidRDefault="002C2CE6" w:rsidP="00F80905">
      <w:pPr>
        <w:spacing w:after="0" w:line="276" w:lineRule="auto"/>
        <w:rPr>
          <w:rFonts w:asciiTheme="minorHAnsi" w:hAnsiTheme="minorHAnsi" w:cs="Arial"/>
        </w:rPr>
      </w:pPr>
      <w:r w:rsidRPr="00535E30">
        <w:rPr>
          <w:rFonts w:asciiTheme="minorHAnsi" w:hAnsiTheme="minorHAnsi" w:cs="Arial"/>
          <w:noProof/>
          <w:lang w:val="es-CO" w:eastAsia="es-CO"/>
        </w:rPr>
        <w:drawing>
          <wp:inline distT="0" distB="0" distL="0" distR="0">
            <wp:extent cx="5486400" cy="4572000"/>
            <wp:effectExtent l="19050" t="0" r="0" b="0"/>
            <wp:docPr id="34" name="9 Imagen" descr="Niveles_PDI_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veles_PDI_22.jpg"/>
                    <pic:cNvPicPr/>
                  </pic:nvPicPr>
                  <pic:blipFill>
                    <a:blip r:embed="rId11" cstate="print"/>
                    <a:srcRect t="2008" b="1606"/>
                    <a:stretch>
                      <a:fillRect/>
                    </a:stretch>
                  </pic:blipFill>
                  <pic:spPr>
                    <a:xfrm>
                      <a:off x="0" y="0"/>
                      <a:ext cx="5486400" cy="4572000"/>
                    </a:xfrm>
                    <a:prstGeom prst="rect">
                      <a:avLst/>
                    </a:prstGeom>
                  </pic:spPr>
                </pic:pic>
              </a:graphicData>
            </a:graphic>
          </wp:inline>
        </w:drawing>
      </w:r>
    </w:p>
    <w:p w:rsidR="000C467D" w:rsidRPr="00535E30" w:rsidRDefault="002C2CE6" w:rsidP="00F80905">
      <w:pPr>
        <w:pStyle w:val="Epgrafe"/>
        <w:keepNext/>
        <w:spacing w:after="0" w:line="276" w:lineRule="auto"/>
        <w:rPr>
          <w:rFonts w:asciiTheme="minorHAnsi" w:hAnsiTheme="minorHAnsi" w:cs="Arial"/>
          <w:sz w:val="22"/>
          <w:szCs w:val="22"/>
        </w:rPr>
      </w:pPr>
      <w:bookmarkStart w:id="20" w:name="_Toc289845168"/>
      <w:r w:rsidRPr="00535E30">
        <w:rPr>
          <w:rFonts w:asciiTheme="minorHAnsi" w:hAnsiTheme="minorHAnsi" w:cs="Arial"/>
        </w:rPr>
        <w:t xml:space="preserve">•  </w:t>
      </w:r>
      <w:r w:rsidR="000C467D" w:rsidRPr="00535E30">
        <w:rPr>
          <w:rFonts w:asciiTheme="minorHAnsi" w:hAnsiTheme="minorHAnsi" w:cs="Arial"/>
          <w:sz w:val="22"/>
          <w:szCs w:val="22"/>
        </w:rPr>
        <w:t>Niveles del Plan de Desarrollo Institucional</w:t>
      </w:r>
      <w:bookmarkEnd w:id="20"/>
      <w:r w:rsidRPr="00535E30">
        <w:rPr>
          <w:rFonts w:asciiTheme="minorHAnsi" w:hAnsiTheme="minorHAnsi" w:cs="Arial"/>
          <w:sz w:val="22"/>
          <w:szCs w:val="22"/>
        </w:rPr>
        <w:t xml:space="preserve"> </w:t>
      </w:r>
      <w:r w:rsidRPr="00535E30">
        <w:rPr>
          <w:rFonts w:asciiTheme="minorHAnsi" w:hAnsiTheme="minorHAnsi" w:cs="Arial"/>
        </w:rPr>
        <w:t>•</w:t>
      </w:r>
    </w:p>
    <w:p w:rsidR="000C467D" w:rsidRPr="00535E30" w:rsidRDefault="000C467D" w:rsidP="00F80905">
      <w:pPr>
        <w:spacing w:line="276" w:lineRule="auto"/>
        <w:jc w:val="center"/>
        <w:rPr>
          <w:rFonts w:asciiTheme="minorHAnsi" w:hAnsiTheme="minorHAnsi" w:cs="Arial"/>
        </w:rPr>
      </w:pPr>
    </w:p>
    <w:p w:rsidR="000C467D" w:rsidRDefault="000C467D" w:rsidP="00F80905">
      <w:pPr>
        <w:spacing w:line="276" w:lineRule="auto"/>
        <w:rPr>
          <w:rFonts w:asciiTheme="minorHAnsi" w:hAnsiTheme="minorHAnsi"/>
        </w:rPr>
      </w:pPr>
      <w:r w:rsidRPr="00535E30">
        <w:rPr>
          <w:rFonts w:asciiTheme="minorHAnsi" w:hAnsiTheme="minorHAnsi"/>
        </w:rPr>
        <w:t>Este informe recopila los resultados de la gestión del año 2012 de acuerdo con la estructura del plan de desarrollo institucional y las metas planteadas para la vigencia, si se desea tener un conocimiento más detallado o a un nivel más técnico se puede remitir al seguimiento al plan de desarrollo a través de la página del mismo (</w:t>
      </w:r>
      <w:hyperlink r:id="rId12" w:history="1">
        <w:r w:rsidRPr="00535E30">
          <w:rPr>
            <w:rStyle w:val="Hipervnculo"/>
            <w:rFonts w:asciiTheme="minorHAnsi" w:hAnsiTheme="minorHAnsi" w:cs="Arial"/>
          </w:rPr>
          <w:t>www.utp.edu.co/pdi</w:t>
        </w:r>
      </w:hyperlink>
      <w:r w:rsidRPr="00535E30">
        <w:rPr>
          <w:rFonts w:asciiTheme="minorHAnsi" w:hAnsiTheme="minorHAnsi"/>
        </w:rPr>
        <w:t>) o en la plataforma de Control Social (</w:t>
      </w:r>
      <w:hyperlink r:id="rId13" w:history="1">
        <w:r w:rsidRPr="00535E30">
          <w:rPr>
            <w:rStyle w:val="Hipervnculo"/>
            <w:rFonts w:asciiTheme="minorHAnsi" w:hAnsiTheme="minorHAnsi" w:cs="Arial"/>
          </w:rPr>
          <w:t>www.utp.edu.co/control-social</w:t>
        </w:r>
      </w:hyperlink>
      <w:r w:rsidRPr="00535E30">
        <w:rPr>
          <w:rFonts w:asciiTheme="minorHAnsi" w:hAnsiTheme="minorHAnsi"/>
        </w:rPr>
        <w:t>).</w:t>
      </w:r>
    </w:p>
    <w:p w:rsidR="00CB02C4" w:rsidRDefault="00CB02C4">
      <w:pPr>
        <w:spacing w:after="200" w:line="276" w:lineRule="auto"/>
        <w:jc w:val="left"/>
        <w:rPr>
          <w:rFonts w:asciiTheme="minorHAnsi" w:hAnsiTheme="minorHAnsi"/>
        </w:rPr>
      </w:pPr>
      <w:r>
        <w:rPr>
          <w:rFonts w:asciiTheme="minorHAnsi" w:hAnsiTheme="minorHAnsi"/>
        </w:rPr>
        <w:br w:type="page"/>
      </w:r>
    </w:p>
    <w:p w:rsidR="000C0CEC" w:rsidRPr="00535E30" w:rsidRDefault="000C0CEC" w:rsidP="00C0346D">
      <w:pPr>
        <w:pStyle w:val="Prrafodelista"/>
        <w:numPr>
          <w:ilvl w:val="0"/>
          <w:numId w:val="18"/>
        </w:numPr>
        <w:spacing w:after="200" w:line="276" w:lineRule="auto"/>
        <w:ind w:left="0" w:firstLine="0"/>
        <w:jc w:val="center"/>
        <w:outlineLvl w:val="0"/>
        <w:rPr>
          <w:b/>
          <w:sz w:val="36"/>
          <w:szCs w:val="32"/>
        </w:rPr>
      </w:pPr>
      <w:bookmarkStart w:id="21" w:name="_Toc331683507"/>
      <w:bookmarkStart w:id="22" w:name="_Toc354671305"/>
      <w:r w:rsidRPr="00535E30">
        <w:rPr>
          <w:b/>
          <w:sz w:val="36"/>
          <w:szCs w:val="32"/>
        </w:rPr>
        <w:lastRenderedPageBreak/>
        <w:t>MARCO INSTITUCIONAL</w:t>
      </w:r>
      <w:bookmarkEnd w:id="21"/>
      <w:bookmarkEnd w:id="22"/>
    </w:p>
    <w:p w:rsidR="000C0CEC" w:rsidRPr="00535E30" w:rsidRDefault="000C0CEC" w:rsidP="00F80905">
      <w:pPr>
        <w:pStyle w:val="Prrafodelista"/>
        <w:spacing w:line="276" w:lineRule="auto"/>
        <w:ind w:left="0"/>
        <w:rPr>
          <w:b/>
          <w:sz w:val="24"/>
          <w:szCs w:val="24"/>
        </w:rPr>
      </w:pPr>
    </w:p>
    <w:p w:rsidR="000C0CEC" w:rsidRPr="00535E30" w:rsidRDefault="000C0CEC" w:rsidP="00F80905">
      <w:pPr>
        <w:pStyle w:val="Prrafodelista"/>
        <w:spacing w:line="276" w:lineRule="auto"/>
        <w:ind w:left="0"/>
        <w:rPr>
          <w:b/>
          <w:sz w:val="24"/>
          <w:szCs w:val="24"/>
        </w:rPr>
      </w:pPr>
    </w:p>
    <w:p w:rsidR="000C0CEC" w:rsidRPr="00535E30" w:rsidRDefault="000C0CEC" w:rsidP="00C0346D">
      <w:pPr>
        <w:pStyle w:val="Prrafodelista"/>
        <w:numPr>
          <w:ilvl w:val="1"/>
          <w:numId w:val="18"/>
        </w:numPr>
        <w:spacing w:after="200" w:line="276" w:lineRule="auto"/>
        <w:ind w:left="0" w:firstLine="0"/>
        <w:outlineLvl w:val="1"/>
        <w:rPr>
          <w:b/>
          <w:sz w:val="28"/>
          <w:szCs w:val="24"/>
        </w:rPr>
      </w:pPr>
      <w:bookmarkStart w:id="23" w:name="_Toc331683508"/>
      <w:bookmarkStart w:id="24" w:name="_Toc354671306"/>
      <w:r w:rsidRPr="00535E30">
        <w:rPr>
          <w:b/>
          <w:sz w:val="28"/>
          <w:szCs w:val="24"/>
        </w:rPr>
        <w:t>MISIÓN</w:t>
      </w:r>
      <w:bookmarkEnd w:id="23"/>
      <w:bookmarkEnd w:id="24"/>
    </w:p>
    <w:p w:rsidR="000C0CEC" w:rsidRPr="00535E30" w:rsidRDefault="000C0CEC" w:rsidP="00F80905">
      <w:pPr>
        <w:pStyle w:val="Prrafodelista"/>
        <w:spacing w:after="0" w:line="276" w:lineRule="auto"/>
        <w:ind w:left="0"/>
        <w:rPr>
          <w:b/>
          <w:sz w:val="24"/>
          <w:szCs w:val="24"/>
        </w:rPr>
      </w:pPr>
    </w:p>
    <w:p w:rsidR="000C0CEC" w:rsidRPr="00535E30" w:rsidRDefault="000C0CEC" w:rsidP="00F80905">
      <w:pPr>
        <w:spacing w:after="0" w:line="276" w:lineRule="auto"/>
        <w:rPr>
          <w:rFonts w:asciiTheme="minorHAnsi" w:hAnsiTheme="minorHAnsi"/>
          <w:sz w:val="24"/>
          <w:szCs w:val="24"/>
        </w:rPr>
      </w:pPr>
      <w:r w:rsidRPr="00535E30">
        <w:rPr>
          <w:rFonts w:asciiTheme="minorHAnsi" w:hAnsiTheme="minorHAnsi"/>
          <w:sz w:val="24"/>
          <w:szCs w:val="24"/>
        </w:rPr>
        <w:t>Es una Universidad estatal vinculada a la sociedad y economía del conocimiento en todos sus campos, creando y participando en redes y otras formas de interacción. Es un polo de desarrollo que crea, transforma, transfiere, contextualiza, aplica, gestiona, innova e intercambia el conocimiento en todas sus formas y expresiones, teniendo como prioridad el desarrollo sustentable en la ecorregión eje cafetero. Es una Comunidad de enseñanza, aprendizaje y práctica que interactúa buscando el bien común, en un ambiente de participación, diálogo, con responsabilidad social y desarrollo humano, caracterizada por el pluralismo y el respeto a la diferencia, inmersa en procesos permanentes de planeación, evaluación y control. Es una organización que aprende y desarrolla procesos en todos los campos del saber, contribuyendo al mejoramiento de la sociedad, para formar ciudadanos competentes, con ética y sentido crítico, líderes en la transformación social y económica. Las funciones misionales le permiten ofrecer servicios derivados de su actividad académica a los sectores público o privado en todos sus órdenes, mediante convenios o contratos para servicios técnicos, científicos, artísticos, de consultoría o de cualquier tipo afín a sus objetivos misionales</w:t>
      </w:r>
      <w:r w:rsidRPr="00535E30">
        <w:rPr>
          <w:rStyle w:val="Refdenotaalpie"/>
          <w:rFonts w:asciiTheme="minorHAnsi" w:hAnsiTheme="minorHAnsi"/>
          <w:sz w:val="24"/>
          <w:szCs w:val="24"/>
        </w:rPr>
        <w:footnoteReference w:id="2"/>
      </w:r>
      <w:r w:rsidRPr="00535E30">
        <w:rPr>
          <w:rFonts w:asciiTheme="minorHAnsi" w:hAnsiTheme="minorHAnsi"/>
          <w:sz w:val="24"/>
          <w:szCs w:val="24"/>
        </w:rPr>
        <w:t>.</w:t>
      </w:r>
    </w:p>
    <w:p w:rsidR="000C0CEC" w:rsidRPr="00535E30" w:rsidRDefault="000C0CEC" w:rsidP="00F80905">
      <w:pPr>
        <w:spacing w:after="0" w:line="276" w:lineRule="auto"/>
        <w:rPr>
          <w:rFonts w:asciiTheme="minorHAnsi" w:hAnsiTheme="minorHAnsi"/>
          <w:sz w:val="24"/>
          <w:szCs w:val="24"/>
        </w:rPr>
      </w:pPr>
    </w:p>
    <w:p w:rsidR="000C0CEC" w:rsidRPr="00535E30" w:rsidRDefault="000C0CEC" w:rsidP="00C0346D">
      <w:pPr>
        <w:pStyle w:val="Prrafodelista"/>
        <w:numPr>
          <w:ilvl w:val="1"/>
          <w:numId w:val="18"/>
        </w:numPr>
        <w:spacing w:after="0" w:line="276" w:lineRule="auto"/>
        <w:ind w:left="0" w:firstLine="0"/>
        <w:outlineLvl w:val="1"/>
        <w:rPr>
          <w:b/>
          <w:sz w:val="28"/>
          <w:szCs w:val="24"/>
        </w:rPr>
      </w:pPr>
      <w:bookmarkStart w:id="25" w:name="_Toc331683509"/>
      <w:bookmarkStart w:id="26" w:name="_Toc354671307"/>
      <w:r w:rsidRPr="00535E30">
        <w:rPr>
          <w:b/>
          <w:sz w:val="28"/>
          <w:szCs w:val="24"/>
        </w:rPr>
        <w:t>VISIÓN</w:t>
      </w:r>
      <w:bookmarkEnd w:id="25"/>
      <w:bookmarkEnd w:id="26"/>
    </w:p>
    <w:p w:rsidR="000C0CEC" w:rsidRPr="00535E30" w:rsidRDefault="000C0CEC" w:rsidP="00F80905">
      <w:pPr>
        <w:pStyle w:val="Prrafodelista"/>
        <w:spacing w:after="0" w:line="276" w:lineRule="auto"/>
        <w:ind w:left="0"/>
        <w:rPr>
          <w:b/>
          <w:sz w:val="24"/>
          <w:szCs w:val="24"/>
        </w:rPr>
      </w:pPr>
    </w:p>
    <w:p w:rsidR="000C0CEC" w:rsidRPr="00535E30" w:rsidRDefault="000C0CEC" w:rsidP="00F80905">
      <w:pPr>
        <w:spacing w:after="0" w:line="276" w:lineRule="auto"/>
        <w:rPr>
          <w:rFonts w:asciiTheme="minorHAnsi" w:hAnsiTheme="minorHAnsi"/>
          <w:sz w:val="24"/>
        </w:rPr>
      </w:pPr>
      <w:r w:rsidRPr="00535E30">
        <w:rPr>
          <w:rFonts w:asciiTheme="minorHAnsi" w:hAnsiTheme="minorHAnsi"/>
          <w:sz w:val="24"/>
        </w:rPr>
        <w:t xml:space="preserve">Universidad de alta calidad, líder al 2019 en la región y en el país, por su competitividad integral en la docencia, investigación, innovación, extensión y gestión para el desarrollo humano con responsabilidad e impacto social, </w:t>
      </w:r>
      <w:proofErr w:type="gramStart"/>
      <w:r w:rsidR="00934612" w:rsidRPr="00535E30">
        <w:rPr>
          <w:rFonts w:asciiTheme="minorHAnsi" w:hAnsiTheme="minorHAnsi"/>
          <w:sz w:val="24"/>
        </w:rPr>
        <w:t>inmers</w:t>
      </w:r>
      <w:r w:rsidR="00934612">
        <w:rPr>
          <w:rFonts w:asciiTheme="minorHAnsi" w:hAnsiTheme="minorHAnsi"/>
          <w:sz w:val="24"/>
        </w:rPr>
        <w:t>a</w:t>
      </w:r>
      <w:proofErr w:type="gramEnd"/>
      <w:r w:rsidRPr="00535E30">
        <w:rPr>
          <w:rFonts w:asciiTheme="minorHAnsi" w:hAnsiTheme="minorHAnsi"/>
          <w:sz w:val="24"/>
        </w:rPr>
        <w:t xml:space="preserve"> en la comunidad internacional.</w:t>
      </w:r>
    </w:p>
    <w:p w:rsidR="000C0CEC" w:rsidRPr="00535E30" w:rsidRDefault="000C0CEC" w:rsidP="00F80905">
      <w:pPr>
        <w:spacing w:after="0" w:line="276" w:lineRule="auto"/>
        <w:rPr>
          <w:rFonts w:asciiTheme="minorHAnsi" w:hAnsiTheme="minorHAnsi"/>
        </w:rPr>
      </w:pPr>
    </w:p>
    <w:p w:rsidR="000C0CEC" w:rsidRPr="00535E30" w:rsidRDefault="000C0CEC" w:rsidP="00C0346D">
      <w:pPr>
        <w:pStyle w:val="Prrafodelista"/>
        <w:numPr>
          <w:ilvl w:val="1"/>
          <w:numId w:val="18"/>
        </w:numPr>
        <w:spacing w:after="0" w:line="276" w:lineRule="auto"/>
        <w:ind w:left="0" w:firstLine="0"/>
        <w:outlineLvl w:val="1"/>
        <w:rPr>
          <w:b/>
          <w:sz w:val="28"/>
          <w:szCs w:val="24"/>
        </w:rPr>
      </w:pPr>
      <w:bookmarkStart w:id="27" w:name="_Toc331683510"/>
      <w:bookmarkStart w:id="28" w:name="_Toc354671308"/>
      <w:r w:rsidRPr="00535E30">
        <w:rPr>
          <w:b/>
          <w:sz w:val="28"/>
          <w:szCs w:val="24"/>
        </w:rPr>
        <w:t>PRINCIPIOS</w:t>
      </w:r>
      <w:bookmarkEnd w:id="27"/>
      <w:bookmarkEnd w:id="28"/>
    </w:p>
    <w:p w:rsidR="000C0CEC" w:rsidRPr="00535E30" w:rsidRDefault="000C0CEC" w:rsidP="00F80905">
      <w:pPr>
        <w:pStyle w:val="Prrafodelista"/>
        <w:spacing w:after="0" w:line="276" w:lineRule="auto"/>
        <w:ind w:left="0"/>
        <w:rPr>
          <w:b/>
          <w:sz w:val="24"/>
          <w:szCs w:val="24"/>
        </w:rPr>
      </w:pPr>
    </w:p>
    <w:p w:rsidR="000C0CEC" w:rsidRPr="00535E30" w:rsidRDefault="000C0CEC" w:rsidP="00F80905">
      <w:pPr>
        <w:spacing w:after="0" w:line="276" w:lineRule="auto"/>
        <w:rPr>
          <w:rFonts w:asciiTheme="minorHAnsi" w:hAnsiTheme="minorHAnsi"/>
          <w:sz w:val="24"/>
          <w:szCs w:val="24"/>
        </w:rPr>
      </w:pPr>
      <w:r w:rsidRPr="00535E30">
        <w:rPr>
          <w:rFonts w:asciiTheme="minorHAnsi" w:hAnsiTheme="minorHAnsi"/>
          <w:b/>
          <w:sz w:val="24"/>
          <w:szCs w:val="24"/>
        </w:rPr>
        <w:t>AUTONOMÍA:</w:t>
      </w:r>
      <w:r w:rsidRPr="00535E30">
        <w:rPr>
          <w:rFonts w:asciiTheme="minorHAnsi" w:hAnsiTheme="minorHAnsi"/>
          <w:sz w:val="24"/>
          <w:szCs w:val="24"/>
        </w:rPr>
        <w:t xml:space="preserve"> Capacidad de la Institución para auto determinar sus actividades académicas, administrativas y gestión financiera.</w:t>
      </w:r>
    </w:p>
    <w:p w:rsidR="000C0CEC" w:rsidRPr="00535E30" w:rsidRDefault="000C0CEC" w:rsidP="00F80905">
      <w:pPr>
        <w:spacing w:line="276" w:lineRule="auto"/>
        <w:rPr>
          <w:rFonts w:asciiTheme="minorHAnsi" w:hAnsiTheme="minorHAnsi"/>
          <w:sz w:val="24"/>
          <w:szCs w:val="24"/>
        </w:rPr>
      </w:pPr>
      <w:r w:rsidRPr="00535E30">
        <w:rPr>
          <w:rFonts w:asciiTheme="minorHAnsi" w:hAnsiTheme="minorHAnsi"/>
          <w:b/>
          <w:sz w:val="24"/>
          <w:szCs w:val="24"/>
        </w:rPr>
        <w:lastRenderedPageBreak/>
        <w:t>LIBERTAD:</w:t>
      </w:r>
      <w:r w:rsidRPr="00535E30">
        <w:rPr>
          <w:rFonts w:asciiTheme="minorHAnsi" w:hAnsiTheme="minorHAnsi"/>
          <w:sz w:val="24"/>
          <w:szCs w:val="24"/>
        </w:rPr>
        <w:t xml:space="preserve"> Capacidad de tomar decisiones mediadas por la reflexión crítica y responsable.</w:t>
      </w:r>
    </w:p>
    <w:p w:rsidR="000C0CEC" w:rsidRPr="00535E30" w:rsidRDefault="000C0CEC" w:rsidP="00F80905">
      <w:pPr>
        <w:spacing w:line="276" w:lineRule="auto"/>
        <w:rPr>
          <w:rFonts w:asciiTheme="minorHAnsi" w:hAnsiTheme="minorHAnsi"/>
          <w:sz w:val="24"/>
          <w:szCs w:val="24"/>
        </w:rPr>
      </w:pPr>
      <w:r w:rsidRPr="00535E30">
        <w:rPr>
          <w:rFonts w:asciiTheme="minorHAnsi" w:hAnsiTheme="minorHAnsi"/>
          <w:b/>
          <w:sz w:val="24"/>
          <w:szCs w:val="24"/>
        </w:rPr>
        <w:t>DIMENSIÓN SOCIAL DEL CONOCIMIENTO:</w:t>
      </w:r>
      <w:r w:rsidRPr="00535E30">
        <w:rPr>
          <w:rFonts w:asciiTheme="minorHAnsi" w:hAnsiTheme="minorHAnsi"/>
          <w:sz w:val="24"/>
          <w:szCs w:val="24"/>
        </w:rPr>
        <w:t xml:space="preserve"> La creación y transmisión del conocimiento está orientada a promover el desarrollo de los procesos productivos y al mejoramiento del nivel de vida de la sociedad.</w:t>
      </w:r>
    </w:p>
    <w:p w:rsidR="000C0CEC" w:rsidRPr="00535E30" w:rsidRDefault="000C0CEC" w:rsidP="00F80905">
      <w:pPr>
        <w:spacing w:line="276" w:lineRule="auto"/>
        <w:rPr>
          <w:rFonts w:asciiTheme="minorHAnsi" w:hAnsiTheme="minorHAnsi"/>
          <w:sz w:val="24"/>
          <w:szCs w:val="24"/>
        </w:rPr>
      </w:pPr>
      <w:r w:rsidRPr="00535E30">
        <w:rPr>
          <w:rFonts w:asciiTheme="minorHAnsi" w:hAnsiTheme="minorHAnsi"/>
          <w:b/>
          <w:sz w:val="24"/>
          <w:szCs w:val="24"/>
        </w:rPr>
        <w:t>CALIDAD:</w:t>
      </w:r>
      <w:r w:rsidRPr="00535E30">
        <w:rPr>
          <w:rFonts w:asciiTheme="minorHAnsi" w:hAnsiTheme="minorHAnsi"/>
          <w:sz w:val="24"/>
          <w:szCs w:val="24"/>
        </w:rPr>
        <w:t xml:space="preserve"> Capacidad de fundamentar y generar procesos de excelencia, desde las diversas posibilidades epistemológicas y teóricas, para lograr los objetivos de la universidad.</w:t>
      </w:r>
    </w:p>
    <w:p w:rsidR="000C0CEC" w:rsidRPr="00535E30" w:rsidRDefault="000C0CEC" w:rsidP="00F80905">
      <w:pPr>
        <w:spacing w:line="276" w:lineRule="auto"/>
        <w:rPr>
          <w:rFonts w:asciiTheme="minorHAnsi" w:hAnsiTheme="minorHAnsi"/>
          <w:sz w:val="24"/>
          <w:szCs w:val="24"/>
        </w:rPr>
      </w:pPr>
      <w:r w:rsidRPr="00535E30">
        <w:rPr>
          <w:rFonts w:asciiTheme="minorHAnsi" w:hAnsiTheme="minorHAnsi"/>
          <w:b/>
          <w:sz w:val="24"/>
          <w:szCs w:val="24"/>
        </w:rPr>
        <w:t>JUSTICIA Y EQUIDAD:</w:t>
      </w:r>
      <w:r w:rsidRPr="00535E30">
        <w:rPr>
          <w:rFonts w:asciiTheme="minorHAnsi" w:hAnsiTheme="minorHAnsi"/>
          <w:sz w:val="24"/>
          <w:szCs w:val="24"/>
        </w:rPr>
        <w:t xml:space="preserve"> Consiste en el libre ejercicio de oportunidades para acceder a la Universidad y a los beneficios de su Misión.</w:t>
      </w:r>
    </w:p>
    <w:p w:rsidR="000C0CEC" w:rsidRPr="00535E30" w:rsidRDefault="000C0CEC" w:rsidP="00F80905">
      <w:pPr>
        <w:spacing w:line="276" w:lineRule="auto"/>
        <w:rPr>
          <w:rFonts w:asciiTheme="minorHAnsi" w:hAnsiTheme="minorHAnsi"/>
          <w:sz w:val="24"/>
          <w:szCs w:val="24"/>
        </w:rPr>
      </w:pPr>
      <w:r w:rsidRPr="00535E30">
        <w:rPr>
          <w:rFonts w:asciiTheme="minorHAnsi" w:hAnsiTheme="minorHAnsi"/>
          <w:b/>
          <w:sz w:val="24"/>
          <w:szCs w:val="24"/>
        </w:rPr>
        <w:t>CORPORATIVIDAD:</w:t>
      </w:r>
      <w:r w:rsidRPr="00535E30">
        <w:rPr>
          <w:rFonts w:asciiTheme="minorHAnsi" w:hAnsiTheme="minorHAnsi"/>
          <w:sz w:val="24"/>
          <w:szCs w:val="24"/>
        </w:rPr>
        <w:t xml:space="preserve"> Se entiende como el sentido de identidad y pertenencia institucional plasmado en la capacidad de realizar un trabajo colectivo.</w:t>
      </w:r>
    </w:p>
    <w:p w:rsidR="000C0CEC" w:rsidRPr="00535E30" w:rsidRDefault="000C0CEC" w:rsidP="00F80905">
      <w:pPr>
        <w:spacing w:line="276" w:lineRule="auto"/>
        <w:rPr>
          <w:rFonts w:asciiTheme="minorHAnsi" w:hAnsiTheme="minorHAnsi"/>
          <w:sz w:val="24"/>
          <w:szCs w:val="24"/>
        </w:rPr>
      </w:pPr>
      <w:r w:rsidRPr="00535E30">
        <w:rPr>
          <w:rFonts w:asciiTheme="minorHAnsi" w:hAnsiTheme="minorHAnsi"/>
          <w:b/>
          <w:sz w:val="24"/>
          <w:szCs w:val="24"/>
        </w:rPr>
        <w:t>INTEGRALIDAD:</w:t>
      </w:r>
      <w:r w:rsidRPr="00535E30">
        <w:rPr>
          <w:rFonts w:asciiTheme="minorHAnsi" w:hAnsiTheme="minorHAnsi"/>
          <w:sz w:val="24"/>
          <w:szCs w:val="24"/>
        </w:rPr>
        <w:t xml:space="preserve"> Como institución educativa se busca el desarrollo de la persona en su dimensión ética, moral, intelectual, física y estética.</w:t>
      </w:r>
    </w:p>
    <w:p w:rsidR="000C0CEC" w:rsidRPr="00535E30" w:rsidRDefault="000C0CEC" w:rsidP="00F80905">
      <w:pPr>
        <w:spacing w:line="276" w:lineRule="auto"/>
        <w:rPr>
          <w:rFonts w:asciiTheme="minorHAnsi" w:hAnsiTheme="minorHAnsi"/>
          <w:sz w:val="24"/>
          <w:szCs w:val="24"/>
        </w:rPr>
      </w:pPr>
      <w:r w:rsidRPr="00535E30">
        <w:rPr>
          <w:rFonts w:asciiTheme="minorHAnsi" w:hAnsiTheme="minorHAnsi"/>
          <w:b/>
          <w:sz w:val="24"/>
          <w:szCs w:val="24"/>
        </w:rPr>
        <w:t>UNIVERSALIDAD:</w:t>
      </w:r>
      <w:r w:rsidRPr="00535E30">
        <w:rPr>
          <w:rFonts w:asciiTheme="minorHAnsi" w:hAnsiTheme="minorHAnsi"/>
          <w:sz w:val="24"/>
          <w:szCs w:val="24"/>
        </w:rPr>
        <w:t xml:space="preserve"> Se refiere al espacio conceptual para llevar a cabo la multiplicidad de los saberes.</w:t>
      </w:r>
    </w:p>
    <w:p w:rsidR="000C0CEC" w:rsidRPr="00535E30" w:rsidRDefault="000C0CEC" w:rsidP="00F80905">
      <w:pPr>
        <w:spacing w:line="276" w:lineRule="auto"/>
        <w:rPr>
          <w:rFonts w:asciiTheme="minorHAnsi" w:hAnsiTheme="minorHAnsi"/>
          <w:sz w:val="24"/>
          <w:szCs w:val="24"/>
        </w:rPr>
      </w:pPr>
      <w:r w:rsidRPr="00535E30">
        <w:rPr>
          <w:rFonts w:asciiTheme="minorHAnsi" w:hAnsiTheme="minorHAnsi"/>
          <w:b/>
          <w:sz w:val="24"/>
          <w:szCs w:val="24"/>
        </w:rPr>
        <w:t>DEMOCRACIA:</w:t>
      </w:r>
      <w:r w:rsidRPr="00535E30">
        <w:rPr>
          <w:rFonts w:asciiTheme="minorHAnsi" w:hAnsiTheme="minorHAnsi"/>
          <w:sz w:val="24"/>
          <w:szCs w:val="24"/>
        </w:rPr>
        <w:t xml:space="preserve"> Se refiere a la combinación de un conjunto de reglas y procedimientos para el ejercicio del poder, del control, la oposición y la toma de decisiones colectivas, a través de instrumentos donde se garantice la más amplia participación de la comunidad universitaria.</w:t>
      </w:r>
    </w:p>
    <w:p w:rsidR="000C0CEC" w:rsidRPr="00535E30" w:rsidRDefault="000C0CEC" w:rsidP="00F80905">
      <w:pPr>
        <w:spacing w:line="276" w:lineRule="auto"/>
        <w:rPr>
          <w:rFonts w:asciiTheme="minorHAnsi" w:hAnsiTheme="minorHAnsi"/>
          <w:sz w:val="24"/>
          <w:szCs w:val="24"/>
        </w:rPr>
      </w:pPr>
      <w:r w:rsidRPr="00535E30">
        <w:rPr>
          <w:rFonts w:asciiTheme="minorHAnsi" w:hAnsiTheme="minorHAnsi"/>
          <w:b/>
          <w:sz w:val="24"/>
          <w:szCs w:val="24"/>
        </w:rPr>
        <w:t>RESPONSABILIDAD SOCIAL:</w:t>
      </w:r>
      <w:r w:rsidRPr="00535E30">
        <w:rPr>
          <w:rFonts w:asciiTheme="minorHAnsi" w:hAnsiTheme="minorHAnsi"/>
          <w:sz w:val="24"/>
          <w:szCs w:val="24"/>
        </w:rPr>
        <w:t xml:space="preserve"> Es la capacidad de promover la participación de la comunidad universitaria y el medio a favor del desarrollo humano sustentable para la sociedad, mediante la óptima gestión económica, social y ambiental de la institución. Asegurando la formación integral y la producción de conocimientos compartidos y aplicables con la sociedad que la acoge. La Universidad Tecnológica de Pereira asume el desarrollo de los principios que rigen la Administración Pública y que se encuentran contemplados en la Constitución Política Nacional, los cuales se enuncian a continuación:</w:t>
      </w:r>
    </w:p>
    <w:p w:rsidR="000C0CEC" w:rsidRPr="00535E30" w:rsidRDefault="000C0CEC" w:rsidP="00F80905">
      <w:pPr>
        <w:spacing w:line="276" w:lineRule="auto"/>
        <w:rPr>
          <w:rFonts w:asciiTheme="minorHAnsi" w:hAnsiTheme="minorHAnsi"/>
          <w:sz w:val="24"/>
          <w:szCs w:val="24"/>
        </w:rPr>
      </w:pPr>
      <w:r w:rsidRPr="00535E30">
        <w:rPr>
          <w:rFonts w:asciiTheme="minorHAnsi" w:hAnsiTheme="minorHAnsi"/>
          <w:b/>
          <w:sz w:val="24"/>
          <w:szCs w:val="24"/>
        </w:rPr>
        <w:t>IGUALDAD:</w:t>
      </w:r>
      <w:r w:rsidRPr="00535E30">
        <w:rPr>
          <w:rFonts w:asciiTheme="minorHAnsi" w:hAnsiTheme="minorHAnsi"/>
          <w:sz w:val="24"/>
          <w:szCs w:val="24"/>
        </w:rPr>
        <w:t xml:space="preserve"> Es reconocer a todos los ciudadanos la capacidad para ejercer los mismos derechos para garantizar el cumplimiento del precepto constitucional según el cual "todas las personas nacen libres e iguales ante la ley, recibirán la misma protección y trato de las autoridades y gozarán de los mismos derechos, libertades y oportunidades sin ninguna discriminación por razones de sexo, raza, origen nacional o familiar, lengua, religión, opinión política o filosófica" 1. Los servidores públicos están obligados orientar sus </w:t>
      </w:r>
      <w:r w:rsidRPr="00535E30">
        <w:rPr>
          <w:rFonts w:asciiTheme="minorHAnsi" w:hAnsiTheme="minorHAnsi"/>
          <w:sz w:val="24"/>
          <w:szCs w:val="24"/>
        </w:rPr>
        <w:lastRenderedPageBreak/>
        <w:t>actuaciones y la toma de decisiones necesarias para el cumplimiento de los fines esenciales del Estado hacia la primacía del interés</w:t>
      </w:r>
    </w:p>
    <w:p w:rsidR="000C0CEC" w:rsidRPr="00535E30" w:rsidRDefault="000C0CEC" w:rsidP="00F80905">
      <w:pPr>
        <w:spacing w:line="276" w:lineRule="auto"/>
        <w:rPr>
          <w:rFonts w:asciiTheme="minorHAnsi" w:hAnsiTheme="minorHAnsi"/>
          <w:sz w:val="24"/>
          <w:szCs w:val="24"/>
        </w:rPr>
      </w:pPr>
      <w:r w:rsidRPr="00535E30">
        <w:rPr>
          <w:rFonts w:asciiTheme="minorHAnsi" w:hAnsiTheme="minorHAnsi"/>
          <w:b/>
          <w:sz w:val="24"/>
          <w:szCs w:val="24"/>
        </w:rPr>
        <w:t>MORALIDAD:</w:t>
      </w:r>
      <w:r w:rsidRPr="00535E30">
        <w:rPr>
          <w:rFonts w:asciiTheme="minorHAnsi" w:hAnsiTheme="minorHAnsi"/>
          <w:sz w:val="24"/>
          <w:szCs w:val="24"/>
        </w:rPr>
        <w:t xml:space="preserve"> Se manifiesta, en la orientación de las actuaciones bajo responsabilidad del Servidor Público, el cumplimiento de las normas constitucionales y legales vigentes, y los principios éticos y morales propios de nuestra sociedad.</w:t>
      </w:r>
    </w:p>
    <w:p w:rsidR="000C0CEC" w:rsidRPr="00535E30" w:rsidRDefault="000C0CEC" w:rsidP="00F80905">
      <w:pPr>
        <w:spacing w:line="276" w:lineRule="auto"/>
        <w:rPr>
          <w:rFonts w:asciiTheme="minorHAnsi" w:hAnsiTheme="minorHAnsi"/>
          <w:sz w:val="24"/>
          <w:szCs w:val="24"/>
        </w:rPr>
      </w:pPr>
      <w:r w:rsidRPr="00535E30">
        <w:rPr>
          <w:rFonts w:asciiTheme="minorHAnsi" w:hAnsiTheme="minorHAnsi"/>
          <w:b/>
          <w:sz w:val="24"/>
          <w:szCs w:val="24"/>
        </w:rPr>
        <w:t>EFICIENCIA:</w:t>
      </w:r>
      <w:r w:rsidRPr="00535E30">
        <w:rPr>
          <w:rFonts w:asciiTheme="minorHAnsi" w:hAnsiTheme="minorHAnsi"/>
          <w:sz w:val="24"/>
          <w:szCs w:val="24"/>
        </w:rPr>
        <w:t xml:space="preserve"> Grado de consecución e impacto de los resultados de una entidad pública en relación con las metas y los objetivos previstos. Se mide en todas las actividades y las tareas y en especial al concluir un proceso, un proyecto o un programa. Permite determinar si los resultados obtenidos tienen relación con los objetivos y con la satisfacción de las necesidades de la comunidad.</w:t>
      </w:r>
    </w:p>
    <w:p w:rsidR="000C0CEC" w:rsidRPr="00535E30" w:rsidRDefault="000C0CEC" w:rsidP="00F80905">
      <w:pPr>
        <w:spacing w:line="276" w:lineRule="auto"/>
        <w:rPr>
          <w:rFonts w:asciiTheme="minorHAnsi" w:hAnsiTheme="minorHAnsi"/>
          <w:sz w:val="24"/>
          <w:szCs w:val="24"/>
        </w:rPr>
      </w:pPr>
      <w:r w:rsidRPr="00535E30">
        <w:rPr>
          <w:rFonts w:asciiTheme="minorHAnsi" w:hAnsiTheme="minorHAnsi"/>
          <w:b/>
          <w:sz w:val="24"/>
          <w:szCs w:val="24"/>
        </w:rPr>
        <w:t>ECONOMÍA:</w:t>
      </w:r>
      <w:r w:rsidRPr="00535E30">
        <w:rPr>
          <w:rFonts w:asciiTheme="minorHAnsi" w:hAnsiTheme="minorHAnsi"/>
          <w:sz w:val="24"/>
          <w:szCs w:val="24"/>
        </w:rPr>
        <w:t xml:space="preserve"> Se refiere a la austeridad y la mesura en los gastos e inversiones necesarios para la obtención de los insumos en las condiciones de calidad, cantidad y oportunidad requeridas para la satisfacción de las necesidades de la comunidad. Se </w:t>
      </w:r>
      <w:proofErr w:type="spellStart"/>
      <w:r w:rsidRPr="00535E30">
        <w:rPr>
          <w:rFonts w:asciiTheme="minorHAnsi" w:hAnsiTheme="minorHAnsi"/>
          <w:sz w:val="24"/>
          <w:szCs w:val="24"/>
        </w:rPr>
        <w:t>operativiza</w:t>
      </w:r>
      <w:proofErr w:type="spellEnd"/>
      <w:r w:rsidRPr="00535E30">
        <w:rPr>
          <w:rFonts w:asciiTheme="minorHAnsi" w:hAnsiTheme="minorHAnsi"/>
          <w:sz w:val="24"/>
          <w:szCs w:val="24"/>
        </w:rPr>
        <w:t xml:space="preserve"> en la medición racional de los costos y en la vigilancia de la asignación de los recursos para garantizar su ejecución en función de los objetivos, metas y propósitos de la Entidad.</w:t>
      </w:r>
    </w:p>
    <w:p w:rsidR="000C0CEC" w:rsidRPr="00535E30" w:rsidRDefault="000C0CEC" w:rsidP="00F80905">
      <w:pPr>
        <w:spacing w:line="276" w:lineRule="auto"/>
        <w:rPr>
          <w:rFonts w:asciiTheme="minorHAnsi" w:hAnsiTheme="minorHAnsi"/>
          <w:sz w:val="24"/>
          <w:szCs w:val="24"/>
        </w:rPr>
      </w:pPr>
      <w:r w:rsidRPr="00535E30">
        <w:rPr>
          <w:rFonts w:asciiTheme="minorHAnsi" w:hAnsiTheme="minorHAnsi"/>
          <w:b/>
          <w:sz w:val="24"/>
          <w:szCs w:val="24"/>
        </w:rPr>
        <w:t>CELERIDAD:</w:t>
      </w:r>
      <w:r w:rsidRPr="00535E30">
        <w:rPr>
          <w:rFonts w:asciiTheme="minorHAnsi" w:hAnsiTheme="minorHAnsi"/>
          <w:sz w:val="24"/>
          <w:szCs w:val="24"/>
        </w:rPr>
        <w:t xml:space="preserve"> Hace referencia a la prontitud, la rapidez y la velocidad en el actuar público. Significa dinamizar la actuación de la entidad con los propósitos de agilizar el proceso de toma de decisiones y garantizar resultados óptimos y oportunos. En aplicación de este principio, los servidores públicos se comprometen a dar respuesta oportuna a las necesidades sociales pertinentes a su ámbito de competencia.</w:t>
      </w:r>
    </w:p>
    <w:p w:rsidR="000C0CEC" w:rsidRPr="00535E30" w:rsidRDefault="000C0CEC" w:rsidP="00F80905">
      <w:pPr>
        <w:spacing w:line="276" w:lineRule="auto"/>
        <w:rPr>
          <w:rFonts w:asciiTheme="minorHAnsi" w:hAnsiTheme="minorHAnsi"/>
          <w:sz w:val="24"/>
          <w:szCs w:val="24"/>
        </w:rPr>
      </w:pPr>
      <w:r w:rsidRPr="00535E30">
        <w:rPr>
          <w:rFonts w:asciiTheme="minorHAnsi" w:hAnsiTheme="minorHAnsi"/>
          <w:b/>
          <w:sz w:val="24"/>
          <w:szCs w:val="24"/>
        </w:rPr>
        <w:t>IMPARCIALIDAD:</w:t>
      </w:r>
      <w:r w:rsidRPr="00535E30">
        <w:rPr>
          <w:rFonts w:asciiTheme="minorHAnsi" w:hAnsiTheme="minorHAnsi"/>
          <w:sz w:val="24"/>
          <w:szCs w:val="24"/>
        </w:rPr>
        <w:t xml:space="preserve"> Es la falta de designio anticipado o de prevención a favor o en contra de personas, a fin de proceder con rectitud, dictaminar y resolver los asuntos de manera justa. Se concreta cuando el Servidor Público actúa con plena objetividad e independencia en defensa de lo público, en los asuntos bajo su responsabilidad a fin de garantizar que ningún ciudadano o grupo de interés se afecte en sus intereses, producto de la actuación de la entidad pública.</w:t>
      </w:r>
    </w:p>
    <w:p w:rsidR="000C0CEC" w:rsidRPr="00535E30" w:rsidRDefault="000C0CEC" w:rsidP="00F80905">
      <w:pPr>
        <w:spacing w:line="276" w:lineRule="auto"/>
        <w:rPr>
          <w:rFonts w:asciiTheme="minorHAnsi" w:hAnsiTheme="minorHAnsi"/>
          <w:sz w:val="24"/>
          <w:szCs w:val="24"/>
        </w:rPr>
      </w:pPr>
      <w:r w:rsidRPr="00535E30">
        <w:rPr>
          <w:rFonts w:asciiTheme="minorHAnsi" w:hAnsiTheme="minorHAnsi"/>
          <w:b/>
          <w:sz w:val="24"/>
          <w:szCs w:val="24"/>
        </w:rPr>
        <w:t>PUBLICIDAD:</w:t>
      </w:r>
      <w:r w:rsidRPr="00535E30">
        <w:rPr>
          <w:rFonts w:asciiTheme="minorHAnsi" w:hAnsiTheme="minorHAnsi"/>
          <w:sz w:val="24"/>
          <w:szCs w:val="24"/>
        </w:rPr>
        <w:t xml:space="preserve"> Es el derecho de la sociedad y de los servidores de una entidad pública al acceso pleno, oportuno, veraz y preciso a las actuaciones, resultados e información de las autoridades estatales. Es responsabilidad de los gobernantes y gerentes públicos dar a conocer los resultados de su gestión y permitir la fiscalización por parte de los ciudadanos, dentro de las disposiciones legales vigentes.</w:t>
      </w:r>
    </w:p>
    <w:p w:rsidR="000C0CEC" w:rsidRPr="00535E30" w:rsidRDefault="000C0CEC" w:rsidP="00F80905">
      <w:pPr>
        <w:spacing w:after="200" w:line="276" w:lineRule="auto"/>
        <w:jc w:val="left"/>
        <w:rPr>
          <w:rFonts w:asciiTheme="minorHAnsi" w:hAnsiTheme="minorHAnsi"/>
          <w:sz w:val="24"/>
          <w:szCs w:val="24"/>
        </w:rPr>
      </w:pPr>
      <w:r w:rsidRPr="00535E30">
        <w:rPr>
          <w:rFonts w:asciiTheme="minorHAnsi" w:hAnsiTheme="minorHAnsi"/>
          <w:sz w:val="24"/>
          <w:szCs w:val="24"/>
        </w:rPr>
        <w:br w:type="page"/>
      </w:r>
    </w:p>
    <w:p w:rsidR="000C0CEC" w:rsidRPr="00535E30" w:rsidRDefault="000C0CEC" w:rsidP="00C0346D">
      <w:pPr>
        <w:pStyle w:val="Prrafodelista"/>
        <w:numPr>
          <w:ilvl w:val="1"/>
          <w:numId w:val="18"/>
        </w:numPr>
        <w:spacing w:after="0" w:line="276" w:lineRule="auto"/>
        <w:ind w:left="0" w:firstLine="0"/>
        <w:outlineLvl w:val="1"/>
        <w:rPr>
          <w:b/>
          <w:sz w:val="28"/>
          <w:szCs w:val="24"/>
        </w:rPr>
      </w:pPr>
      <w:bookmarkStart w:id="29" w:name="_Toc331683511"/>
      <w:bookmarkStart w:id="30" w:name="_Toc354671309"/>
      <w:r w:rsidRPr="00535E30">
        <w:rPr>
          <w:b/>
          <w:sz w:val="28"/>
          <w:szCs w:val="24"/>
        </w:rPr>
        <w:lastRenderedPageBreak/>
        <w:t>VALORES INSTITUCIONALES</w:t>
      </w:r>
      <w:bookmarkEnd w:id="29"/>
      <w:bookmarkEnd w:id="30"/>
    </w:p>
    <w:p w:rsidR="000C0CEC" w:rsidRPr="00535E30" w:rsidRDefault="000C0CEC" w:rsidP="00F80905">
      <w:pPr>
        <w:spacing w:after="0" w:line="276" w:lineRule="auto"/>
        <w:rPr>
          <w:rFonts w:asciiTheme="minorHAnsi" w:hAnsiTheme="minorHAnsi"/>
          <w:b/>
          <w:sz w:val="24"/>
          <w:szCs w:val="24"/>
        </w:rPr>
      </w:pPr>
    </w:p>
    <w:p w:rsidR="000C0CEC" w:rsidRPr="00535E30" w:rsidRDefault="000C0CEC" w:rsidP="00F80905">
      <w:pPr>
        <w:spacing w:after="0" w:line="276" w:lineRule="auto"/>
        <w:rPr>
          <w:rFonts w:asciiTheme="minorHAnsi" w:hAnsiTheme="minorHAnsi"/>
          <w:b/>
          <w:sz w:val="24"/>
          <w:szCs w:val="24"/>
        </w:rPr>
      </w:pPr>
    </w:p>
    <w:p w:rsidR="000C0CEC" w:rsidRPr="00535E30" w:rsidRDefault="000C0CEC" w:rsidP="00F80905">
      <w:pPr>
        <w:spacing w:after="0" w:line="276" w:lineRule="auto"/>
        <w:rPr>
          <w:rFonts w:asciiTheme="minorHAnsi" w:hAnsiTheme="minorHAnsi"/>
          <w:sz w:val="24"/>
        </w:rPr>
        <w:sectPr w:rsidR="000C0CEC" w:rsidRPr="00535E30" w:rsidSect="00C340EE">
          <w:pgSz w:w="12240" w:h="15840" w:code="1"/>
          <w:pgMar w:top="2268" w:right="1701" w:bottom="1701" w:left="1701" w:header="709" w:footer="709" w:gutter="0"/>
          <w:pgNumType w:start="1"/>
          <w:cols w:space="708"/>
          <w:docGrid w:linePitch="360"/>
        </w:sectPr>
      </w:pPr>
    </w:p>
    <w:p w:rsidR="000C0CEC" w:rsidRPr="00535E30" w:rsidRDefault="000C0CEC" w:rsidP="00F80905">
      <w:pPr>
        <w:spacing w:line="276" w:lineRule="auto"/>
        <w:rPr>
          <w:rFonts w:asciiTheme="minorHAnsi" w:hAnsiTheme="minorHAnsi"/>
          <w:sz w:val="28"/>
          <w:szCs w:val="28"/>
        </w:rPr>
      </w:pPr>
      <w:r w:rsidRPr="00535E30">
        <w:rPr>
          <w:rFonts w:asciiTheme="minorHAnsi" w:hAnsiTheme="minorHAnsi"/>
          <w:sz w:val="28"/>
          <w:szCs w:val="28"/>
        </w:rPr>
        <w:lastRenderedPageBreak/>
        <w:t>Implícitos en la misión:</w:t>
      </w:r>
    </w:p>
    <w:p w:rsidR="000C0CEC" w:rsidRPr="00535E30" w:rsidRDefault="000C0CEC" w:rsidP="00F80905">
      <w:pPr>
        <w:pStyle w:val="Sinespaciado"/>
        <w:spacing w:line="276" w:lineRule="auto"/>
        <w:rPr>
          <w:rFonts w:asciiTheme="minorHAnsi" w:hAnsiTheme="minorHAnsi"/>
          <w:sz w:val="28"/>
          <w:szCs w:val="28"/>
        </w:rPr>
      </w:pPr>
      <w:r w:rsidRPr="00535E30">
        <w:rPr>
          <w:rFonts w:asciiTheme="minorHAnsi" w:hAnsiTheme="minorHAnsi"/>
          <w:sz w:val="28"/>
          <w:szCs w:val="28"/>
        </w:rPr>
        <w:t>• La participación</w:t>
      </w:r>
    </w:p>
    <w:p w:rsidR="000C0CEC" w:rsidRPr="00535E30" w:rsidRDefault="000C0CEC" w:rsidP="00F80905">
      <w:pPr>
        <w:pStyle w:val="Sinespaciado"/>
        <w:spacing w:line="276" w:lineRule="auto"/>
        <w:rPr>
          <w:rFonts w:asciiTheme="minorHAnsi" w:hAnsiTheme="minorHAnsi"/>
          <w:sz w:val="28"/>
          <w:szCs w:val="28"/>
        </w:rPr>
      </w:pPr>
      <w:r w:rsidRPr="00535E30">
        <w:rPr>
          <w:rFonts w:asciiTheme="minorHAnsi" w:hAnsiTheme="minorHAnsi"/>
          <w:sz w:val="28"/>
          <w:szCs w:val="28"/>
        </w:rPr>
        <w:t>• El diálogo</w:t>
      </w:r>
    </w:p>
    <w:p w:rsidR="000C0CEC" w:rsidRPr="00535E30" w:rsidRDefault="000C0CEC" w:rsidP="00F80905">
      <w:pPr>
        <w:pStyle w:val="Sinespaciado"/>
        <w:spacing w:line="276" w:lineRule="auto"/>
        <w:rPr>
          <w:rFonts w:asciiTheme="minorHAnsi" w:hAnsiTheme="minorHAnsi"/>
          <w:sz w:val="28"/>
          <w:szCs w:val="28"/>
        </w:rPr>
      </w:pPr>
      <w:r w:rsidRPr="00535E30">
        <w:rPr>
          <w:rFonts w:asciiTheme="minorHAnsi" w:hAnsiTheme="minorHAnsi"/>
          <w:sz w:val="28"/>
          <w:szCs w:val="28"/>
        </w:rPr>
        <w:t>• El pluralismo</w:t>
      </w:r>
    </w:p>
    <w:p w:rsidR="000C0CEC" w:rsidRPr="00535E30" w:rsidRDefault="000C0CEC" w:rsidP="00F80905">
      <w:pPr>
        <w:pStyle w:val="Sinespaciado"/>
        <w:spacing w:line="276" w:lineRule="auto"/>
        <w:rPr>
          <w:rFonts w:asciiTheme="minorHAnsi" w:hAnsiTheme="minorHAnsi"/>
          <w:sz w:val="28"/>
          <w:szCs w:val="28"/>
        </w:rPr>
      </w:pPr>
      <w:r w:rsidRPr="00535E30">
        <w:rPr>
          <w:rFonts w:asciiTheme="minorHAnsi" w:hAnsiTheme="minorHAnsi"/>
          <w:sz w:val="28"/>
          <w:szCs w:val="28"/>
        </w:rPr>
        <w:t>• La tolerancia</w:t>
      </w:r>
    </w:p>
    <w:p w:rsidR="000C0CEC" w:rsidRPr="00535E30" w:rsidRDefault="000C0CEC" w:rsidP="00F80905">
      <w:pPr>
        <w:pStyle w:val="Sinespaciado"/>
        <w:spacing w:line="276" w:lineRule="auto"/>
        <w:rPr>
          <w:rFonts w:asciiTheme="minorHAnsi" w:hAnsiTheme="minorHAnsi"/>
          <w:sz w:val="28"/>
          <w:szCs w:val="28"/>
        </w:rPr>
      </w:pPr>
      <w:r w:rsidRPr="00535E30">
        <w:rPr>
          <w:rFonts w:asciiTheme="minorHAnsi" w:hAnsiTheme="minorHAnsi"/>
          <w:sz w:val="28"/>
          <w:szCs w:val="28"/>
        </w:rPr>
        <w:t>• El respeto a la diferencia</w:t>
      </w:r>
    </w:p>
    <w:p w:rsidR="000C0CEC" w:rsidRPr="00535E30" w:rsidRDefault="000C0CEC" w:rsidP="00F80905">
      <w:pPr>
        <w:pStyle w:val="Sinespaciado"/>
        <w:spacing w:line="276" w:lineRule="auto"/>
        <w:rPr>
          <w:rFonts w:asciiTheme="minorHAnsi" w:hAnsiTheme="minorHAnsi"/>
          <w:sz w:val="28"/>
          <w:szCs w:val="28"/>
        </w:rPr>
      </w:pPr>
    </w:p>
    <w:p w:rsidR="000C0CEC" w:rsidRPr="00535E30" w:rsidRDefault="000C0CEC" w:rsidP="00F80905">
      <w:pPr>
        <w:spacing w:line="276" w:lineRule="auto"/>
        <w:rPr>
          <w:rFonts w:asciiTheme="minorHAnsi" w:hAnsiTheme="minorHAnsi"/>
          <w:sz w:val="28"/>
          <w:szCs w:val="28"/>
        </w:rPr>
      </w:pPr>
    </w:p>
    <w:p w:rsidR="000C0CEC" w:rsidRPr="00535E30" w:rsidRDefault="000C0CEC" w:rsidP="00F80905">
      <w:pPr>
        <w:spacing w:line="276" w:lineRule="auto"/>
        <w:rPr>
          <w:rFonts w:asciiTheme="minorHAnsi" w:hAnsiTheme="minorHAnsi"/>
          <w:sz w:val="28"/>
          <w:szCs w:val="28"/>
        </w:rPr>
      </w:pPr>
    </w:p>
    <w:p w:rsidR="000C0CEC" w:rsidRPr="00535E30" w:rsidRDefault="000C0CEC" w:rsidP="00F80905">
      <w:pPr>
        <w:spacing w:line="276" w:lineRule="auto"/>
        <w:rPr>
          <w:rFonts w:asciiTheme="minorHAnsi" w:hAnsiTheme="minorHAnsi"/>
          <w:sz w:val="28"/>
          <w:szCs w:val="28"/>
        </w:rPr>
      </w:pPr>
    </w:p>
    <w:p w:rsidR="000C0CEC" w:rsidRPr="00535E30" w:rsidRDefault="000C0CEC" w:rsidP="00F80905">
      <w:pPr>
        <w:spacing w:line="276" w:lineRule="auto"/>
        <w:rPr>
          <w:rFonts w:asciiTheme="minorHAnsi" w:hAnsiTheme="minorHAnsi"/>
          <w:sz w:val="28"/>
          <w:szCs w:val="28"/>
        </w:rPr>
      </w:pPr>
    </w:p>
    <w:p w:rsidR="000C0CEC" w:rsidRPr="00535E30" w:rsidRDefault="000C0CEC" w:rsidP="00F80905">
      <w:pPr>
        <w:spacing w:line="276" w:lineRule="auto"/>
        <w:rPr>
          <w:rFonts w:asciiTheme="minorHAnsi" w:hAnsiTheme="minorHAnsi"/>
          <w:sz w:val="28"/>
          <w:szCs w:val="28"/>
        </w:rPr>
      </w:pPr>
      <w:r w:rsidRPr="00535E30">
        <w:rPr>
          <w:rFonts w:asciiTheme="minorHAnsi" w:hAnsiTheme="minorHAnsi"/>
          <w:sz w:val="28"/>
          <w:szCs w:val="28"/>
        </w:rPr>
        <w:lastRenderedPageBreak/>
        <w:t>Implícitos en la bandera:</w:t>
      </w:r>
    </w:p>
    <w:p w:rsidR="000C0CEC" w:rsidRPr="00535E30" w:rsidRDefault="000C0CEC" w:rsidP="00F80905">
      <w:pPr>
        <w:pStyle w:val="Sinespaciado"/>
        <w:spacing w:line="276" w:lineRule="auto"/>
        <w:rPr>
          <w:rFonts w:asciiTheme="minorHAnsi" w:hAnsiTheme="minorHAnsi"/>
          <w:sz w:val="28"/>
          <w:szCs w:val="28"/>
        </w:rPr>
      </w:pPr>
      <w:r w:rsidRPr="00535E30">
        <w:rPr>
          <w:rFonts w:asciiTheme="minorHAnsi" w:hAnsiTheme="minorHAnsi"/>
          <w:sz w:val="28"/>
          <w:szCs w:val="28"/>
        </w:rPr>
        <w:t>• Inteligencia</w:t>
      </w:r>
    </w:p>
    <w:p w:rsidR="000C0CEC" w:rsidRPr="00535E30" w:rsidRDefault="000C0CEC" w:rsidP="00F80905">
      <w:pPr>
        <w:pStyle w:val="Sinespaciado"/>
        <w:spacing w:line="276" w:lineRule="auto"/>
        <w:rPr>
          <w:rFonts w:asciiTheme="minorHAnsi" w:hAnsiTheme="minorHAnsi"/>
          <w:sz w:val="28"/>
          <w:szCs w:val="28"/>
        </w:rPr>
      </w:pPr>
      <w:r w:rsidRPr="00535E30">
        <w:rPr>
          <w:rFonts w:asciiTheme="minorHAnsi" w:hAnsiTheme="minorHAnsi"/>
          <w:sz w:val="28"/>
          <w:szCs w:val="28"/>
        </w:rPr>
        <w:t>• Sabiduría</w:t>
      </w:r>
    </w:p>
    <w:p w:rsidR="000C0CEC" w:rsidRPr="00535E30" w:rsidRDefault="000C0CEC" w:rsidP="00F80905">
      <w:pPr>
        <w:pStyle w:val="Sinespaciado"/>
        <w:spacing w:line="276" w:lineRule="auto"/>
        <w:rPr>
          <w:rFonts w:asciiTheme="minorHAnsi" w:hAnsiTheme="minorHAnsi"/>
          <w:sz w:val="28"/>
          <w:szCs w:val="28"/>
        </w:rPr>
      </w:pPr>
      <w:r w:rsidRPr="00535E30">
        <w:rPr>
          <w:rFonts w:asciiTheme="minorHAnsi" w:hAnsiTheme="minorHAnsi"/>
          <w:sz w:val="28"/>
          <w:szCs w:val="28"/>
        </w:rPr>
        <w:t>• Pureza</w:t>
      </w:r>
    </w:p>
    <w:p w:rsidR="000C0CEC" w:rsidRPr="00535E30" w:rsidRDefault="000C0CEC" w:rsidP="00F80905">
      <w:pPr>
        <w:pStyle w:val="Sinespaciado"/>
        <w:spacing w:line="276" w:lineRule="auto"/>
        <w:rPr>
          <w:rFonts w:asciiTheme="minorHAnsi" w:hAnsiTheme="minorHAnsi"/>
          <w:sz w:val="28"/>
          <w:szCs w:val="28"/>
        </w:rPr>
      </w:pPr>
      <w:r w:rsidRPr="00535E30">
        <w:rPr>
          <w:rFonts w:asciiTheme="minorHAnsi" w:hAnsiTheme="minorHAnsi"/>
          <w:sz w:val="28"/>
          <w:szCs w:val="28"/>
        </w:rPr>
        <w:t>• Transparencia</w:t>
      </w:r>
    </w:p>
    <w:p w:rsidR="000C0CEC" w:rsidRPr="00535E30" w:rsidRDefault="000C0CEC" w:rsidP="00F80905">
      <w:pPr>
        <w:pStyle w:val="Sinespaciado"/>
        <w:spacing w:line="276" w:lineRule="auto"/>
        <w:rPr>
          <w:rFonts w:asciiTheme="minorHAnsi" w:hAnsiTheme="minorHAnsi"/>
          <w:sz w:val="28"/>
          <w:szCs w:val="28"/>
        </w:rPr>
      </w:pPr>
      <w:r w:rsidRPr="00535E30">
        <w:rPr>
          <w:rFonts w:asciiTheme="minorHAnsi" w:hAnsiTheme="minorHAnsi"/>
          <w:sz w:val="28"/>
          <w:szCs w:val="28"/>
        </w:rPr>
        <w:t>• Lealtad</w:t>
      </w:r>
    </w:p>
    <w:p w:rsidR="000C0CEC" w:rsidRPr="00535E30" w:rsidRDefault="000C0CEC" w:rsidP="00F80905">
      <w:pPr>
        <w:pStyle w:val="Sinespaciado"/>
        <w:spacing w:line="276" w:lineRule="auto"/>
        <w:rPr>
          <w:rFonts w:asciiTheme="minorHAnsi" w:hAnsiTheme="minorHAnsi"/>
          <w:sz w:val="28"/>
          <w:szCs w:val="28"/>
        </w:rPr>
      </w:pPr>
      <w:r w:rsidRPr="00535E30">
        <w:rPr>
          <w:rFonts w:asciiTheme="minorHAnsi" w:hAnsiTheme="minorHAnsi"/>
          <w:sz w:val="28"/>
          <w:szCs w:val="28"/>
        </w:rPr>
        <w:t>• Fuerza</w:t>
      </w:r>
    </w:p>
    <w:p w:rsidR="000C0CEC" w:rsidRPr="00535E30" w:rsidRDefault="000C0CEC" w:rsidP="00F80905">
      <w:pPr>
        <w:pStyle w:val="Sinespaciado"/>
        <w:spacing w:line="276" w:lineRule="auto"/>
        <w:rPr>
          <w:rFonts w:asciiTheme="minorHAnsi" w:hAnsiTheme="minorHAnsi"/>
          <w:sz w:val="28"/>
          <w:szCs w:val="28"/>
        </w:rPr>
      </w:pPr>
      <w:r w:rsidRPr="00535E30">
        <w:rPr>
          <w:rFonts w:asciiTheme="minorHAnsi" w:hAnsiTheme="minorHAnsi"/>
          <w:sz w:val="28"/>
          <w:szCs w:val="28"/>
        </w:rPr>
        <w:t>• Tenacidad</w:t>
      </w:r>
    </w:p>
    <w:p w:rsidR="000C0CEC" w:rsidRPr="00535E30" w:rsidRDefault="000C0CEC" w:rsidP="00F80905">
      <w:pPr>
        <w:pStyle w:val="Sinespaciado"/>
        <w:spacing w:line="276" w:lineRule="auto"/>
        <w:rPr>
          <w:rFonts w:asciiTheme="minorHAnsi" w:hAnsiTheme="minorHAnsi"/>
          <w:sz w:val="28"/>
          <w:szCs w:val="28"/>
        </w:rPr>
      </w:pPr>
      <w:r w:rsidRPr="00535E30">
        <w:rPr>
          <w:rFonts w:asciiTheme="minorHAnsi" w:hAnsiTheme="minorHAnsi"/>
          <w:sz w:val="28"/>
          <w:szCs w:val="28"/>
        </w:rPr>
        <w:t>• Armonía</w:t>
      </w:r>
    </w:p>
    <w:p w:rsidR="000C0CEC" w:rsidRPr="00535E30" w:rsidRDefault="000C0CEC" w:rsidP="00F80905">
      <w:pPr>
        <w:pStyle w:val="Sinespaciado"/>
        <w:spacing w:line="276" w:lineRule="auto"/>
        <w:rPr>
          <w:rFonts w:asciiTheme="minorHAnsi" w:hAnsiTheme="minorHAnsi"/>
          <w:sz w:val="28"/>
          <w:szCs w:val="28"/>
        </w:rPr>
      </w:pPr>
      <w:r w:rsidRPr="00535E30">
        <w:rPr>
          <w:rFonts w:asciiTheme="minorHAnsi" w:hAnsiTheme="minorHAnsi"/>
          <w:sz w:val="28"/>
          <w:szCs w:val="28"/>
        </w:rPr>
        <w:t>• Voluntad</w:t>
      </w:r>
    </w:p>
    <w:p w:rsidR="000C0CEC" w:rsidRPr="00535E30" w:rsidRDefault="000C0CEC" w:rsidP="00F80905">
      <w:pPr>
        <w:pStyle w:val="Sinespaciado"/>
        <w:spacing w:line="276" w:lineRule="auto"/>
        <w:rPr>
          <w:rFonts w:asciiTheme="minorHAnsi" w:hAnsiTheme="minorHAnsi"/>
          <w:sz w:val="28"/>
          <w:szCs w:val="28"/>
        </w:rPr>
      </w:pPr>
      <w:r w:rsidRPr="00535E30">
        <w:rPr>
          <w:rFonts w:asciiTheme="minorHAnsi" w:hAnsiTheme="minorHAnsi"/>
          <w:sz w:val="28"/>
          <w:szCs w:val="28"/>
        </w:rPr>
        <w:t>• Amor</w:t>
      </w:r>
    </w:p>
    <w:p w:rsidR="000C0CEC" w:rsidRPr="00535E30" w:rsidRDefault="000C0CEC" w:rsidP="00F80905">
      <w:pPr>
        <w:pStyle w:val="Sinespaciado"/>
        <w:spacing w:line="276" w:lineRule="auto"/>
        <w:rPr>
          <w:rFonts w:asciiTheme="minorHAnsi" w:hAnsiTheme="minorHAnsi"/>
        </w:rPr>
        <w:sectPr w:rsidR="000C0CEC" w:rsidRPr="00535E30" w:rsidSect="00C340EE">
          <w:type w:val="continuous"/>
          <w:pgSz w:w="12240" w:h="15840" w:code="1"/>
          <w:pgMar w:top="2268" w:right="1701" w:bottom="1701" w:left="1701" w:header="709" w:footer="709" w:gutter="0"/>
          <w:cols w:num="2" w:space="708"/>
          <w:docGrid w:linePitch="360"/>
        </w:sectPr>
      </w:pPr>
    </w:p>
    <w:p w:rsidR="000C0CEC" w:rsidRPr="00535E30" w:rsidRDefault="000C0CEC" w:rsidP="00F80905">
      <w:pPr>
        <w:pStyle w:val="Sinespaciado"/>
        <w:spacing w:line="276" w:lineRule="auto"/>
        <w:rPr>
          <w:rFonts w:asciiTheme="minorHAnsi" w:hAnsiTheme="minorHAnsi"/>
        </w:rPr>
      </w:pPr>
    </w:p>
    <w:p w:rsidR="000C0CEC" w:rsidRPr="00535E30" w:rsidRDefault="000C0CEC" w:rsidP="00F80905">
      <w:pPr>
        <w:spacing w:line="276" w:lineRule="auto"/>
        <w:rPr>
          <w:rFonts w:asciiTheme="minorHAnsi" w:hAnsiTheme="minorHAnsi"/>
        </w:rPr>
        <w:sectPr w:rsidR="000C0CEC" w:rsidRPr="00535E30" w:rsidSect="00C340EE">
          <w:type w:val="continuous"/>
          <w:pgSz w:w="12240" w:h="15840" w:code="1"/>
          <w:pgMar w:top="2268" w:right="1701" w:bottom="1701" w:left="1701" w:header="709" w:footer="709" w:gutter="0"/>
          <w:cols w:space="708"/>
          <w:docGrid w:linePitch="360"/>
        </w:sectPr>
      </w:pPr>
    </w:p>
    <w:p w:rsidR="000C0CEC" w:rsidRPr="00535E30" w:rsidRDefault="000C0CEC" w:rsidP="00C0346D">
      <w:pPr>
        <w:pStyle w:val="Prrafodelista"/>
        <w:numPr>
          <w:ilvl w:val="1"/>
          <w:numId w:val="18"/>
        </w:numPr>
        <w:spacing w:after="200" w:line="276" w:lineRule="auto"/>
        <w:ind w:left="0" w:firstLine="0"/>
        <w:outlineLvl w:val="1"/>
        <w:rPr>
          <w:b/>
          <w:sz w:val="28"/>
          <w:szCs w:val="24"/>
        </w:rPr>
      </w:pPr>
      <w:bookmarkStart w:id="31" w:name="_Toc331683512"/>
      <w:bookmarkStart w:id="32" w:name="_Toc354671310"/>
      <w:r w:rsidRPr="00535E30">
        <w:rPr>
          <w:b/>
          <w:sz w:val="28"/>
          <w:szCs w:val="24"/>
        </w:rPr>
        <w:lastRenderedPageBreak/>
        <w:t>SÍMBOLOS INSTITUCIONALES</w:t>
      </w:r>
      <w:bookmarkEnd w:id="31"/>
      <w:bookmarkEnd w:id="32"/>
    </w:p>
    <w:p w:rsidR="000C0CEC" w:rsidRPr="00535E30" w:rsidRDefault="000C0CEC" w:rsidP="00F80905">
      <w:pPr>
        <w:spacing w:line="276" w:lineRule="auto"/>
        <w:jc w:val="center"/>
        <w:rPr>
          <w:rFonts w:asciiTheme="minorHAnsi" w:hAnsiTheme="minorHAnsi"/>
          <w:b/>
          <w:sz w:val="24"/>
          <w:szCs w:val="24"/>
        </w:rPr>
      </w:pPr>
    </w:p>
    <w:p w:rsidR="000C0CEC" w:rsidRPr="00535E30" w:rsidRDefault="000C0CEC" w:rsidP="00F80905">
      <w:pPr>
        <w:spacing w:line="276" w:lineRule="auto"/>
        <w:jc w:val="center"/>
        <w:rPr>
          <w:rFonts w:asciiTheme="minorHAnsi" w:hAnsiTheme="minorHAnsi"/>
          <w:b/>
          <w:sz w:val="28"/>
          <w:szCs w:val="28"/>
        </w:rPr>
      </w:pPr>
      <w:bookmarkStart w:id="33" w:name="_Toc286761221"/>
      <w:bookmarkStart w:id="34" w:name="_Toc290360660"/>
      <w:r w:rsidRPr="00535E30">
        <w:rPr>
          <w:rFonts w:asciiTheme="minorHAnsi" w:hAnsiTheme="minorHAnsi"/>
          <w:b/>
          <w:sz w:val="28"/>
          <w:szCs w:val="28"/>
        </w:rPr>
        <w:t>JORGE ROA MARTÍNEZ</w:t>
      </w:r>
      <w:bookmarkEnd w:id="33"/>
      <w:bookmarkEnd w:id="34"/>
    </w:p>
    <w:p w:rsidR="000C0CEC" w:rsidRPr="00535E30" w:rsidRDefault="000C0CEC" w:rsidP="00F80905">
      <w:pPr>
        <w:spacing w:line="276" w:lineRule="auto"/>
        <w:jc w:val="center"/>
        <w:rPr>
          <w:rFonts w:asciiTheme="minorHAnsi" w:hAnsiTheme="minorHAnsi"/>
        </w:rPr>
      </w:pPr>
    </w:p>
    <w:p w:rsidR="000C0CEC" w:rsidRPr="00535E30" w:rsidRDefault="000C0CEC" w:rsidP="00F80905">
      <w:pPr>
        <w:spacing w:line="276" w:lineRule="auto"/>
        <w:jc w:val="center"/>
        <w:rPr>
          <w:rFonts w:asciiTheme="minorHAnsi" w:hAnsiTheme="minorHAnsi"/>
        </w:rPr>
      </w:pPr>
      <w:r w:rsidRPr="00535E30">
        <w:rPr>
          <w:rFonts w:asciiTheme="minorHAnsi" w:hAnsiTheme="minorHAnsi"/>
          <w:noProof/>
          <w:lang w:val="es-CO" w:eastAsia="es-CO"/>
        </w:rPr>
        <w:drawing>
          <wp:inline distT="0" distB="0" distL="0" distR="0">
            <wp:extent cx="2876550" cy="3604867"/>
            <wp:effectExtent l="95250" t="38100" r="76200" b="71783"/>
            <wp:docPr id="35" name="56 Imagen" descr="dr-roa-martine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r-roa-martinez.jpg"/>
                    <pic:cNvPicPr/>
                  </pic:nvPicPr>
                  <pic:blipFill>
                    <a:blip r:embed="rId14" cstate="print"/>
                    <a:stretch>
                      <a:fillRect/>
                    </a:stretch>
                  </pic:blipFill>
                  <pic:spPr>
                    <a:xfrm>
                      <a:off x="0" y="0"/>
                      <a:ext cx="2884221" cy="361448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p w:rsidR="000C0CEC" w:rsidRPr="00535E30" w:rsidRDefault="000C0CEC" w:rsidP="00F80905">
      <w:pPr>
        <w:spacing w:line="276" w:lineRule="auto"/>
        <w:rPr>
          <w:rFonts w:asciiTheme="minorHAnsi" w:hAnsiTheme="minorHAnsi"/>
        </w:rPr>
      </w:pPr>
    </w:p>
    <w:p w:rsidR="000C0CEC" w:rsidRPr="00535E30" w:rsidRDefault="000C0CEC" w:rsidP="008C15CD">
      <w:pPr>
        <w:pStyle w:val="Sinespaciado"/>
        <w:spacing w:line="276" w:lineRule="auto"/>
        <w:jc w:val="both"/>
        <w:rPr>
          <w:rFonts w:asciiTheme="minorHAnsi" w:hAnsiTheme="minorHAnsi"/>
          <w:sz w:val="28"/>
          <w:szCs w:val="28"/>
        </w:rPr>
      </w:pPr>
      <w:r w:rsidRPr="00535E30">
        <w:rPr>
          <w:rFonts w:asciiTheme="minorHAnsi" w:hAnsiTheme="minorHAnsi"/>
          <w:sz w:val="28"/>
          <w:szCs w:val="28"/>
        </w:rPr>
        <w:t>Nacido en Guateque Boyacá el 28 de marzo de 1891- falleció el 17 de abril de 1.966 Hombre Visionario y emprendedor, fundador de la Universidad Tecnológica de Pereira en 1.960 constituida por las leyes 41 de 1958 y 85 de 1960.</w:t>
      </w:r>
    </w:p>
    <w:p w:rsidR="000C0CEC" w:rsidRPr="00535E30" w:rsidRDefault="000C0CEC" w:rsidP="00F80905">
      <w:pPr>
        <w:pStyle w:val="Sinespaciado"/>
        <w:spacing w:line="276" w:lineRule="auto"/>
        <w:rPr>
          <w:rFonts w:asciiTheme="minorHAnsi" w:hAnsiTheme="minorHAnsi"/>
        </w:rPr>
      </w:pPr>
    </w:p>
    <w:p w:rsidR="000C0CEC" w:rsidRPr="00535E30" w:rsidRDefault="000C0CEC" w:rsidP="00F80905">
      <w:pPr>
        <w:spacing w:after="200" w:line="276" w:lineRule="auto"/>
        <w:jc w:val="left"/>
        <w:rPr>
          <w:rFonts w:asciiTheme="minorHAnsi" w:hAnsiTheme="minorHAnsi"/>
          <w:b/>
          <w:sz w:val="28"/>
          <w:szCs w:val="28"/>
        </w:rPr>
      </w:pPr>
      <w:bookmarkStart w:id="35" w:name="_Toc286761222"/>
      <w:bookmarkStart w:id="36" w:name="_Toc290360661"/>
      <w:r w:rsidRPr="00535E30">
        <w:rPr>
          <w:rFonts w:asciiTheme="minorHAnsi" w:hAnsiTheme="minorHAnsi"/>
          <w:b/>
          <w:sz w:val="28"/>
          <w:szCs w:val="28"/>
        </w:rPr>
        <w:br w:type="page"/>
      </w:r>
    </w:p>
    <w:p w:rsidR="000C0CEC" w:rsidRPr="00F80905" w:rsidRDefault="000C0CEC" w:rsidP="00F80905">
      <w:pPr>
        <w:spacing w:line="276" w:lineRule="auto"/>
        <w:jc w:val="center"/>
        <w:rPr>
          <w:rFonts w:asciiTheme="minorHAnsi" w:hAnsiTheme="minorHAnsi"/>
          <w:b/>
          <w:sz w:val="32"/>
          <w:szCs w:val="28"/>
        </w:rPr>
      </w:pPr>
      <w:r w:rsidRPr="00F80905">
        <w:rPr>
          <w:rFonts w:asciiTheme="minorHAnsi" w:hAnsiTheme="minorHAnsi"/>
          <w:b/>
          <w:sz w:val="32"/>
          <w:szCs w:val="28"/>
        </w:rPr>
        <w:lastRenderedPageBreak/>
        <w:t>ESCUDO</w:t>
      </w:r>
      <w:bookmarkEnd w:id="35"/>
      <w:bookmarkEnd w:id="36"/>
    </w:p>
    <w:p w:rsidR="000C0CEC" w:rsidRPr="00535E30" w:rsidRDefault="000C0CEC" w:rsidP="00F80905">
      <w:pPr>
        <w:pStyle w:val="Sinespaciado"/>
        <w:spacing w:line="276" w:lineRule="auto"/>
        <w:rPr>
          <w:rFonts w:asciiTheme="minorHAnsi" w:hAnsiTheme="minorHAnsi"/>
        </w:rPr>
      </w:pPr>
    </w:p>
    <w:p w:rsidR="000C0CEC" w:rsidRPr="00535E30" w:rsidRDefault="000C0CEC" w:rsidP="00F80905">
      <w:pPr>
        <w:pStyle w:val="Sinespaciado"/>
        <w:spacing w:line="276" w:lineRule="auto"/>
        <w:rPr>
          <w:rFonts w:asciiTheme="minorHAnsi" w:hAnsiTheme="minorHAnsi"/>
        </w:rPr>
        <w:sectPr w:rsidR="000C0CEC" w:rsidRPr="00535E30" w:rsidSect="00C340EE">
          <w:pgSz w:w="12240" w:h="15840" w:code="1"/>
          <w:pgMar w:top="2268" w:right="1701" w:bottom="1701" w:left="1701" w:header="709" w:footer="709" w:gutter="0"/>
          <w:cols w:space="708"/>
          <w:docGrid w:linePitch="360"/>
        </w:sectPr>
      </w:pPr>
    </w:p>
    <w:p w:rsidR="000C0CEC" w:rsidRPr="00535E30" w:rsidRDefault="000C0CEC" w:rsidP="00F80905">
      <w:pPr>
        <w:pStyle w:val="Sinespaciado"/>
        <w:spacing w:line="276" w:lineRule="auto"/>
        <w:rPr>
          <w:rFonts w:asciiTheme="minorHAnsi" w:hAnsiTheme="minorHAnsi"/>
        </w:rPr>
      </w:pPr>
    </w:p>
    <w:p w:rsidR="000C0CEC" w:rsidRPr="00535E30" w:rsidRDefault="000C0CEC" w:rsidP="00F80905">
      <w:pPr>
        <w:pStyle w:val="Sinespaciado"/>
        <w:spacing w:line="276" w:lineRule="auto"/>
        <w:rPr>
          <w:rFonts w:asciiTheme="minorHAnsi" w:hAnsiTheme="minorHAnsi"/>
        </w:rPr>
      </w:pPr>
      <w:r w:rsidRPr="00535E30">
        <w:rPr>
          <w:rFonts w:asciiTheme="minorHAnsi" w:hAnsiTheme="minorHAnsi"/>
          <w:noProof/>
          <w:lang w:val="es-CO" w:eastAsia="es-CO"/>
        </w:rPr>
        <w:drawing>
          <wp:inline distT="0" distB="0" distL="0" distR="0">
            <wp:extent cx="1895475" cy="3019425"/>
            <wp:effectExtent l="19050" t="0" r="9525" b="0"/>
            <wp:docPr id="65" name="1 Imagen" descr="a color vertic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 color vertical.png"/>
                    <pic:cNvPicPr/>
                  </pic:nvPicPr>
                  <pic:blipFill>
                    <a:blip r:embed="rId15" cstate="print"/>
                    <a:stretch>
                      <a:fillRect/>
                    </a:stretch>
                  </pic:blipFill>
                  <pic:spPr>
                    <a:xfrm>
                      <a:off x="0" y="0"/>
                      <a:ext cx="1895475" cy="3019425"/>
                    </a:xfrm>
                    <a:prstGeom prst="rect">
                      <a:avLst/>
                    </a:prstGeom>
                  </pic:spPr>
                </pic:pic>
              </a:graphicData>
            </a:graphic>
          </wp:inline>
        </w:drawing>
      </w:r>
    </w:p>
    <w:p w:rsidR="000C0CEC" w:rsidRPr="00535E30" w:rsidRDefault="000C0CEC" w:rsidP="00F80905">
      <w:pPr>
        <w:pStyle w:val="Sinespaciado"/>
        <w:spacing w:line="276" w:lineRule="auto"/>
        <w:rPr>
          <w:rFonts w:asciiTheme="minorHAnsi" w:hAnsiTheme="minorHAnsi"/>
        </w:rPr>
      </w:pPr>
    </w:p>
    <w:p w:rsidR="000C0CEC" w:rsidRPr="00535E30" w:rsidRDefault="000C0CEC" w:rsidP="00F80905">
      <w:pPr>
        <w:pStyle w:val="Sinespaciado"/>
        <w:spacing w:line="276" w:lineRule="auto"/>
        <w:rPr>
          <w:rFonts w:asciiTheme="minorHAnsi" w:hAnsiTheme="minorHAnsi"/>
        </w:rPr>
      </w:pPr>
    </w:p>
    <w:p w:rsidR="000C0CEC" w:rsidRPr="00535E30" w:rsidRDefault="000C0CEC" w:rsidP="00F80905">
      <w:pPr>
        <w:pStyle w:val="Sinespaciado"/>
        <w:spacing w:line="276" w:lineRule="auto"/>
        <w:rPr>
          <w:rFonts w:asciiTheme="minorHAnsi" w:hAnsiTheme="minorHAnsi"/>
        </w:rPr>
      </w:pPr>
    </w:p>
    <w:p w:rsidR="000C0CEC" w:rsidRPr="00535E30" w:rsidRDefault="000C0CEC" w:rsidP="00F80905">
      <w:pPr>
        <w:pStyle w:val="Sinespaciado"/>
        <w:spacing w:line="276" w:lineRule="auto"/>
        <w:rPr>
          <w:rFonts w:asciiTheme="minorHAnsi" w:hAnsiTheme="minorHAnsi"/>
        </w:rPr>
      </w:pPr>
      <w:r w:rsidRPr="00535E30">
        <w:rPr>
          <w:rFonts w:asciiTheme="minorHAnsi" w:hAnsiTheme="minorHAnsi"/>
          <w:noProof/>
          <w:lang w:val="es-CO" w:eastAsia="es-CO"/>
        </w:rPr>
        <w:drawing>
          <wp:inline distT="0" distB="0" distL="0" distR="0">
            <wp:extent cx="1781836" cy="2838450"/>
            <wp:effectExtent l="19050" t="0" r="8864" b="0"/>
            <wp:docPr id="36"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6" cstate="print"/>
                    <a:srcRect/>
                    <a:stretch>
                      <a:fillRect/>
                    </a:stretch>
                  </pic:blipFill>
                  <pic:spPr bwMode="auto">
                    <a:xfrm>
                      <a:off x="0" y="0"/>
                      <a:ext cx="1781836" cy="2838450"/>
                    </a:xfrm>
                    <a:prstGeom prst="rect">
                      <a:avLst/>
                    </a:prstGeom>
                    <a:noFill/>
                    <a:ln w="9525">
                      <a:noFill/>
                      <a:miter lim="800000"/>
                      <a:headEnd/>
                      <a:tailEnd/>
                    </a:ln>
                  </pic:spPr>
                </pic:pic>
              </a:graphicData>
            </a:graphic>
          </wp:inline>
        </w:drawing>
      </w:r>
    </w:p>
    <w:p w:rsidR="000C0CEC" w:rsidRPr="00535E30" w:rsidRDefault="000C0CEC" w:rsidP="00F80905">
      <w:pPr>
        <w:pStyle w:val="Sinespaciado"/>
        <w:spacing w:line="276" w:lineRule="auto"/>
        <w:rPr>
          <w:rFonts w:asciiTheme="minorHAnsi" w:hAnsiTheme="minorHAnsi"/>
        </w:rPr>
      </w:pPr>
    </w:p>
    <w:p w:rsidR="000C0CEC" w:rsidRPr="00535E30" w:rsidRDefault="000C0CEC" w:rsidP="00F80905">
      <w:pPr>
        <w:pStyle w:val="Sinespaciado"/>
        <w:spacing w:line="276" w:lineRule="auto"/>
        <w:rPr>
          <w:rFonts w:asciiTheme="minorHAnsi" w:hAnsiTheme="minorHAnsi"/>
        </w:rPr>
      </w:pPr>
    </w:p>
    <w:p w:rsidR="000C0CEC" w:rsidRPr="00535E30" w:rsidRDefault="000C0CEC" w:rsidP="00F80905">
      <w:pPr>
        <w:pStyle w:val="Sinespaciado"/>
        <w:spacing w:line="276" w:lineRule="auto"/>
        <w:rPr>
          <w:rFonts w:asciiTheme="minorHAnsi" w:hAnsiTheme="minorHAnsi"/>
        </w:rPr>
      </w:pPr>
    </w:p>
    <w:p w:rsidR="000C0CEC" w:rsidRPr="00535E30" w:rsidRDefault="000C0CEC" w:rsidP="00F80905">
      <w:pPr>
        <w:pStyle w:val="Sinespaciado"/>
        <w:spacing w:line="276" w:lineRule="auto"/>
        <w:rPr>
          <w:rFonts w:asciiTheme="minorHAnsi" w:hAnsiTheme="minorHAnsi"/>
        </w:rPr>
      </w:pPr>
    </w:p>
    <w:p w:rsidR="000C0CEC" w:rsidRPr="00535E30" w:rsidRDefault="000C0CEC" w:rsidP="00F80905">
      <w:pPr>
        <w:pStyle w:val="Sinespaciado"/>
        <w:spacing w:line="276" w:lineRule="auto"/>
        <w:rPr>
          <w:rFonts w:asciiTheme="minorHAnsi" w:hAnsiTheme="minorHAnsi"/>
        </w:rPr>
      </w:pPr>
    </w:p>
    <w:p w:rsidR="000C0CEC" w:rsidRPr="00535E30" w:rsidRDefault="000C0CEC" w:rsidP="00F80905">
      <w:pPr>
        <w:pStyle w:val="Sinespaciado"/>
        <w:spacing w:line="276" w:lineRule="auto"/>
        <w:rPr>
          <w:rFonts w:asciiTheme="minorHAnsi" w:hAnsiTheme="minorHAnsi"/>
        </w:rPr>
      </w:pPr>
    </w:p>
    <w:p w:rsidR="000C0CEC" w:rsidRPr="00535E30" w:rsidRDefault="000C0CEC" w:rsidP="00F80905">
      <w:pPr>
        <w:pStyle w:val="Sinespaciado"/>
        <w:spacing w:line="276" w:lineRule="auto"/>
        <w:rPr>
          <w:rFonts w:asciiTheme="minorHAnsi" w:hAnsiTheme="minorHAnsi"/>
        </w:rPr>
      </w:pPr>
    </w:p>
    <w:p w:rsidR="000C0CEC" w:rsidRPr="00535E30" w:rsidRDefault="000C0CEC" w:rsidP="00F80905">
      <w:pPr>
        <w:pStyle w:val="Sinespaciado"/>
        <w:spacing w:line="276" w:lineRule="auto"/>
        <w:rPr>
          <w:rFonts w:asciiTheme="minorHAnsi" w:hAnsiTheme="minorHAnsi"/>
        </w:rPr>
      </w:pPr>
    </w:p>
    <w:p w:rsidR="000C0CEC" w:rsidRPr="00535E30" w:rsidRDefault="000C0CEC" w:rsidP="00F80905">
      <w:pPr>
        <w:pStyle w:val="Sinespaciado"/>
        <w:spacing w:line="276" w:lineRule="auto"/>
        <w:rPr>
          <w:rFonts w:asciiTheme="minorHAnsi" w:hAnsiTheme="minorHAnsi"/>
        </w:rPr>
      </w:pPr>
    </w:p>
    <w:p w:rsidR="000C0CEC" w:rsidRPr="00535E30" w:rsidRDefault="000C0CEC" w:rsidP="008C15CD">
      <w:pPr>
        <w:pStyle w:val="Sinespaciado"/>
        <w:spacing w:line="276" w:lineRule="auto"/>
        <w:jc w:val="both"/>
        <w:rPr>
          <w:rFonts w:asciiTheme="minorHAnsi" w:hAnsiTheme="minorHAnsi"/>
          <w:sz w:val="28"/>
          <w:szCs w:val="28"/>
        </w:rPr>
      </w:pPr>
      <w:r w:rsidRPr="00535E30">
        <w:rPr>
          <w:rFonts w:asciiTheme="minorHAnsi" w:hAnsiTheme="minorHAnsi"/>
          <w:sz w:val="28"/>
          <w:szCs w:val="28"/>
        </w:rPr>
        <w:t>Consiste en un doble círculo que lleva el lema en latín "Ciencia y Técnica por la Humanidad bajo la tutela de la Libertad".</w:t>
      </w:r>
    </w:p>
    <w:p w:rsidR="000C0CEC" w:rsidRPr="00535E30" w:rsidRDefault="000C0CEC" w:rsidP="00F80905">
      <w:pPr>
        <w:pStyle w:val="Sinespaciado"/>
        <w:spacing w:line="276" w:lineRule="auto"/>
        <w:rPr>
          <w:rFonts w:asciiTheme="minorHAnsi" w:hAnsiTheme="minorHAnsi"/>
          <w:sz w:val="28"/>
          <w:szCs w:val="28"/>
        </w:rPr>
      </w:pPr>
    </w:p>
    <w:p w:rsidR="000C0CEC" w:rsidRPr="00535E30" w:rsidRDefault="000C0CEC" w:rsidP="008C15CD">
      <w:pPr>
        <w:pStyle w:val="Sinespaciado"/>
        <w:spacing w:line="276" w:lineRule="auto"/>
        <w:jc w:val="both"/>
        <w:rPr>
          <w:rFonts w:asciiTheme="minorHAnsi" w:hAnsiTheme="minorHAnsi"/>
          <w:sz w:val="28"/>
          <w:szCs w:val="28"/>
        </w:rPr>
      </w:pPr>
      <w:r w:rsidRPr="00535E30">
        <w:rPr>
          <w:rFonts w:asciiTheme="minorHAnsi" w:hAnsiTheme="minorHAnsi"/>
          <w:sz w:val="28"/>
          <w:szCs w:val="28"/>
        </w:rPr>
        <w:t>Su parte interior está divida en tres cuarteles o franjas que simbolizan:</w:t>
      </w:r>
    </w:p>
    <w:p w:rsidR="000C0CEC" w:rsidRPr="00535E30" w:rsidRDefault="000C0CEC" w:rsidP="00F80905">
      <w:pPr>
        <w:pStyle w:val="Sinespaciado"/>
        <w:spacing w:line="276" w:lineRule="auto"/>
        <w:rPr>
          <w:rFonts w:asciiTheme="minorHAnsi" w:hAnsiTheme="minorHAnsi"/>
          <w:sz w:val="28"/>
          <w:szCs w:val="28"/>
        </w:rPr>
      </w:pPr>
    </w:p>
    <w:p w:rsidR="000C0CEC" w:rsidRPr="00535E30" w:rsidRDefault="000C0CEC" w:rsidP="00C0346D">
      <w:pPr>
        <w:pStyle w:val="Sinespaciado"/>
        <w:numPr>
          <w:ilvl w:val="0"/>
          <w:numId w:val="19"/>
        </w:numPr>
        <w:spacing w:line="276" w:lineRule="auto"/>
        <w:ind w:left="284" w:hanging="284"/>
        <w:jc w:val="both"/>
        <w:rPr>
          <w:rFonts w:asciiTheme="minorHAnsi" w:hAnsiTheme="minorHAnsi"/>
          <w:sz w:val="28"/>
          <w:szCs w:val="28"/>
        </w:rPr>
      </w:pPr>
      <w:r w:rsidRPr="00535E30">
        <w:rPr>
          <w:rFonts w:asciiTheme="minorHAnsi" w:hAnsiTheme="minorHAnsi"/>
          <w:sz w:val="28"/>
          <w:szCs w:val="28"/>
        </w:rPr>
        <w:t>Superior: "El Espacio exterior".</w:t>
      </w:r>
    </w:p>
    <w:p w:rsidR="000C0CEC" w:rsidRPr="00535E30" w:rsidRDefault="000C0CEC" w:rsidP="008C15CD">
      <w:pPr>
        <w:pStyle w:val="Sinespaciado"/>
        <w:spacing w:line="276" w:lineRule="auto"/>
        <w:ind w:left="720"/>
        <w:jc w:val="both"/>
        <w:rPr>
          <w:rFonts w:asciiTheme="minorHAnsi" w:hAnsiTheme="minorHAnsi"/>
          <w:sz w:val="28"/>
          <w:szCs w:val="28"/>
        </w:rPr>
      </w:pPr>
    </w:p>
    <w:p w:rsidR="000C0CEC" w:rsidRPr="00535E30" w:rsidRDefault="000C0CEC" w:rsidP="00C0346D">
      <w:pPr>
        <w:pStyle w:val="Sinespaciado"/>
        <w:numPr>
          <w:ilvl w:val="0"/>
          <w:numId w:val="19"/>
        </w:numPr>
        <w:spacing w:line="276" w:lineRule="auto"/>
        <w:ind w:left="284" w:hanging="284"/>
        <w:jc w:val="both"/>
        <w:rPr>
          <w:rFonts w:asciiTheme="minorHAnsi" w:hAnsiTheme="minorHAnsi"/>
          <w:sz w:val="28"/>
          <w:szCs w:val="28"/>
        </w:rPr>
      </w:pPr>
      <w:r w:rsidRPr="00535E30">
        <w:rPr>
          <w:rFonts w:asciiTheme="minorHAnsi" w:hAnsiTheme="minorHAnsi"/>
          <w:sz w:val="28"/>
          <w:szCs w:val="28"/>
        </w:rPr>
        <w:t>Central: "El Tiempo y la Fuerza Energética".</w:t>
      </w:r>
    </w:p>
    <w:p w:rsidR="000C0CEC" w:rsidRPr="00535E30" w:rsidRDefault="000C0CEC" w:rsidP="008C15CD">
      <w:pPr>
        <w:pStyle w:val="Sinespaciado"/>
        <w:spacing w:line="276" w:lineRule="auto"/>
        <w:ind w:left="720"/>
        <w:jc w:val="both"/>
        <w:rPr>
          <w:rFonts w:asciiTheme="minorHAnsi" w:hAnsiTheme="minorHAnsi"/>
          <w:sz w:val="28"/>
          <w:szCs w:val="28"/>
        </w:rPr>
      </w:pPr>
    </w:p>
    <w:p w:rsidR="000C0CEC" w:rsidRPr="00535E30" w:rsidRDefault="000C0CEC" w:rsidP="00C0346D">
      <w:pPr>
        <w:pStyle w:val="Sinespaciado"/>
        <w:numPr>
          <w:ilvl w:val="0"/>
          <w:numId w:val="19"/>
        </w:numPr>
        <w:spacing w:line="276" w:lineRule="auto"/>
        <w:ind w:left="284" w:hanging="284"/>
        <w:jc w:val="both"/>
        <w:rPr>
          <w:rFonts w:asciiTheme="minorHAnsi" w:hAnsiTheme="minorHAnsi"/>
          <w:sz w:val="28"/>
          <w:szCs w:val="28"/>
        </w:rPr>
        <w:sectPr w:rsidR="000C0CEC" w:rsidRPr="00535E30" w:rsidSect="00C340EE">
          <w:type w:val="continuous"/>
          <w:pgSz w:w="12240" w:h="15840" w:code="1"/>
          <w:pgMar w:top="2268" w:right="1701" w:bottom="1701" w:left="1701" w:header="709" w:footer="709" w:gutter="0"/>
          <w:cols w:num="2" w:space="708"/>
          <w:docGrid w:linePitch="360"/>
        </w:sectPr>
      </w:pPr>
      <w:r w:rsidRPr="00535E30">
        <w:rPr>
          <w:rFonts w:asciiTheme="minorHAnsi" w:hAnsiTheme="minorHAnsi"/>
          <w:sz w:val="28"/>
          <w:szCs w:val="28"/>
        </w:rPr>
        <w:t>Inferior el cortejo representativo de la "Física Atómica", que son las partes esenciales de la ciencia matemática y física actuales.</w:t>
      </w:r>
    </w:p>
    <w:p w:rsidR="000C0CEC" w:rsidRPr="00F80905" w:rsidRDefault="000C0CEC" w:rsidP="00F80905">
      <w:pPr>
        <w:spacing w:line="276" w:lineRule="auto"/>
        <w:jc w:val="center"/>
        <w:rPr>
          <w:rFonts w:asciiTheme="minorHAnsi" w:hAnsiTheme="minorHAnsi"/>
          <w:b/>
          <w:sz w:val="32"/>
          <w:szCs w:val="28"/>
        </w:rPr>
      </w:pPr>
      <w:bookmarkStart w:id="37" w:name="_Toc286761223"/>
      <w:bookmarkStart w:id="38" w:name="_Toc290360662"/>
      <w:r w:rsidRPr="00F80905">
        <w:rPr>
          <w:rFonts w:asciiTheme="minorHAnsi" w:hAnsiTheme="minorHAnsi"/>
          <w:b/>
          <w:sz w:val="32"/>
          <w:szCs w:val="28"/>
        </w:rPr>
        <w:lastRenderedPageBreak/>
        <w:t>BANDERA</w:t>
      </w:r>
      <w:bookmarkEnd w:id="37"/>
      <w:bookmarkEnd w:id="38"/>
    </w:p>
    <w:p w:rsidR="000C0CEC" w:rsidRPr="00535E30" w:rsidRDefault="000C0CEC" w:rsidP="00F80905">
      <w:pPr>
        <w:pStyle w:val="Sinespaciado"/>
        <w:spacing w:line="276" w:lineRule="auto"/>
        <w:rPr>
          <w:rFonts w:asciiTheme="minorHAnsi" w:hAnsiTheme="minorHAnsi"/>
        </w:rPr>
      </w:pPr>
    </w:p>
    <w:p w:rsidR="000C0CEC" w:rsidRPr="00535E30" w:rsidRDefault="000C0CEC" w:rsidP="00F80905">
      <w:pPr>
        <w:pStyle w:val="Sinespaciado"/>
        <w:spacing w:line="276" w:lineRule="auto"/>
        <w:jc w:val="center"/>
        <w:rPr>
          <w:rFonts w:asciiTheme="minorHAnsi" w:hAnsiTheme="minorHAnsi"/>
        </w:rPr>
      </w:pPr>
      <w:r w:rsidRPr="00535E30">
        <w:rPr>
          <w:rFonts w:asciiTheme="minorHAnsi" w:hAnsiTheme="minorHAnsi"/>
          <w:noProof/>
          <w:lang w:val="es-CO" w:eastAsia="es-CO"/>
        </w:rPr>
        <w:drawing>
          <wp:inline distT="0" distB="0" distL="0" distR="0">
            <wp:extent cx="3676650" cy="3362325"/>
            <wp:effectExtent l="19050" t="0" r="0" b="0"/>
            <wp:docPr id="60" name="Imagen 41" descr="C:\Documents and Settings\GomezGallego\Escritorio\bande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Documents and Settings\GomezGallego\Escritorio\bandera.jpg"/>
                    <pic:cNvPicPr>
                      <a:picLocks noChangeAspect="1" noChangeArrowheads="1"/>
                    </pic:cNvPicPr>
                  </pic:nvPicPr>
                  <pic:blipFill>
                    <a:blip r:embed="rId17" cstate="print"/>
                    <a:srcRect/>
                    <a:stretch>
                      <a:fillRect/>
                    </a:stretch>
                  </pic:blipFill>
                  <pic:spPr bwMode="auto">
                    <a:xfrm>
                      <a:off x="0" y="0"/>
                      <a:ext cx="3676650" cy="3362325"/>
                    </a:xfrm>
                    <a:prstGeom prst="rect">
                      <a:avLst/>
                    </a:prstGeom>
                    <a:noFill/>
                    <a:ln w="9525">
                      <a:noFill/>
                      <a:miter lim="800000"/>
                      <a:headEnd/>
                      <a:tailEnd/>
                    </a:ln>
                  </pic:spPr>
                </pic:pic>
              </a:graphicData>
            </a:graphic>
          </wp:inline>
        </w:drawing>
      </w:r>
    </w:p>
    <w:p w:rsidR="000C0CEC" w:rsidRPr="00535E30" w:rsidRDefault="000C0CEC" w:rsidP="00F80905">
      <w:pPr>
        <w:pStyle w:val="Sinespaciado"/>
        <w:spacing w:line="276" w:lineRule="auto"/>
        <w:rPr>
          <w:rFonts w:asciiTheme="minorHAnsi" w:hAnsiTheme="minorHAnsi"/>
        </w:rPr>
      </w:pPr>
    </w:p>
    <w:p w:rsidR="000C0CEC" w:rsidRPr="00535E30" w:rsidRDefault="000C0CEC" w:rsidP="008C15CD">
      <w:pPr>
        <w:pStyle w:val="Sinespaciado"/>
        <w:spacing w:line="276" w:lineRule="auto"/>
        <w:jc w:val="both"/>
        <w:rPr>
          <w:rFonts w:asciiTheme="minorHAnsi" w:hAnsiTheme="minorHAnsi"/>
          <w:sz w:val="28"/>
          <w:szCs w:val="28"/>
        </w:rPr>
      </w:pPr>
      <w:r w:rsidRPr="00535E30">
        <w:rPr>
          <w:rFonts w:asciiTheme="minorHAnsi" w:hAnsiTheme="minorHAnsi"/>
          <w:sz w:val="28"/>
          <w:szCs w:val="28"/>
        </w:rPr>
        <w:t>Forma parte indispensable de nuestros actos oficiales desde la constitución misma de la Universidad.</w:t>
      </w:r>
    </w:p>
    <w:p w:rsidR="000C0CEC" w:rsidRPr="00535E30" w:rsidRDefault="000C0CEC" w:rsidP="008C15CD">
      <w:pPr>
        <w:pStyle w:val="Sinespaciado"/>
        <w:spacing w:line="276" w:lineRule="auto"/>
        <w:jc w:val="both"/>
        <w:rPr>
          <w:rFonts w:asciiTheme="minorHAnsi" w:hAnsiTheme="minorHAnsi"/>
          <w:sz w:val="28"/>
          <w:szCs w:val="28"/>
        </w:rPr>
      </w:pPr>
    </w:p>
    <w:p w:rsidR="000C0CEC" w:rsidRPr="00535E30" w:rsidRDefault="000C0CEC" w:rsidP="008C15CD">
      <w:pPr>
        <w:pStyle w:val="Sinespaciado"/>
        <w:spacing w:line="276" w:lineRule="auto"/>
        <w:jc w:val="both"/>
        <w:rPr>
          <w:rFonts w:asciiTheme="minorHAnsi" w:hAnsiTheme="minorHAnsi"/>
          <w:sz w:val="28"/>
          <w:szCs w:val="28"/>
        </w:rPr>
      </w:pPr>
      <w:r w:rsidRPr="00535E30">
        <w:rPr>
          <w:rFonts w:asciiTheme="minorHAnsi" w:hAnsiTheme="minorHAnsi"/>
          <w:sz w:val="28"/>
          <w:szCs w:val="28"/>
        </w:rPr>
        <w:t>Sobre un amarillo ocre, cuatro franjas delgadas de igual tamaño en su orden: blanco, azul celeste, verde y rojo.</w:t>
      </w:r>
    </w:p>
    <w:p w:rsidR="000C0CEC" w:rsidRPr="00535E30" w:rsidRDefault="000C0CEC" w:rsidP="008C15CD">
      <w:pPr>
        <w:pStyle w:val="Sinespaciado"/>
        <w:spacing w:line="276" w:lineRule="auto"/>
        <w:jc w:val="both"/>
        <w:rPr>
          <w:rFonts w:asciiTheme="minorHAnsi" w:hAnsiTheme="minorHAnsi"/>
          <w:sz w:val="28"/>
          <w:szCs w:val="28"/>
        </w:rPr>
      </w:pPr>
    </w:p>
    <w:p w:rsidR="000C0CEC" w:rsidRPr="00535E30" w:rsidRDefault="000C0CEC" w:rsidP="008C15CD">
      <w:pPr>
        <w:pStyle w:val="Sinespaciado"/>
        <w:spacing w:line="276" w:lineRule="auto"/>
        <w:jc w:val="both"/>
        <w:rPr>
          <w:rFonts w:asciiTheme="minorHAnsi" w:hAnsiTheme="minorHAnsi"/>
          <w:sz w:val="28"/>
          <w:szCs w:val="28"/>
        </w:rPr>
      </w:pPr>
      <w:r w:rsidRPr="00535E30">
        <w:rPr>
          <w:rFonts w:asciiTheme="minorHAnsi" w:hAnsiTheme="minorHAnsi"/>
          <w:sz w:val="28"/>
          <w:szCs w:val="28"/>
        </w:rPr>
        <w:t>Cada color significa lo siguiente:</w:t>
      </w:r>
    </w:p>
    <w:p w:rsidR="000C0CEC" w:rsidRPr="00535E30" w:rsidRDefault="000C0CEC" w:rsidP="00F80905">
      <w:pPr>
        <w:pStyle w:val="Sinespaciado"/>
        <w:spacing w:line="276" w:lineRule="auto"/>
        <w:rPr>
          <w:rFonts w:asciiTheme="minorHAnsi" w:hAnsiTheme="minorHAnsi"/>
          <w:sz w:val="28"/>
          <w:szCs w:val="28"/>
        </w:rPr>
      </w:pPr>
    </w:p>
    <w:p w:rsidR="000C0CEC" w:rsidRPr="00535E30" w:rsidRDefault="000C0CEC" w:rsidP="00C0346D">
      <w:pPr>
        <w:pStyle w:val="Sinespaciado"/>
        <w:numPr>
          <w:ilvl w:val="0"/>
          <w:numId w:val="20"/>
        </w:numPr>
        <w:spacing w:line="276" w:lineRule="auto"/>
        <w:jc w:val="both"/>
        <w:rPr>
          <w:rFonts w:asciiTheme="minorHAnsi" w:hAnsiTheme="minorHAnsi"/>
          <w:sz w:val="28"/>
          <w:szCs w:val="28"/>
        </w:rPr>
      </w:pPr>
      <w:r w:rsidRPr="00535E30">
        <w:rPr>
          <w:rFonts w:asciiTheme="minorHAnsi" w:hAnsiTheme="minorHAnsi"/>
          <w:b/>
          <w:sz w:val="28"/>
          <w:szCs w:val="28"/>
        </w:rPr>
        <w:t>Amarillo:</w:t>
      </w:r>
      <w:r w:rsidRPr="00535E30">
        <w:rPr>
          <w:rFonts w:asciiTheme="minorHAnsi" w:hAnsiTheme="minorHAnsi"/>
          <w:sz w:val="28"/>
          <w:szCs w:val="28"/>
        </w:rPr>
        <w:t xml:space="preserve"> Inteligencia y Sabiduría (Mente).</w:t>
      </w:r>
    </w:p>
    <w:p w:rsidR="000C0CEC" w:rsidRPr="00535E30" w:rsidRDefault="000C0CEC" w:rsidP="00C0346D">
      <w:pPr>
        <w:pStyle w:val="Sinespaciado"/>
        <w:numPr>
          <w:ilvl w:val="0"/>
          <w:numId w:val="20"/>
        </w:numPr>
        <w:spacing w:line="276" w:lineRule="auto"/>
        <w:jc w:val="both"/>
        <w:rPr>
          <w:rFonts w:asciiTheme="minorHAnsi" w:hAnsiTheme="minorHAnsi"/>
          <w:sz w:val="28"/>
          <w:szCs w:val="28"/>
        </w:rPr>
      </w:pPr>
      <w:r w:rsidRPr="00535E30">
        <w:rPr>
          <w:rFonts w:asciiTheme="minorHAnsi" w:hAnsiTheme="minorHAnsi"/>
          <w:b/>
          <w:sz w:val="28"/>
          <w:szCs w:val="28"/>
        </w:rPr>
        <w:t>Blanco:</w:t>
      </w:r>
      <w:r w:rsidRPr="00535E30">
        <w:rPr>
          <w:rFonts w:asciiTheme="minorHAnsi" w:hAnsiTheme="minorHAnsi"/>
          <w:sz w:val="28"/>
          <w:szCs w:val="28"/>
        </w:rPr>
        <w:t xml:space="preserve"> Pureza, Transparencia.</w:t>
      </w:r>
    </w:p>
    <w:p w:rsidR="000C0CEC" w:rsidRPr="00535E30" w:rsidRDefault="000C0CEC" w:rsidP="00C0346D">
      <w:pPr>
        <w:pStyle w:val="Sinespaciado"/>
        <w:numPr>
          <w:ilvl w:val="0"/>
          <w:numId w:val="20"/>
        </w:numPr>
        <w:spacing w:line="276" w:lineRule="auto"/>
        <w:jc w:val="both"/>
        <w:rPr>
          <w:rFonts w:asciiTheme="minorHAnsi" w:hAnsiTheme="minorHAnsi"/>
          <w:sz w:val="28"/>
          <w:szCs w:val="28"/>
        </w:rPr>
      </w:pPr>
      <w:r w:rsidRPr="00535E30">
        <w:rPr>
          <w:rFonts w:asciiTheme="minorHAnsi" w:hAnsiTheme="minorHAnsi"/>
          <w:b/>
          <w:sz w:val="28"/>
          <w:szCs w:val="28"/>
        </w:rPr>
        <w:t>Azul:</w:t>
      </w:r>
      <w:r w:rsidRPr="00535E30">
        <w:rPr>
          <w:rFonts w:asciiTheme="minorHAnsi" w:hAnsiTheme="minorHAnsi"/>
          <w:sz w:val="28"/>
          <w:szCs w:val="28"/>
        </w:rPr>
        <w:t xml:space="preserve"> Lealtad, Fuerza y Tenacidad (Alma).</w:t>
      </w:r>
    </w:p>
    <w:p w:rsidR="000C0CEC" w:rsidRPr="00535E30" w:rsidRDefault="000C0CEC" w:rsidP="00C0346D">
      <w:pPr>
        <w:pStyle w:val="Sinespaciado"/>
        <w:numPr>
          <w:ilvl w:val="0"/>
          <w:numId w:val="20"/>
        </w:numPr>
        <w:spacing w:line="276" w:lineRule="auto"/>
        <w:jc w:val="both"/>
        <w:rPr>
          <w:rFonts w:asciiTheme="minorHAnsi" w:hAnsiTheme="minorHAnsi"/>
          <w:sz w:val="28"/>
          <w:szCs w:val="28"/>
        </w:rPr>
      </w:pPr>
      <w:r w:rsidRPr="00535E30">
        <w:rPr>
          <w:rFonts w:asciiTheme="minorHAnsi" w:hAnsiTheme="minorHAnsi"/>
          <w:b/>
          <w:sz w:val="28"/>
          <w:szCs w:val="28"/>
        </w:rPr>
        <w:t>Verde:</w:t>
      </w:r>
      <w:r w:rsidRPr="00535E30">
        <w:rPr>
          <w:rFonts w:asciiTheme="minorHAnsi" w:hAnsiTheme="minorHAnsi"/>
          <w:sz w:val="28"/>
          <w:szCs w:val="28"/>
        </w:rPr>
        <w:t xml:space="preserve"> Armonía y Meditación (Espíritu).</w:t>
      </w:r>
    </w:p>
    <w:p w:rsidR="000C0CEC" w:rsidRPr="00535E30" w:rsidRDefault="000C0CEC" w:rsidP="00C0346D">
      <w:pPr>
        <w:pStyle w:val="Sinespaciado"/>
        <w:numPr>
          <w:ilvl w:val="0"/>
          <w:numId w:val="20"/>
        </w:numPr>
        <w:spacing w:line="276" w:lineRule="auto"/>
        <w:jc w:val="both"/>
        <w:rPr>
          <w:rFonts w:asciiTheme="minorHAnsi" w:hAnsiTheme="minorHAnsi"/>
          <w:sz w:val="28"/>
          <w:szCs w:val="28"/>
        </w:rPr>
      </w:pPr>
      <w:r w:rsidRPr="00535E30">
        <w:rPr>
          <w:rFonts w:asciiTheme="minorHAnsi" w:hAnsiTheme="minorHAnsi"/>
          <w:b/>
          <w:sz w:val="28"/>
          <w:szCs w:val="28"/>
        </w:rPr>
        <w:t>Rojo:</w:t>
      </w:r>
      <w:r w:rsidRPr="00535E30">
        <w:rPr>
          <w:rFonts w:asciiTheme="minorHAnsi" w:hAnsiTheme="minorHAnsi"/>
          <w:sz w:val="28"/>
          <w:szCs w:val="28"/>
        </w:rPr>
        <w:t xml:space="preserve"> Voluntad y Amor Espiritual (Corazón).</w:t>
      </w:r>
    </w:p>
    <w:p w:rsidR="000C0CEC" w:rsidRDefault="000C0CEC" w:rsidP="00F80905">
      <w:pPr>
        <w:pStyle w:val="Sinespaciado"/>
        <w:spacing w:line="276" w:lineRule="auto"/>
        <w:rPr>
          <w:rFonts w:asciiTheme="minorHAnsi" w:hAnsiTheme="minorHAnsi"/>
        </w:rPr>
      </w:pPr>
    </w:p>
    <w:p w:rsidR="00F80905" w:rsidRPr="00535E30" w:rsidRDefault="00F80905" w:rsidP="00F80905">
      <w:pPr>
        <w:pStyle w:val="Sinespaciado"/>
        <w:spacing w:line="276" w:lineRule="auto"/>
        <w:rPr>
          <w:rFonts w:asciiTheme="minorHAnsi" w:hAnsiTheme="minorHAnsi"/>
        </w:rPr>
      </w:pPr>
    </w:p>
    <w:p w:rsidR="000C0CEC" w:rsidRPr="00F80905" w:rsidRDefault="000C0CEC" w:rsidP="00F80905">
      <w:pPr>
        <w:spacing w:line="276" w:lineRule="auto"/>
        <w:jc w:val="center"/>
        <w:rPr>
          <w:rFonts w:asciiTheme="minorHAnsi" w:hAnsiTheme="minorHAnsi"/>
          <w:b/>
          <w:sz w:val="32"/>
          <w:szCs w:val="28"/>
        </w:rPr>
      </w:pPr>
      <w:bookmarkStart w:id="39" w:name="_Toc286761224"/>
      <w:bookmarkStart w:id="40" w:name="_Toc290360663"/>
      <w:r w:rsidRPr="00F80905">
        <w:rPr>
          <w:rFonts w:asciiTheme="minorHAnsi" w:hAnsiTheme="minorHAnsi"/>
          <w:b/>
          <w:sz w:val="32"/>
          <w:szCs w:val="28"/>
        </w:rPr>
        <w:lastRenderedPageBreak/>
        <w:t>PROMETEO</w:t>
      </w:r>
      <w:bookmarkEnd w:id="39"/>
      <w:bookmarkEnd w:id="40"/>
    </w:p>
    <w:p w:rsidR="000C0CEC" w:rsidRPr="00535E30" w:rsidRDefault="000C0CEC" w:rsidP="00F80905">
      <w:pPr>
        <w:spacing w:line="276" w:lineRule="auto"/>
        <w:jc w:val="center"/>
        <w:rPr>
          <w:rFonts w:asciiTheme="minorHAnsi" w:hAnsiTheme="minorHAnsi"/>
          <w:b/>
          <w:sz w:val="28"/>
          <w:szCs w:val="28"/>
        </w:rPr>
      </w:pPr>
      <w:r w:rsidRPr="00535E30">
        <w:rPr>
          <w:rFonts w:asciiTheme="minorHAnsi" w:hAnsiTheme="minorHAnsi"/>
          <w:b/>
          <w:noProof/>
          <w:sz w:val="28"/>
          <w:szCs w:val="28"/>
          <w:lang w:val="es-CO" w:eastAsia="es-CO"/>
        </w:rPr>
        <w:drawing>
          <wp:inline distT="0" distB="0" distL="0" distR="0">
            <wp:extent cx="2691738" cy="4333875"/>
            <wp:effectExtent l="133350" t="38100" r="51462" b="66675"/>
            <wp:docPr id="67" name="66 Imagen" descr="simbolopromete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mboloprometeo.jpg"/>
                    <pic:cNvPicPr/>
                  </pic:nvPicPr>
                  <pic:blipFill>
                    <a:blip r:embed="rId18" cstate="print"/>
                    <a:stretch>
                      <a:fillRect/>
                    </a:stretch>
                  </pic:blipFill>
                  <pic:spPr>
                    <a:xfrm>
                      <a:off x="0" y="0"/>
                      <a:ext cx="2691422" cy="4333366"/>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p w:rsidR="000C0CEC" w:rsidRPr="00535E30" w:rsidRDefault="000C0CEC" w:rsidP="008C15CD">
      <w:pPr>
        <w:pStyle w:val="Sinespaciado"/>
        <w:spacing w:line="276" w:lineRule="auto"/>
        <w:jc w:val="both"/>
        <w:rPr>
          <w:rFonts w:asciiTheme="minorHAnsi" w:hAnsiTheme="minorHAnsi"/>
          <w:sz w:val="28"/>
          <w:szCs w:val="28"/>
        </w:rPr>
      </w:pPr>
      <w:r w:rsidRPr="00535E30">
        <w:rPr>
          <w:rFonts w:asciiTheme="minorHAnsi" w:hAnsiTheme="minorHAnsi"/>
          <w:sz w:val="28"/>
          <w:szCs w:val="28"/>
        </w:rPr>
        <w:t>Escultura elaborada por Rodrigo Arenas Betancourt 1967 - 1968, en memoria a Juan María Mejía Marulanda brillante docente de Ingeniería Eléctrica.</w:t>
      </w:r>
    </w:p>
    <w:p w:rsidR="000C0CEC" w:rsidRPr="00535E30" w:rsidRDefault="000C0CEC" w:rsidP="008C15CD">
      <w:pPr>
        <w:pStyle w:val="Sinespaciado"/>
        <w:spacing w:line="276" w:lineRule="auto"/>
        <w:jc w:val="both"/>
        <w:rPr>
          <w:rFonts w:asciiTheme="minorHAnsi" w:hAnsiTheme="minorHAnsi"/>
          <w:sz w:val="28"/>
          <w:szCs w:val="28"/>
        </w:rPr>
      </w:pPr>
    </w:p>
    <w:p w:rsidR="000C0CEC" w:rsidRPr="00535E30" w:rsidRDefault="000C0CEC" w:rsidP="008C15CD">
      <w:pPr>
        <w:pStyle w:val="Sinespaciado"/>
        <w:spacing w:line="276" w:lineRule="auto"/>
        <w:jc w:val="both"/>
        <w:rPr>
          <w:rFonts w:asciiTheme="minorHAnsi" w:hAnsiTheme="minorHAnsi"/>
          <w:sz w:val="28"/>
          <w:szCs w:val="28"/>
        </w:rPr>
      </w:pPr>
      <w:r w:rsidRPr="00535E30">
        <w:rPr>
          <w:rFonts w:asciiTheme="minorHAnsi" w:hAnsiTheme="minorHAnsi"/>
          <w:sz w:val="28"/>
          <w:szCs w:val="28"/>
        </w:rPr>
        <w:t xml:space="preserve">Titán amigo de los mortales, honrado principalmente por robar el fuego de los dioses en el tallo de un hinojo y darlo a los humanos para su uso. En castigo los dioses enviaron a Pandora a quien </w:t>
      </w:r>
      <w:proofErr w:type="spellStart"/>
      <w:r w:rsidRPr="00535E30">
        <w:rPr>
          <w:rFonts w:asciiTheme="minorHAnsi" w:hAnsiTheme="minorHAnsi"/>
          <w:sz w:val="28"/>
          <w:szCs w:val="28"/>
        </w:rPr>
        <w:t>Hefesto</w:t>
      </w:r>
      <w:proofErr w:type="spellEnd"/>
      <w:r w:rsidRPr="00535E30">
        <w:rPr>
          <w:rFonts w:asciiTheme="minorHAnsi" w:hAnsiTheme="minorHAnsi"/>
          <w:sz w:val="28"/>
          <w:szCs w:val="28"/>
        </w:rPr>
        <w:t xml:space="preserve"> le entregó la Persuasión, Afrodita le dio el encanto y Hermes la Seducción.</w:t>
      </w:r>
    </w:p>
    <w:p w:rsidR="000C0CEC" w:rsidRPr="00535E30" w:rsidRDefault="000C0CEC" w:rsidP="008C15CD">
      <w:pPr>
        <w:pStyle w:val="Sinespaciado"/>
        <w:spacing w:line="276" w:lineRule="auto"/>
        <w:jc w:val="both"/>
        <w:rPr>
          <w:rFonts w:asciiTheme="minorHAnsi" w:hAnsiTheme="minorHAnsi"/>
          <w:sz w:val="28"/>
          <w:szCs w:val="28"/>
        </w:rPr>
      </w:pPr>
    </w:p>
    <w:p w:rsidR="000C0CEC" w:rsidRPr="00535E30" w:rsidRDefault="000C0CEC" w:rsidP="008C15CD">
      <w:pPr>
        <w:pStyle w:val="Sinespaciado"/>
        <w:spacing w:line="276" w:lineRule="auto"/>
        <w:jc w:val="both"/>
        <w:rPr>
          <w:rFonts w:asciiTheme="minorHAnsi" w:hAnsiTheme="minorHAnsi"/>
          <w:sz w:val="28"/>
          <w:szCs w:val="28"/>
        </w:rPr>
      </w:pPr>
      <w:r w:rsidRPr="00535E30">
        <w:rPr>
          <w:rFonts w:asciiTheme="minorHAnsi" w:hAnsiTheme="minorHAnsi"/>
          <w:sz w:val="28"/>
          <w:szCs w:val="28"/>
        </w:rPr>
        <w:t>Pandora llevaba una jarra con males para engañar a Prometeo, ante lo que él no sucumbió. Prometeo fue atado a orillas del Cáucaso; cada día se abría su vientre y un águila devoraba su hígado que se regeneraba en la noche hasta que Hércules lo liberó.</w:t>
      </w:r>
    </w:p>
    <w:p w:rsidR="000C0CEC" w:rsidRPr="00535E30" w:rsidRDefault="000C0CEC" w:rsidP="00C0346D">
      <w:pPr>
        <w:pStyle w:val="Prrafodelista"/>
        <w:numPr>
          <w:ilvl w:val="1"/>
          <w:numId w:val="18"/>
        </w:numPr>
        <w:spacing w:after="200" w:line="276" w:lineRule="auto"/>
        <w:ind w:left="0" w:firstLine="0"/>
        <w:outlineLvl w:val="1"/>
        <w:rPr>
          <w:b/>
          <w:sz w:val="28"/>
          <w:szCs w:val="24"/>
        </w:rPr>
      </w:pPr>
      <w:bookmarkStart w:id="41" w:name="_Toc331683513"/>
      <w:bookmarkStart w:id="42" w:name="_Toc354671311"/>
      <w:r w:rsidRPr="00535E30">
        <w:rPr>
          <w:b/>
          <w:sz w:val="28"/>
          <w:szCs w:val="24"/>
        </w:rPr>
        <w:lastRenderedPageBreak/>
        <w:t>HIMNO DE LA UNIVERSIDAD</w:t>
      </w:r>
      <w:bookmarkEnd w:id="41"/>
      <w:bookmarkEnd w:id="42"/>
    </w:p>
    <w:p w:rsidR="000C0CEC" w:rsidRPr="00535E30" w:rsidRDefault="000C0CEC" w:rsidP="00F80905">
      <w:pPr>
        <w:spacing w:line="276" w:lineRule="auto"/>
        <w:rPr>
          <w:rFonts w:asciiTheme="minorHAnsi" w:hAnsiTheme="minorHAnsi"/>
          <w:b/>
          <w:sz w:val="24"/>
          <w:szCs w:val="24"/>
        </w:rPr>
      </w:pPr>
    </w:p>
    <w:p w:rsidR="000C0CEC" w:rsidRPr="00535E30" w:rsidRDefault="000C0CEC" w:rsidP="00F80905">
      <w:pPr>
        <w:pStyle w:val="Sinespaciado"/>
        <w:spacing w:line="276" w:lineRule="auto"/>
        <w:jc w:val="center"/>
        <w:rPr>
          <w:rFonts w:asciiTheme="minorHAnsi" w:hAnsiTheme="minorHAnsi"/>
          <w:b/>
          <w:sz w:val="28"/>
          <w:szCs w:val="28"/>
        </w:rPr>
      </w:pPr>
      <w:r w:rsidRPr="00535E30">
        <w:rPr>
          <w:rFonts w:asciiTheme="minorHAnsi" w:hAnsiTheme="minorHAnsi"/>
          <w:b/>
          <w:sz w:val="28"/>
          <w:szCs w:val="28"/>
        </w:rPr>
        <w:t>C O R O</w:t>
      </w:r>
    </w:p>
    <w:p w:rsidR="000C0CEC" w:rsidRPr="00535E30" w:rsidRDefault="000C0CEC" w:rsidP="00F80905">
      <w:pPr>
        <w:pStyle w:val="Sinespaciado"/>
        <w:spacing w:line="276" w:lineRule="auto"/>
        <w:jc w:val="center"/>
        <w:rPr>
          <w:rFonts w:asciiTheme="minorHAnsi" w:hAnsiTheme="minorHAnsi"/>
          <w:b/>
          <w:sz w:val="28"/>
          <w:szCs w:val="28"/>
        </w:rPr>
      </w:pPr>
    </w:p>
    <w:p w:rsidR="000C0CEC" w:rsidRPr="00535E30" w:rsidRDefault="000C0CEC" w:rsidP="00F80905">
      <w:pPr>
        <w:pStyle w:val="Sinespaciado"/>
        <w:spacing w:line="276" w:lineRule="auto"/>
        <w:jc w:val="center"/>
        <w:rPr>
          <w:rFonts w:asciiTheme="minorHAnsi" w:hAnsiTheme="minorHAnsi"/>
          <w:sz w:val="28"/>
          <w:szCs w:val="28"/>
        </w:rPr>
      </w:pPr>
      <w:r w:rsidRPr="00535E30">
        <w:rPr>
          <w:rFonts w:asciiTheme="minorHAnsi" w:hAnsiTheme="minorHAnsi"/>
          <w:sz w:val="28"/>
          <w:szCs w:val="28"/>
        </w:rPr>
        <w:t>Tesón de almas libres y abiertas</w:t>
      </w:r>
    </w:p>
    <w:p w:rsidR="000C0CEC" w:rsidRPr="00535E30" w:rsidRDefault="000C0CEC" w:rsidP="00F80905">
      <w:pPr>
        <w:pStyle w:val="Sinespaciado"/>
        <w:spacing w:line="276" w:lineRule="auto"/>
        <w:jc w:val="center"/>
        <w:rPr>
          <w:rFonts w:asciiTheme="minorHAnsi" w:hAnsiTheme="minorHAnsi"/>
          <w:sz w:val="28"/>
          <w:szCs w:val="28"/>
        </w:rPr>
      </w:pPr>
      <w:proofErr w:type="gramStart"/>
      <w:r w:rsidRPr="00535E30">
        <w:rPr>
          <w:rFonts w:asciiTheme="minorHAnsi" w:hAnsiTheme="minorHAnsi"/>
          <w:sz w:val="28"/>
          <w:szCs w:val="28"/>
        </w:rPr>
        <w:t>tras</w:t>
      </w:r>
      <w:proofErr w:type="gramEnd"/>
      <w:r w:rsidRPr="00535E30">
        <w:rPr>
          <w:rFonts w:asciiTheme="minorHAnsi" w:hAnsiTheme="minorHAnsi"/>
          <w:sz w:val="28"/>
          <w:szCs w:val="28"/>
        </w:rPr>
        <w:t xml:space="preserve"> el mañana en la lucha sin par</w:t>
      </w:r>
    </w:p>
    <w:p w:rsidR="000C0CEC" w:rsidRPr="00535E30" w:rsidRDefault="000C0CEC" w:rsidP="00F80905">
      <w:pPr>
        <w:pStyle w:val="Sinespaciado"/>
        <w:spacing w:line="276" w:lineRule="auto"/>
        <w:jc w:val="center"/>
        <w:rPr>
          <w:rFonts w:asciiTheme="minorHAnsi" w:hAnsiTheme="minorHAnsi"/>
          <w:sz w:val="28"/>
          <w:szCs w:val="28"/>
        </w:rPr>
      </w:pPr>
      <w:proofErr w:type="gramStart"/>
      <w:r w:rsidRPr="00535E30">
        <w:rPr>
          <w:rFonts w:asciiTheme="minorHAnsi" w:hAnsiTheme="minorHAnsi"/>
          <w:sz w:val="28"/>
          <w:szCs w:val="28"/>
        </w:rPr>
        <w:t>honor</w:t>
      </w:r>
      <w:proofErr w:type="gramEnd"/>
      <w:r w:rsidRPr="00535E30">
        <w:rPr>
          <w:rFonts w:asciiTheme="minorHAnsi" w:hAnsiTheme="minorHAnsi"/>
          <w:sz w:val="28"/>
          <w:szCs w:val="28"/>
        </w:rPr>
        <w:t xml:space="preserve"> de razas fuertes y altivas</w:t>
      </w:r>
    </w:p>
    <w:p w:rsidR="000C0CEC" w:rsidRPr="00535E30" w:rsidRDefault="000C0CEC" w:rsidP="00F80905">
      <w:pPr>
        <w:pStyle w:val="Sinespaciado"/>
        <w:spacing w:line="276" w:lineRule="auto"/>
        <w:jc w:val="center"/>
        <w:rPr>
          <w:rFonts w:asciiTheme="minorHAnsi" w:hAnsiTheme="minorHAnsi"/>
          <w:sz w:val="28"/>
          <w:szCs w:val="28"/>
        </w:rPr>
      </w:pPr>
      <w:proofErr w:type="gramStart"/>
      <w:r w:rsidRPr="00535E30">
        <w:rPr>
          <w:rFonts w:asciiTheme="minorHAnsi" w:hAnsiTheme="minorHAnsi"/>
          <w:sz w:val="28"/>
          <w:szCs w:val="28"/>
        </w:rPr>
        <w:t>tallando</w:t>
      </w:r>
      <w:proofErr w:type="gramEnd"/>
      <w:r w:rsidRPr="00535E30">
        <w:rPr>
          <w:rFonts w:asciiTheme="minorHAnsi" w:hAnsiTheme="minorHAnsi"/>
          <w:sz w:val="28"/>
          <w:szCs w:val="28"/>
        </w:rPr>
        <w:t xml:space="preserve"> bronces de libertad</w:t>
      </w:r>
    </w:p>
    <w:p w:rsidR="000C0CEC" w:rsidRPr="00535E30" w:rsidRDefault="000C0CEC" w:rsidP="00F80905">
      <w:pPr>
        <w:pStyle w:val="Sinespaciado"/>
        <w:spacing w:line="276" w:lineRule="auto"/>
        <w:jc w:val="center"/>
        <w:rPr>
          <w:rFonts w:asciiTheme="minorHAnsi" w:hAnsiTheme="minorHAnsi"/>
          <w:sz w:val="28"/>
          <w:szCs w:val="28"/>
        </w:rPr>
      </w:pPr>
    </w:p>
    <w:p w:rsidR="000C0CEC" w:rsidRPr="00535E30" w:rsidRDefault="000C0CEC" w:rsidP="00F80905">
      <w:pPr>
        <w:pStyle w:val="Sinespaciado"/>
        <w:spacing w:line="276" w:lineRule="auto"/>
        <w:jc w:val="center"/>
        <w:rPr>
          <w:rFonts w:asciiTheme="minorHAnsi" w:hAnsiTheme="minorHAnsi"/>
          <w:sz w:val="28"/>
          <w:szCs w:val="28"/>
        </w:rPr>
      </w:pPr>
    </w:p>
    <w:tbl>
      <w:tblPr>
        <w:tblW w:w="0" w:type="auto"/>
        <w:tblLook w:val="04A0" w:firstRow="1" w:lastRow="0" w:firstColumn="1" w:lastColumn="0" w:noHBand="0" w:noVBand="1"/>
      </w:tblPr>
      <w:tblGrid>
        <w:gridCol w:w="4489"/>
        <w:gridCol w:w="4489"/>
      </w:tblGrid>
      <w:tr w:rsidR="000C0CEC" w:rsidRPr="00535E30" w:rsidTr="00C340EE">
        <w:tc>
          <w:tcPr>
            <w:tcW w:w="4489" w:type="dxa"/>
          </w:tcPr>
          <w:p w:rsidR="000C0CEC" w:rsidRPr="00535E30" w:rsidRDefault="000C0CEC" w:rsidP="00F80905">
            <w:pPr>
              <w:pStyle w:val="Sinespaciado"/>
              <w:spacing w:line="276" w:lineRule="auto"/>
              <w:jc w:val="center"/>
              <w:rPr>
                <w:rFonts w:asciiTheme="minorHAnsi" w:hAnsiTheme="minorHAnsi"/>
                <w:b/>
                <w:sz w:val="28"/>
                <w:szCs w:val="28"/>
              </w:rPr>
            </w:pPr>
            <w:r w:rsidRPr="00535E30">
              <w:rPr>
                <w:rFonts w:asciiTheme="minorHAnsi" w:hAnsiTheme="minorHAnsi"/>
                <w:b/>
                <w:sz w:val="28"/>
                <w:szCs w:val="28"/>
              </w:rPr>
              <w:t>I</w:t>
            </w:r>
          </w:p>
          <w:p w:rsidR="000C0CEC" w:rsidRPr="00535E30" w:rsidRDefault="000C0CEC" w:rsidP="00F80905">
            <w:pPr>
              <w:pStyle w:val="Sinespaciado"/>
              <w:spacing w:line="276" w:lineRule="auto"/>
              <w:jc w:val="center"/>
              <w:rPr>
                <w:rFonts w:asciiTheme="minorHAnsi" w:hAnsiTheme="minorHAnsi"/>
                <w:sz w:val="28"/>
                <w:szCs w:val="28"/>
              </w:rPr>
            </w:pPr>
            <w:r w:rsidRPr="00535E30">
              <w:rPr>
                <w:rFonts w:asciiTheme="minorHAnsi" w:hAnsiTheme="minorHAnsi"/>
                <w:sz w:val="28"/>
                <w:szCs w:val="28"/>
              </w:rPr>
              <w:t>Hachas labriegas vertiste en llamas</w:t>
            </w:r>
          </w:p>
          <w:p w:rsidR="000C0CEC" w:rsidRPr="00535E30" w:rsidRDefault="000C0CEC" w:rsidP="00F80905">
            <w:pPr>
              <w:pStyle w:val="Sinespaciado"/>
              <w:spacing w:line="276" w:lineRule="auto"/>
              <w:jc w:val="center"/>
              <w:rPr>
                <w:rFonts w:asciiTheme="minorHAnsi" w:hAnsiTheme="minorHAnsi"/>
                <w:sz w:val="28"/>
                <w:szCs w:val="28"/>
              </w:rPr>
            </w:pPr>
            <w:r w:rsidRPr="00535E30">
              <w:rPr>
                <w:rFonts w:asciiTheme="minorHAnsi" w:hAnsiTheme="minorHAnsi"/>
                <w:sz w:val="28"/>
                <w:szCs w:val="28"/>
              </w:rPr>
              <w:t>que a la ignorancia irradian saber</w:t>
            </w:r>
          </w:p>
          <w:p w:rsidR="000C0CEC" w:rsidRPr="00535E30" w:rsidRDefault="000C0CEC" w:rsidP="00F80905">
            <w:pPr>
              <w:pStyle w:val="Sinespaciado"/>
              <w:spacing w:line="276" w:lineRule="auto"/>
              <w:jc w:val="center"/>
              <w:rPr>
                <w:rFonts w:asciiTheme="minorHAnsi" w:hAnsiTheme="minorHAnsi"/>
                <w:sz w:val="28"/>
                <w:szCs w:val="28"/>
              </w:rPr>
            </w:pPr>
            <w:r w:rsidRPr="00535E30">
              <w:rPr>
                <w:rFonts w:asciiTheme="minorHAnsi" w:hAnsiTheme="minorHAnsi"/>
                <w:sz w:val="28"/>
                <w:szCs w:val="28"/>
              </w:rPr>
              <w:t>de insignes mentes urdes la historia</w:t>
            </w:r>
          </w:p>
          <w:p w:rsidR="000C0CEC" w:rsidRPr="00535E30" w:rsidRDefault="000C0CEC" w:rsidP="00F80905">
            <w:pPr>
              <w:pStyle w:val="Sinespaciado"/>
              <w:spacing w:line="276" w:lineRule="auto"/>
              <w:jc w:val="center"/>
              <w:rPr>
                <w:rFonts w:asciiTheme="minorHAnsi" w:hAnsiTheme="minorHAnsi"/>
                <w:sz w:val="28"/>
                <w:szCs w:val="28"/>
              </w:rPr>
            </w:pPr>
            <w:proofErr w:type="gramStart"/>
            <w:r w:rsidRPr="00535E30">
              <w:rPr>
                <w:rFonts w:asciiTheme="minorHAnsi" w:hAnsiTheme="minorHAnsi"/>
                <w:sz w:val="28"/>
                <w:szCs w:val="28"/>
              </w:rPr>
              <w:t>que</w:t>
            </w:r>
            <w:proofErr w:type="gramEnd"/>
            <w:r w:rsidRPr="00535E30">
              <w:rPr>
                <w:rFonts w:asciiTheme="minorHAnsi" w:hAnsiTheme="minorHAnsi"/>
                <w:sz w:val="28"/>
                <w:szCs w:val="28"/>
              </w:rPr>
              <w:t xml:space="preserve"> forjan ciencia, técnica y fe.</w:t>
            </w:r>
          </w:p>
          <w:p w:rsidR="000C0CEC" w:rsidRPr="00535E30" w:rsidRDefault="000C0CEC" w:rsidP="00F80905">
            <w:pPr>
              <w:pStyle w:val="Sinespaciado"/>
              <w:spacing w:line="276" w:lineRule="auto"/>
              <w:jc w:val="center"/>
              <w:rPr>
                <w:rFonts w:asciiTheme="minorHAnsi" w:hAnsiTheme="minorHAnsi"/>
                <w:sz w:val="28"/>
                <w:szCs w:val="28"/>
              </w:rPr>
            </w:pPr>
          </w:p>
          <w:p w:rsidR="000C0CEC" w:rsidRPr="00535E30" w:rsidRDefault="000C0CEC" w:rsidP="00F80905">
            <w:pPr>
              <w:pStyle w:val="Sinespaciado"/>
              <w:spacing w:line="276" w:lineRule="auto"/>
              <w:jc w:val="center"/>
              <w:rPr>
                <w:rFonts w:asciiTheme="minorHAnsi" w:hAnsiTheme="minorHAnsi"/>
                <w:sz w:val="28"/>
                <w:szCs w:val="28"/>
              </w:rPr>
            </w:pPr>
          </w:p>
          <w:p w:rsidR="000C0CEC" w:rsidRPr="00535E30" w:rsidRDefault="000C0CEC" w:rsidP="00F80905">
            <w:pPr>
              <w:pStyle w:val="Sinespaciado"/>
              <w:spacing w:line="276" w:lineRule="auto"/>
              <w:jc w:val="center"/>
              <w:rPr>
                <w:rFonts w:asciiTheme="minorHAnsi" w:hAnsiTheme="minorHAnsi"/>
                <w:b/>
                <w:sz w:val="28"/>
                <w:szCs w:val="28"/>
              </w:rPr>
            </w:pPr>
            <w:r w:rsidRPr="00535E30">
              <w:rPr>
                <w:rFonts w:asciiTheme="minorHAnsi" w:hAnsiTheme="minorHAnsi"/>
                <w:b/>
                <w:sz w:val="28"/>
                <w:szCs w:val="28"/>
              </w:rPr>
              <w:t>II</w:t>
            </w:r>
          </w:p>
          <w:p w:rsidR="000C0CEC" w:rsidRPr="00535E30" w:rsidRDefault="000C0CEC" w:rsidP="00F80905">
            <w:pPr>
              <w:pStyle w:val="Sinespaciado"/>
              <w:spacing w:line="276" w:lineRule="auto"/>
              <w:jc w:val="center"/>
              <w:rPr>
                <w:rFonts w:asciiTheme="minorHAnsi" w:hAnsiTheme="minorHAnsi"/>
                <w:sz w:val="28"/>
                <w:szCs w:val="28"/>
              </w:rPr>
            </w:pPr>
            <w:r w:rsidRPr="00535E30">
              <w:rPr>
                <w:rFonts w:asciiTheme="minorHAnsi" w:hAnsiTheme="minorHAnsi"/>
                <w:sz w:val="28"/>
                <w:szCs w:val="28"/>
              </w:rPr>
              <w:t>Bravos titanes ciñen la gloria</w:t>
            </w:r>
          </w:p>
          <w:p w:rsidR="000C0CEC" w:rsidRPr="00535E30" w:rsidRDefault="000C0CEC" w:rsidP="00F80905">
            <w:pPr>
              <w:pStyle w:val="Sinespaciado"/>
              <w:spacing w:line="276" w:lineRule="auto"/>
              <w:jc w:val="center"/>
              <w:rPr>
                <w:rFonts w:asciiTheme="minorHAnsi" w:hAnsiTheme="minorHAnsi"/>
                <w:sz w:val="28"/>
                <w:szCs w:val="28"/>
              </w:rPr>
            </w:pPr>
            <w:r w:rsidRPr="00535E30">
              <w:rPr>
                <w:rFonts w:asciiTheme="minorHAnsi" w:hAnsiTheme="minorHAnsi"/>
                <w:sz w:val="28"/>
                <w:szCs w:val="28"/>
              </w:rPr>
              <w:t>y a la materia doman sin fin</w:t>
            </w:r>
          </w:p>
          <w:p w:rsidR="000C0CEC" w:rsidRPr="00535E30" w:rsidRDefault="000C0CEC" w:rsidP="00F80905">
            <w:pPr>
              <w:pStyle w:val="Sinespaciado"/>
              <w:spacing w:line="276" w:lineRule="auto"/>
              <w:jc w:val="center"/>
              <w:rPr>
                <w:rFonts w:asciiTheme="minorHAnsi" w:hAnsiTheme="minorHAnsi"/>
                <w:sz w:val="28"/>
                <w:szCs w:val="28"/>
              </w:rPr>
            </w:pPr>
            <w:r w:rsidRPr="00535E30">
              <w:rPr>
                <w:rFonts w:asciiTheme="minorHAnsi" w:hAnsiTheme="minorHAnsi"/>
                <w:sz w:val="28"/>
                <w:szCs w:val="28"/>
              </w:rPr>
              <w:t>abren caminos a la esperanza</w:t>
            </w:r>
          </w:p>
          <w:p w:rsidR="000C0CEC" w:rsidRPr="00535E30" w:rsidRDefault="000C0CEC" w:rsidP="00F80905">
            <w:pPr>
              <w:pStyle w:val="Sinespaciado"/>
              <w:spacing w:line="276" w:lineRule="auto"/>
              <w:jc w:val="center"/>
              <w:rPr>
                <w:rFonts w:asciiTheme="minorHAnsi" w:hAnsiTheme="minorHAnsi"/>
                <w:sz w:val="28"/>
                <w:szCs w:val="28"/>
              </w:rPr>
            </w:pPr>
            <w:proofErr w:type="gramStart"/>
            <w:r w:rsidRPr="00535E30">
              <w:rPr>
                <w:rFonts w:asciiTheme="minorHAnsi" w:hAnsiTheme="minorHAnsi"/>
                <w:sz w:val="28"/>
                <w:szCs w:val="28"/>
              </w:rPr>
              <w:t>que</w:t>
            </w:r>
            <w:proofErr w:type="gramEnd"/>
            <w:r w:rsidRPr="00535E30">
              <w:rPr>
                <w:rFonts w:asciiTheme="minorHAnsi" w:hAnsiTheme="minorHAnsi"/>
                <w:sz w:val="28"/>
                <w:szCs w:val="28"/>
              </w:rPr>
              <w:t xml:space="preserve"> surca el aire del porvenir.</w:t>
            </w:r>
          </w:p>
        </w:tc>
        <w:tc>
          <w:tcPr>
            <w:tcW w:w="4489" w:type="dxa"/>
          </w:tcPr>
          <w:p w:rsidR="000C0CEC" w:rsidRPr="00535E30" w:rsidRDefault="000C0CEC" w:rsidP="00F80905">
            <w:pPr>
              <w:pStyle w:val="Sinespaciado"/>
              <w:spacing w:line="276" w:lineRule="auto"/>
              <w:jc w:val="center"/>
              <w:rPr>
                <w:rFonts w:asciiTheme="minorHAnsi" w:hAnsiTheme="minorHAnsi"/>
                <w:b/>
                <w:sz w:val="28"/>
                <w:szCs w:val="28"/>
              </w:rPr>
            </w:pPr>
            <w:r w:rsidRPr="00535E30">
              <w:rPr>
                <w:rFonts w:asciiTheme="minorHAnsi" w:hAnsiTheme="minorHAnsi"/>
                <w:b/>
                <w:sz w:val="28"/>
                <w:szCs w:val="28"/>
              </w:rPr>
              <w:t>III</w:t>
            </w:r>
          </w:p>
          <w:p w:rsidR="000C0CEC" w:rsidRPr="00535E30" w:rsidRDefault="000C0CEC" w:rsidP="00F80905">
            <w:pPr>
              <w:pStyle w:val="Sinespaciado"/>
              <w:spacing w:line="276" w:lineRule="auto"/>
              <w:jc w:val="center"/>
              <w:rPr>
                <w:rFonts w:asciiTheme="minorHAnsi" w:hAnsiTheme="minorHAnsi"/>
                <w:sz w:val="28"/>
                <w:szCs w:val="28"/>
              </w:rPr>
            </w:pPr>
            <w:r w:rsidRPr="00535E30">
              <w:rPr>
                <w:rFonts w:asciiTheme="minorHAnsi" w:hAnsiTheme="minorHAnsi"/>
                <w:sz w:val="28"/>
                <w:szCs w:val="28"/>
              </w:rPr>
              <w:t>Crisol de ciencia, forja la historia</w:t>
            </w:r>
          </w:p>
          <w:p w:rsidR="000C0CEC" w:rsidRPr="00535E30" w:rsidRDefault="000C0CEC" w:rsidP="00F80905">
            <w:pPr>
              <w:pStyle w:val="Sinespaciado"/>
              <w:spacing w:line="276" w:lineRule="auto"/>
              <w:jc w:val="center"/>
              <w:rPr>
                <w:rFonts w:asciiTheme="minorHAnsi" w:hAnsiTheme="minorHAnsi"/>
                <w:sz w:val="28"/>
                <w:szCs w:val="28"/>
              </w:rPr>
            </w:pPr>
            <w:r w:rsidRPr="00535E30">
              <w:rPr>
                <w:rFonts w:asciiTheme="minorHAnsi" w:hAnsiTheme="minorHAnsi"/>
                <w:sz w:val="28"/>
                <w:szCs w:val="28"/>
              </w:rPr>
              <w:t>aulas que anidan arte y saber</w:t>
            </w:r>
          </w:p>
          <w:p w:rsidR="000C0CEC" w:rsidRPr="00535E30" w:rsidRDefault="000C0CEC" w:rsidP="00F80905">
            <w:pPr>
              <w:pStyle w:val="Sinespaciado"/>
              <w:spacing w:line="276" w:lineRule="auto"/>
              <w:jc w:val="center"/>
              <w:rPr>
                <w:rFonts w:asciiTheme="minorHAnsi" w:hAnsiTheme="minorHAnsi"/>
                <w:sz w:val="28"/>
                <w:szCs w:val="28"/>
              </w:rPr>
            </w:pPr>
            <w:r w:rsidRPr="00535E30">
              <w:rPr>
                <w:rFonts w:asciiTheme="minorHAnsi" w:hAnsiTheme="minorHAnsi"/>
                <w:sz w:val="28"/>
                <w:szCs w:val="28"/>
              </w:rPr>
              <w:t>lucha de nobles hombres que empuñan</w:t>
            </w:r>
          </w:p>
          <w:p w:rsidR="000C0CEC" w:rsidRPr="00535E30" w:rsidRDefault="000C0CEC" w:rsidP="00F80905">
            <w:pPr>
              <w:pStyle w:val="Sinespaciado"/>
              <w:spacing w:line="276" w:lineRule="auto"/>
              <w:jc w:val="center"/>
              <w:rPr>
                <w:rFonts w:asciiTheme="minorHAnsi" w:hAnsiTheme="minorHAnsi"/>
                <w:sz w:val="28"/>
                <w:szCs w:val="28"/>
              </w:rPr>
            </w:pPr>
            <w:proofErr w:type="gramStart"/>
            <w:r w:rsidRPr="00535E30">
              <w:rPr>
                <w:rFonts w:asciiTheme="minorHAnsi" w:hAnsiTheme="minorHAnsi"/>
                <w:sz w:val="28"/>
                <w:szCs w:val="28"/>
              </w:rPr>
              <w:t>lanzas</w:t>
            </w:r>
            <w:proofErr w:type="gramEnd"/>
            <w:r w:rsidRPr="00535E30">
              <w:rPr>
                <w:rFonts w:asciiTheme="minorHAnsi" w:hAnsiTheme="minorHAnsi"/>
                <w:sz w:val="28"/>
                <w:szCs w:val="28"/>
              </w:rPr>
              <w:t xml:space="preserve"> y sueños tras el deber.</w:t>
            </w:r>
          </w:p>
          <w:p w:rsidR="000C0CEC" w:rsidRPr="00535E30" w:rsidRDefault="000C0CEC" w:rsidP="00F80905">
            <w:pPr>
              <w:pStyle w:val="Sinespaciado"/>
              <w:spacing w:line="276" w:lineRule="auto"/>
              <w:jc w:val="center"/>
              <w:rPr>
                <w:rFonts w:asciiTheme="minorHAnsi" w:hAnsiTheme="minorHAnsi"/>
                <w:sz w:val="28"/>
                <w:szCs w:val="28"/>
              </w:rPr>
            </w:pPr>
          </w:p>
          <w:p w:rsidR="000C0CEC" w:rsidRPr="00535E30" w:rsidRDefault="000C0CEC" w:rsidP="00F80905">
            <w:pPr>
              <w:pStyle w:val="Sinespaciado"/>
              <w:spacing w:line="276" w:lineRule="auto"/>
              <w:jc w:val="center"/>
              <w:rPr>
                <w:rFonts w:asciiTheme="minorHAnsi" w:hAnsiTheme="minorHAnsi"/>
                <w:b/>
                <w:sz w:val="28"/>
                <w:szCs w:val="28"/>
              </w:rPr>
            </w:pPr>
            <w:r w:rsidRPr="00535E30">
              <w:rPr>
                <w:rFonts w:asciiTheme="minorHAnsi" w:hAnsiTheme="minorHAnsi"/>
                <w:b/>
                <w:sz w:val="28"/>
                <w:szCs w:val="28"/>
              </w:rPr>
              <w:t>IV</w:t>
            </w:r>
          </w:p>
          <w:p w:rsidR="000C0CEC" w:rsidRPr="00535E30" w:rsidRDefault="000C0CEC" w:rsidP="00F80905">
            <w:pPr>
              <w:pStyle w:val="Sinespaciado"/>
              <w:spacing w:line="276" w:lineRule="auto"/>
              <w:jc w:val="center"/>
              <w:rPr>
                <w:rFonts w:asciiTheme="minorHAnsi" w:hAnsiTheme="minorHAnsi"/>
                <w:sz w:val="28"/>
                <w:szCs w:val="28"/>
              </w:rPr>
            </w:pPr>
            <w:r w:rsidRPr="00535E30">
              <w:rPr>
                <w:rFonts w:asciiTheme="minorHAnsi" w:hAnsiTheme="minorHAnsi"/>
                <w:sz w:val="28"/>
                <w:szCs w:val="28"/>
              </w:rPr>
              <w:t>Brilla por siempre bajo tu amparo</w:t>
            </w:r>
          </w:p>
          <w:p w:rsidR="000C0CEC" w:rsidRPr="00535E30" w:rsidRDefault="000C0CEC" w:rsidP="00F80905">
            <w:pPr>
              <w:pStyle w:val="Sinespaciado"/>
              <w:spacing w:line="276" w:lineRule="auto"/>
              <w:jc w:val="center"/>
              <w:rPr>
                <w:rFonts w:asciiTheme="minorHAnsi" w:hAnsiTheme="minorHAnsi"/>
                <w:sz w:val="28"/>
                <w:szCs w:val="28"/>
              </w:rPr>
            </w:pPr>
            <w:r w:rsidRPr="00535E30">
              <w:rPr>
                <w:rFonts w:asciiTheme="minorHAnsi" w:hAnsiTheme="minorHAnsi"/>
                <w:sz w:val="28"/>
                <w:szCs w:val="28"/>
              </w:rPr>
              <w:t>beneficiosa luz del saber</w:t>
            </w:r>
          </w:p>
          <w:p w:rsidR="000C0CEC" w:rsidRPr="00535E30" w:rsidRDefault="000C0CEC" w:rsidP="00F80905">
            <w:pPr>
              <w:pStyle w:val="Sinespaciado"/>
              <w:spacing w:line="276" w:lineRule="auto"/>
              <w:jc w:val="center"/>
              <w:rPr>
                <w:rFonts w:asciiTheme="minorHAnsi" w:hAnsiTheme="minorHAnsi"/>
                <w:sz w:val="28"/>
                <w:szCs w:val="28"/>
              </w:rPr>
            </w:pPr>
            <w:r w:rsidRPr="00535E30">
              <w:rPr>
                <w:rFonts w:asciiTheme="minorHAnsi" w:hAnsiTheme="minorHAnsi"/>
                <w:sz w:val="28"/>
                <w:szCs w:val="28"/>
              </w:rPr>
              <w:t>libres caminos tejen la gloria</w:t>
            </w:r>
          </w:p>
          <w:p w:rsidR="000C0CEC" w:rsidRPr="00535E30" w:rsidRDefault="000C0CEC" w:rsidP="00F80905">
            <w:pPr>
              <w:pStyle w:val="Sinespaciado"/>
              <w:spacing w:line="276" w:lineRule="auto"/>
              <w:jc w:val="center"/>
              <w:rPr>
                <w:rFonts w:asciiTheme="minorHAnsi" w:hAnsiTheme="minorHAnsi"/>
                <w:sz w:val="28"/>
                <w:szCs w:val="28"/>
              </w:rPr>
            </w:pPr>
            <w:proofErr w:type="gramStart"/>
            <w:r w:rsidRPr="00535E30">
              <w:rPr>
                <w:rFonts w:asciiTheme="minorHAnsi" w:hAnsiTheme="minorHAnsi"/>
                <w:sz w:val="28"/>
                <w:szCs w:val="28"/>
              </w:rPr>
              <w:t>oda</w:t>
            </w:r>
            <w:proofErr w:type="gramEnd"/>
            <w:r w:rsidRPr="00535E30">
              <w:rPr>
                <w:rFonts w:asciiTheme="minorHAnsi" w:hAnsiTheme="minorHAnsi"/>
                <w:sz w:val="28"/>
                <w:szCs w:val="28"/>
              </w:rPr>
              <w:t xml:space="preserve"> de ciencia, fuerza y poder.</w:t>
            </w:r>
          </w:p>
        </w:tc>
      </w:tr>
    </w:tbl>
    <w:p w:rsidR="000C0CEC" w:rsidRPr="00535E30" w:rsidRDefault="000C0CEC" w:rsidP="00F80905">
      <w:pPr>
        <w:pStyle w:val="Sinespaciado"/>
        <w:spacing w:line="276" w:lineRule="auto"/>
        <w:rPr>
          <w:rFonts w:asciiTheme="minorHAnsi" w:hAnsiTheme="minorHAnsi"/>
          <w:sz w:val="28"/>
          <w:szCs w:val="28"/>
        </w:rPr>
      </w:pPr>
    </w:p>
    <w:p w:rsidR="000C0CEC" w:rsidRPr="00535E30" w:rsidRDefault="000C0CEC" w:rsidP="00F80905">
      <w:pPr>
        <w:pStyle w:val="Sinespaciado"/>
        <w:spacing w:line="276" w:lineRule="auto"/>
        <w:rPr>
          <w:rFonts w:asciiTheme="minorHAnsi" w:hAnsiTheme="minorHAnsi"/>
          <w:sz w:val="28"/>
          <w:szCs w:val="28"/>
        </w:rPr>
      </w:pPr>
    </w:p>
    <w:p w:rsidR="000C0CEC" w:rsidRPr="00535E30" w:rsidRDefault="000C0CEC" w:rsidP="00F80905">
      <w:pPr>
        <w:pStyle w:val="Sinespaciado"/>
        <w:spacing w:line="276" w:lineRule="auto"/>
        <w:rPr>
          <w:rFonts w:asciiTheme="minorHAnsi" w:hAnsiTheme="minorHAnsi"/>
          <w:sz w:val="28"/>
          <w:szCs w:val="28"/>
        </w:rPr>
      </w:pPr>
    </w:p>
    <w:p w:rsidR="000C0CEC" w:rsidRPr="00535E30" w:rsidRDefault="000C0CEC" w:rsidP="00F80905">
      <w:pPr>
        <w:pStyle w:val="Sinespaciado"/>
        <w:spacing w:line="276" w:lineRule="auto"/>
        <w:rPr>
          <w:rFonts w:asciiTheme="minorHAnsi" w:hAnsiTheme="minorHAnsi"/>
          <w:sz w:val="28"/>
          <w:szCs w:val="28"/>
        </w:rPr>
      </w:pPr>
      <w:r w:rsidRPr="00535E30">
        <w:rPr>
          <w:rFonts w:asciiTheme="minorHAnsi" w:hAnsiTheme="minorHAnsi"/>
          <w:b/>
          <w:sz w:val="28"/>
          <w:szCs w:val="28"/>
        </w:rPr>
        <w:t>Música:</w:t>
      </w:r>
      <w:r w:rsidRPr="00535E30">
        <w:rPr>
          <w:rFonts w:asciiTheme="minorHAnsi" w:hAnsiTheme="minorHAnsi"/>
          <w:sz w:val="28"/>
          <w:szCs w:val="28"/>
        </w:rPr>
        <w:t xml:space="preserve"> Aníbal Benavides</w:t>
      </w:r>
    </w:p>
    <w:p w:rsidR="000C0CEC" w:rsidRPr="00535E30" w:rsidRDefault="000C0CEC" w:rsidP="00F80905">
      <w:pPr>
        <w:pStyle w:val="Sinespaciado"/>
        <w:spacing w:line="276" w:lineRule="auto"/>
        <w:rPr>
          <w:rFonts w:asciiTheme="minorHAnsi" w:hAnsiTheme="minorHAnsi"/>
          <w:sz w:val="28"/>
          <w:szCs w:val="28"/>
        </w:rPr>
      </w:pPr>
      <w:r w:rsidRPr="00535E30">
        <w:rPr>
          <w:rFonts w:asciiTheme="minorHAnsi" w:hAnsiTheme="minorHAnsi"/>
          <w:b/>
          <w:sz w:val="28"/>
          <w:szCs w:val="28"/>
        </w:rPr>
        <w:t>Letra:</w:t>
      </w:r>
      <w:r w:rsidRPr="00535E30">
        <w:rPr>
          <w:rFonts w:asciiTheme="minorHAnsi" w:hAnsiTheme="minorHAnsi"/>
          <w:sz w:val="28"/>
          <w:szCs w:val="28"/>
        </w:rPr>
        <w:t xml:space="preserve"> Oscar Eduardo López Estrada</w:t>
      </w:r>
    </w:p>
    <w:p w:rsidR="000C0CEC" w:rsidRPr="00535E30" w:rsidRDefault="000C0CEC" w:rsidP="00F80905">
      <w:pPr>
        <w:spacing w:line="276" w:lineRule="auto"/>
        <w:rPr>
          <w:rFonts w:asciiTheme="minorHAnsi" w:hAnsiTheme="minorHAnsi"/>
          <w:b/>
          <w:sz w:val="24"/>
          <w:szCs w:val="24"/>
        </w:rPr>
      </w:pPr>
    </w:p>
    <w:p w:rsidR="000C0CEC" w:rsidRPr="00535E30" w:rsidRDefault="000C0CEC" w:rsidP="00F80905">
      <w:pPr>
        <w:spacing w:line="276" w:lineRule="auto"/>
        <w:rPr>
          <w:rFonts w:asciiTheme="minorHAnsi" w:hAnsiTheme="minorHAnsi"/>
          <w:b/>
          <w:sz w:val="24"/>
          <w:szCs w:val="24"/>
        </w:rPr>
      </w:pPr>
    </w:p>
    <w:p w:rsidR="000C0CEC" w:rsidRPr="00535E30" w:rsidRDefault="000C0CEC" w:rsidP="00F80905">
      <w:pPr>
        <w:spacing w:line="276" w:lineRule="auto"/>
        <w:rPr>
          <w:rFonts w:asciiTheme="minorHAnsi" w:hAnsiTheme="minorHAnsi"/>
          <w:b/>
          <w:sz w:val="24"/>
          <w:szCs w:val="24"/>
        </w:rPr>
      </w:pPr>
    </w:p>
    <w:p w:rsidR="000C467D" w:rsidRPr="00535E30" w:rsidRDefault="000C467D" w:rsidP="00C0346D">
      <w:pPr>
        <w:pStyle w:val="Ttulo1"/>
        <w:numPr>
          <w:ilvl w:val="0"/>
          <w:numId w:val="21"/>
        </w:numPr>
        <w:spacing w:line="276" w:lineRule="auto"/>
      </w:pPr>
      <w:bookmarkStart w:id="43" w:name="_Toc319421845"/>
      <w:bookmarkStart w:id="44" w:name="_Toc320298341"/>
      <w:bookmarkStart w:id="45" w:name="_Toc347392839"/>
      <w:bookmarkStart w:id="46" w:name="_Toc354671312"/>
      <w:r w:rsidRPr="00535E30">
        <w:lastRenderedPageBreak/>
        <w:t>FINES DEL PLAN DE DESARROLLO INSTITUCIONAL</w:t>
      </w:r>
      <w:bookmarkEnd w:id="43"/>
      <w:bookmarkEnd w:id="44"/>
      <w:bookmarkEnd w:id="45"/>
      <w:bookmarkEnd w:id="46"/>
    </w:p>
    <w:p w:rsidR="00C340EE" w:rsidRPr="00535E30" w:rsidRDefault="00C340EE" w:rsidP="00F80905">
      <w:pPr>
        <w:spacing w:line="276" w:lineRule="auto"/>
        <w:rPr>
          <w:rFonts w:asciiTheme="minorHAnsi" w:hAnsiTheme="minorHAnsi"/>
        </w:rPr>
      </w:pPr>
    </w:p>
    <w:p w:rsidR="00C340EE" w:rsidRPr="00535E30" w:rsidRDefault="00C340EE" w:rsidP="00F80905">
      <w:pPr>
        <w:spacing w:line="276" w:lineRule="auto"/>
        <w:rPr>
          <w:rFonts w:asciiTheme="minorHAnsi" w:hAnsiTheme="minorHAnsi"/>
        </w:rPr>
      </w:pPr>
      <w:r w:rsidRPr="00535E30">
        <w:rPr>
          <w:rFonts w:asciiTheme="minorHAnsi" w:hAnsiTheme="minorHAnsi"/>
        </w:rPr>
        <w:t>El plan de Desarrollo Institucional se enmarcan en el monitoreo de indicadores relacionados con los aspectos sociales por la contribución que realiza la universidad al desarrollo económico, social, sostenible de la región y el desempeño de la universidad para garantizar la alta calidad.</w:t>
      </w:r>
    </w:p>
    <w:p w:rsidR="00C340EE" w:rsidRPr="00535E30" w:rsidRDefault="00C340EE" w:rsidP="00F80905">
      <w:pPr>
        <w:spacing w:line="276" w:lineRule="auto"/>
        <w:rPr>
          <w:rFonts w:asciiTheme="minorHAnsi" w:hAnsiTheme="minorHAnsi"/>
        </w:rPr>
      </w:pPr>
      <w:r w:rsidRPr="00535E30">
        <w:rPr>
          <w:rFonts w:asciiTheme="minorHAnsi" w:hAnsiTheme="minorHAnsi"/>
        </w:rPr>
        <w:t xml:space="preserve">Su propósito es crear conciencia de la importancia de colocar la educación superior, la ciencia, la tecnología y la innovación en la agenda de desarrollo como mecanismo para la transformación social. </w:t>
      </w:r>
    </w:p>
    <w:p w:rsidR="00C340EE" w:rsidRPr="00535E30" w:rsidRDefault="00C340EE" w:rsidP="00F80905">
      <w:pPr>
        <w:spacing w:line="276" w:lineRule="auto"/>
        <w:rPr>
          <w:rFonts w:asciiTheme="minorHAnsi" w:hAnsiTheme="minorHAnsi"/>
        </w:rPr>
      </w:pPr>
      <w:r w:rsidRPr="00535E30">
        <w:rPr>
          <w:rFonts w:asciiTheme="minorHAnsi" w:hAnsiTheme="minorHAnsi"/>
        </w:rPr>
        <w:t>Los fines del Plan de Desarrollo Institucional:</w:t>
      </w:r>
    </w:p>
    <w:p w:rsidR="00C340EE" w:rsidRPr="00535E30" w:rsidRDefault="00C340EE" w:rsidP="00F80905">
      <w:pPr>
        <w:spacing w:after="0" w:line="276" w:lineRule="auto"/>
        <w:rPr>
          <w:rFonts w:asciiTheme="minorHAnsi" w:hAnsiTheme="minorHAnsi" w:cs="Arial"/>
        </w:rPr>
      </w:pPr>
    </w:p>
    <w:p w:rsidR="00C340EE" w:rsidRPr="00535E30" w:rsidRDefault="000E4B39" w:rsidP="00F80905">
      <w:pPr>
        <w:spacing w:after="0" w:line="276" w:lineRule="auto"/>
        <w:jc w:val="center"/>
        <w:rPr>
          <w:rFonts w:asciiTheme="minorHAnsi" w:hAnsiTheme="minorHAnsi" w:cs="Arial"/>
        </w:rPr>
      </w:pPr>
      <w:r>
        <w:rPr>
          <w:rFonts w:asciiTheme="minorHAnsi" w:hAnsiTheme="minorHAnsi"/>
          <w:noProof/>
          <w:lang w:val="es-CO" w:eastAsia="es-CO"/>
        </w:rPr>
        <w:pict>
          <v:rect id="Rectangle 94" o:spid="_x0000_s1027" style="position:absolute;left:0;text-align:left;margin-left:-1.05pt;margin-top:65.95pt;width:111pt;height:167.25pt;z-index:25174528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">
            <v:textbox>
              <w:txbxContent>
                <w:p w:rsidR="00EB79AD" w:rsidRPr="004032A7" w:rsidRDefault="00EB79AD" w:rsidP="00C340EE">
                  <w:pPr>
                    <w:jc w:val="center"/>
                    <w:rPr>
                      <w:b/>
                      <w:sz w:val="20"/>
                      <w:szCs w:val="20"/>
                      <w:lang w:val="es-CO"/>
                    </w:rPr>
                  </w:pPr>
                  <w:r w:rsidRPr="004032A7">
                    <w:rPr>
                      <w:b/>
                      <w:sz w:val="20"/>
                      <w:szCs w:val="20"/>
                      <w:lang w:val="es-CO"/>
                    </w:rPr>
                    <w:t>Realizar aportes en el</w:t>
                  </w:r>
                  <w:r>
                    <w:rPr>
                      <w:b/>
                      <w:sz w:val="20"/>
                      <w:szCs w:val="20"/>
                      <w:lang w:val="es-CO"/>
                    </w:rPr>
                    <w:t xml:space="preserve"> </w:t>
                  </w:r>
                  <w:r w:rsidRPr="004032A7">
                    <w:rPr>
                      <w:b/>
                      <w:sz w:val="20"/>
                      <w:szCs w:val="20"/>
                      <w:lang w:val="es-CO"/>
                    </w:rPr>
                    <w:t>desarrollo social, económico, competitivo, científico, tecnológico y financiero enmarcado dentro del respeto y la ética.</w:t>
                  </w:r>
                </w:p>
              </w:txbxContent>
            </v:textbox>
          </v:rect>
        </w:pict>
      </w:r>
      <w:r w:rsidR="00C340EE" w:rsidRPr="00535E30">
        <w:rPr>
          <w:rFonts w:asciiTheme="minorHAnsi" w:hAnsiTheme="minorHAnsi" w:cs="Arial"/>
          <w:noProof/>
          <w:lang w:val="es-CO" w:eastAsia="es-CO"/>
        </w:rPr>
        <w:drawing>
          <wp:inline distT="0" distB="0" distL="0" distR="0">
            <wp:extent cx="5595020" cy="4476750"/>
            <wp:effectExtent l="19050" t="0" r="5680" b="0"/>
            <wp:docPr id="38" name="Imagen 1" descr="diagram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agrama1"/>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b="-2495"/>
                    <a:stretch/>
                  </pic:blipFill>
                  <pic:spPr bwMode="auto">
                    <a:xfrm>
                      <a:off x="0" y="0"/>
                      <a:ext cx="5600700" cy="4481295"/>
                    </a:xfrm>
                    <a:prstGeom prst="rect">
                      <a:avLst/>
                    </a:prstGeom>
                    <a:noFill/>
                    <a:ln>
                      <a:noFill/>
                    </a:ln>
                    <a:extLst>
                      <a:ext uri="{53640926-AAD7-44D8-BBD7-CCE9431645EC}">
                        <a14:shadowObscured xmlns:a14="http://schemas.microsoft.com/office/drawing/2010/main"/>
                      </a:ext>
                    </a:extLst>
                  </pic:spPr>
                </pic:pic>
              </a:graphicData>
            </a:graphic>
          </wp:inline>
        </w:drawing>
      </w:r>
    </w:p>
    <w:p w:rsidR="00C340EE" w:rsidRPr="00535E30" w:rsidRDefault="00C340EE" w:rsidP="00F80905">
      <w:pPr>
        <w:spacing w:after="0" w:line="276" w:lineRule="auto"/>
        <w:rPr>
          <w:rFonts w:asciiTheme="minorHAnsi" w:hAnsiTheme="minorHAnsi" w:cs="Arial"/>
        </w:rPr>
      </w:pPr>
    </w:p>
    <w:p w:rsidR="00C340EE" w:rsidRPr="00535E30" w:rsidRDefault="00C340EE" w:rsidP="00F80905">
      <w:pPr>
        <w:spacing w:after="0" w:line="276" w:lineRule="auto"/>
        <w:rPr>
          <w:rFonts w:asciiTheme="minorHAnsi" w:hAnsiTheme="minorHAnsi" w:cs="Arial"/>
          <w:highlight w:val="yellow"/>
        </w:rPr>
      </w:pPr>
    </w:p>
    <w:p w:rsidR="00C340EE" w:rsidRPr="00535E30" w:rsidRDefault="00C340EE" w:rsidP="00F80905">
      <w:pPr>
        <w:spacing w:after="0" w:line="276" w:lineRule="auto"/>
        <w:jc w:val="left"/>
        <w:rPr>
          <w:rFonts w:asciiTheme="minorHAnsi" w:hAnsiTheme="minorHAnsi" w:cs="Arial"/>
          <w:b/>
        </w:rPr>
      </w:pPr>
      <w:r w:rsidRPr="00535E30">
        <w:rPr>
          <w:rFonts w:asciiTheme="minorHAnsi" w:hAnsiTheme="minorHAnsi" w:cs="Arial"/>
          <w:b/>
        </w:rPr>
        <w:br w:type="page"/>
      </w:r>
    </w:p>
    <w:p w:rsidR="00C340EE" w:rsidRPr="000374B4" w:rsidRDefault="00C340EE" w:rsidP="00F80905">
      <w:pPr>
        <w:spacing w:after="0" w:line="276" w:lineRule="auto"/>
        <w:jc w:val="center"/>
        <w:rPr>
          <w:rFonts w:asciiTheme="minorHAnsi" w:hAnsiTheme="minorHAnsi" w:cs="Arial"/>
          <w:b/>
          <w:sz w:val="28"/>
        </w:rPr>
      </w:pPr>
      <w:r w:rsidRPr="000374B4">
        <w:rPr>
          <w:rFonts w:asciiTheme="minorHAnsi" w:hAnsiTheme="minorHAnsi" w:cs="Arial"/>
          <w:b/>
          <w:sz w:val="28"/>
        </w:rPr>
        <w:lastRenderedPageBreak/>
        <w:t>Monitoreo de los Fines del Plan de Desarrollo Institucional</w:t>
      </w:r>
    </w:p>
    <w:p w:rsidR="00C340EE" w:rsidRPr="00535E30" w:rsidRDefault="00C340EE" w:rsidP="00F80905">
      <w:pPr>
        <w:spacing w:after="0" w:line="276" w:lineRule="auto"/>
        <w:jc w:val="center"/>
        <w:rPr>
          <w:rFonts w:asciiTheme="minorHAnsi" w:hAnsiTheme="minorHAnsi" w:cs="Arial"/>
          <w:b/>
          <w:highlight w:val="yellow"/>
        </w:rPr>
      </w:pPr>
    </w:p>
    <w:tbl>
      <w:tblPr>
        <w:tblW w:w="898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4A0" w:firstRow="1" w:lastRow="0" w:firstColumn="1" w:lastColumn="0" w:noHBand="0" w:noVBand="1"/>
      </w:tblPr>
      <w:tblGrid>
        <w:gridCol w:w="1845"/>
        <w:gridCol w:w="4420"/>
        <w:gridCol w:w="2720"/>
      </w:tblGrid>
      <w:tr w:rsidR="00C340EE" w:rsidRPr="00535E30" w:rsidTr="00C340EE">
        <w:trPr>
          <w:trHeight w:val="20"/>
        </w:trPr>
        <w:tc>
          <w:tcPr>
            <w:tcW w:w="1845" w:type="dxa"/>
            <w:shd w:val="clear" w:color="auto" w:fill="B9CDE5"/>
            <w:tcMar>
              <w:top w:w="72" w:type="dxa"/>
              <w:left w:w="144" w:type="dxa"/>
              <w:bottom w:w="72" w:type="dxa"/>
              <w:right w:w="144" w:type="dxa"/>
            </w:tcMar>
            <w:vAlign w:val="center"/>
            <w:hideMark/>
          </w:tcPr>
          <w:p w:rsidR="00C340EE" w:rsidRPr="00535E30" w:rsidRDefault="00C340EE" w:rsidP="00F80905">
            <w:pPr>
              <w:spacing w:after="0" w:line="276" w:lineRule="auto"/>
              <w:jc w:val="center"/>
              <w:rPr>
                <w:rFonts w:asciiTheme="minorHAnsi" w:hAnsiTheme="minorHAnsi" w:cs="Arial"/>
                <w:b/>
                <w:sz w:val="20"/>
                <w:szCs w:val="20"/>
              </w:rPr>
            </w:pPr>
          </w:p>
        </w:tc>
        <w:tc>
          <w:tcPr>
            <w:tcW w:w="4420" w:type="dxa"/>
            <w:shd w:val="clear" w:color="auto" w:fill="B9CDE5"/>
            <w:tcMar>
              <w:top w:w="72" w:type="dxa"/>
              <w:left w:w="144" w:type="dxa"/>
              <w:bottom w:w="72" w:type="dxa"/>
              <w:right w:w="144" w:type="dxa"/>
            </w:tcMar>
            <w:hideMark/>
          </w:tcPr>
          <w:p w:rsidR="00C340EE" w:rsidRPr="00535E30" w:rsidRDefault="00C340EE" w:rsidP="00F80905">
            <w:pPr>
              <w:spacing w:after="0" w:line="276" w:lineRule="auto"/>
              <w:jc w:val="center"/>
              <w:rPr>
                <w:rFonts w:asciiTheme="minorHAnsi" w:hAnsiTheme="minorHAnsi" w:cs="Arial"/>
                <w:b/>
                <w:sz w:val="20"/>
                <w:szCs w:val="20"/>
              </w:rPr>
            </w:pPr>
            <w:r w:rsidRPr="00535E30">
              <w:rPr>
                <w:rFonts w:asciiTheme="minorHAnsi" w:hAnsiTheme="minorHAnsi" w:cs="Arial"/>
                <w:b/>
                <w:bCs/>
                <w:sz w:val="20"/>
                <w:szCs w:val="20"/>
                <w:lang w:val="es-MX"/>
              </w:rPr>
              <w:t>Indicadores de Impacto</w:t>
            </w:r>
            <w:r w:rsidRPr="00535E30">
              <w:rPr>
                <w:rFonts w:asciiTheme="minorHAnsi" w:hAnsiTheme="minorHAnsi" w:cs="Arial"/>
                <w:b/>
                <w:bCs/>
                <w:sz w:val="20"/>
                <w:szCs w:val="20"/>
              </w:rPr>
              <w:t xml:space="preserve"> </w:t>
            </w:r>
          </w:p>
        </w:tc>
        <w:tc>
          <w:tcPr>
            <w:tcW w:w="2720" w:type="dxa"/>
            <w:shd w:val="clear" w:color="auto" w:fill="B9CDE5"/>
            <w:tcMar>
              <w:top w:w="72" w:type="dxa"/>
              <w:left w:w="144" w:type="dxa"/>
              <w:bottom w:w="72" w:type="dxa"/>
              <w:right w:w="144" w:type="dxa"/>
            </w:tcMar>
            <w:hideMark/>
          </w:tcPr>
          <w:p w:rsidR="00C340EE" w:rsidRPr="00535E30" w:rsidRDefault="00C340EE" w:rsidP="00F80905">
            <w:pPr>
              <w:spacing w:after="0" w:line="276" w:lineRule="auto"/>
              <w:jc w:val="center"/>
              <w:rPr>
                <w:rFonts w:asciiTheme="minorHAnsi" w:hAnsiTheme="minorHAnsi" w:cs="Arial"/>
                <w:b/>
                <w:sz w:val="20"/>
                <w:szCs w:val="20"/>
              </w:rPr>
            </w:pPr>
            <w:r w:rsidRPr="00535E30">
              <w:rPr>
                <w:rFonts w:asciiTheme="minorHAnsi" w:hAnsiTheme="minorHAnsi" w:cs="Arial"/>
                <w:b/>
                <w:bCs/>
                <w:sz w:val="20"/>
                <w:szCs w:val="20"/>
                <w:lang w:val="es-CO"/>
              </w:rPr>
              <w:t>Medición</w:t>
            </w:r>
            <w:r w:rsidRPr="00535E30">
              <w:rPr>
                <w:rFonts w:asciiTheme="minorHAnsi" w:hAnsiTheme="minorHAnsi" w:cs="Arial"/>
                <w:b/>
                <w:bCs/>
                <w:sz w:val="20"/>
                <w:szCs w:val="20"/>
              </w:rPr>
              <w:t xml:space="preserve"> </w:t>
            </w:r>
          </w:p>
        </w:tc>
      </w:tr>
      <w:tr w:rsidR="00C340EE" w:rsidRPr="00535E30" w:rsidTr="0020511F">
        <w:trPr>
          <w:trHeight w:val="20"/>
        </w:trPr>
        <w:tc>
          <w:tcPr>
            <w:tcW w:w="1845" w:type="dxa"/>
            <w:vMerge w:val="restart"/>
            <w:shd w:val="clear" w:color="auto" w:fill="FFFFFF"/>
            <w:tcMar>
              <w:top w:w="72" w:type="dxa"/>
              <w:left w:w="144" w:type="dxa"/>
              <w:bottom w:w="72" w:type="dxa"/>
              <w:right w:w="144" w:type="dxa"/>
            </w:tcMar>
            <w:vAlign w:val="center"/>
            <w:hideMark/>
          </w:tcPr>
          <w:p w:rsidR="00C340EE" w:rsidRPr="00535E30" w:rsidRDefault="00C340EE" w:rsidP="00F80905">
            <w:pPr>
              <w:spacing w:after="0" w:line="276" w:lineRule="auto"/>
              <w:jc w:val="center"/>
              <w:rPr>
                <w:rFonts w:asciiTheme="minorHAnsi" w:hAnsiTheme="minorHAnsi" w:cs="Arial"/>
                <w:b/>
                <w:sz w:val="20"/>
                <w:szCs w:val="20"/>
              </w:rPr>
            </w:pPr>
            <w:r w:rsidRPr="00535E30">
              <w:rPr>
                <w:rFonts w:asciiTheme="minorHAnsi" w:hAnsiTheme="minorHAnsi" w:cs="Arial"/>
                <w:b/>
                <w:bCs/>
                <w:sz w:val="20"/>
                <w:szCs w:val="20"/>
                <w:lang w:val="es-MX"/>
              </w:rPr>
              <w:t>Contribuir al Desarrollo Económico Social y sostenible (Monitoreo)</w:t>
            </w:r>
            <w:r w:rsidRPr="00535E30">
              <w:rPr>
                <w:rFonts w:asciiTheme="minorHAnsi" w:hAnsiTheme="minorHAnsi" w:cs="Arial"/>
                <w:b/>
                <w:bCs/>
                <w:sz w:val="20"/>
                <w:szCs w:val="20"/>
              </w:rPr>
              <w:t xml:space="preserve"> </w:t>
            </w:r>
          </w:p>
        </w:tc>
        <w:tc>
          <w:tcPr>
            <w:tcW w:w="4420" w:type="dxa"/>
            <w:shd w:val="clear" w:color="auto" w:fill="auto"/>
            <w:tcMar>
              <w:top w:w="72" w:type="dxa"/>
              <w:left w:w="144" w:type="dxa"/>
              <w:bottom w:w="72" w:type="dxa"/>
              <w:right w:w="144" w:type="dxa"/>
            </w:tcMar>
            <w:hideMark/>
          </w:tcPr>
          <w:p w:rsidR="00C340EE" w:rsidRPr="00535E30" w:rsidRDefault="00C340EE" w:rsidP="00F80905">
            <w:pPr>
              <w:spacing w:after="0" w:line="276" w:lineRule="auto"/>
              <w:jc w:val="center"/>
              <w:rPr>
                <w:rFonts w:asciiTheme="minorHAnsi" w:hAnsiTheme="minorHAnsi" w:cs="Arial"/>
                <w:b/>
                <w:sz w:val="20"/>
                <w:szCs w:val="20"/>
              </w:rPr>
            </w:pPr>
            <w:r w:rsidRPr="00535E30">
              <w:rPr>
                <w:rFonts w:asciiTheme="minorHAnsi" w:hAnsiTheme="minorHAnsi" w:cs="Arial"/>
                <w:b/>
                <w:sz w:val="20"/>
                <w:szCs w:val="20"/>
                <w:lang w:val="es-MX"/>
              </w:rPr>
              <w:t>Necesidades Básicas Insatisfechas (2010)</w:t>
            </w:r>
          </w:p>
        </w:tc>
        <w:tc>
          <w:tcPr>
            <w:tcW w:w="2720" w:type="dxa"/>
            <w:shd w:val="clear" w:color="auto" w:fill="auto"/>
            <w:tcMar>
              <w:top w:w="72" w:type="dxa"/>
              <w:left w:w="144" w:type="dxa"/>
              <w:bottom w:w="72" w:type="dxa"/>
              <w:right w:w="144" w:type="dxa"/>
            </w:tcMar>
            <w:hideMark/>
          </w:tcPr>
          <w:p w:rsidR="00C340EE" w:rsidRPr="00535E30" w:rsidRDefault="00C340EE" w:rsidP="00F80905">
            <w:pPr>
              <w:spacing w:after="0" w:line="276" w:lineRule="auto"/>
              <w:jc w:val="center"/>
              <w:rPr>
                <w:rFonts w:asciiTheme="minorHAnsi" w:hAnsiTheme="minorHAnsi" w:cs="Arial"/>
                <w:b/>
                <w:sz w:val="20"/>
                <w:szCs w:val="20"/>
              </w:rPr>
            </w:pPr>
            <w:r w:rsidRPr="00535E30">
              <w:rPr>
                <w:rFonts w:asciiTheme="minorHAnsi" w:hAnsiTheme="minorHAnsi" w:cs="Arial"/>
                <w:b/>
                <w:sz w:val="20"/>
                <w:szCs w:val="20"/>
                <w:lang w:val="es-CO"/>
              </w:rPr>
              <w:t>13,37 (PEI)</w:t>
            </w:r>
            <w:r w:rsidRPr="00535E30">
              <w:rPr>
                <w:rFonts w:asciiTheme="minorHAnsi" w:hAnsiTheme="minorHAnsi" w:cs="Arial"/>
                <w:b/>
                <w:sz w:val="20"/>
                <w:szCs w:val="20"/>
              </w:rPr>
              <w:t xml:space="preserve"> </w:t>
            </w:r>
            <w:r w:rsidR="0020511F">
              <w:rPr>
                <w:rFonts w:asciiTheme="minorHAnsi" w:hAnsiTheme="minorHAnsi" w:cs="Arial"/>
                <w:b/>
                <w:sz w:val="20"/>
                <w:szCs w:val="20"/>
              </w:rPr>
              <w:t>– 27,78 (Nación)</w:t>
            </w:r>
          </w:p>
        </w:tc>
      </w:tr>
      <w:tr w:rsidR="00C340EE" w:rsidRPr="00535E30" w:rsidTr="0020511F">
        <w:trPr>
          <w:trHeight w:val="20"/>
        </w:trPr>
        <w:tc>
          <w:tcPr>
            <w:tcW w:w="1845" w:type="dxa"/>
            <w:vMerge/>
            <w:vAlign w:val="center"/>
            <w:hideMark/>
          </w:tcPr>
          <w:p w:rsidR="00C340EE" w:rsidRPr="00535E30" w:rsidRDefault="00C340EE" w:rsidP="00F80905">
            <w:pPr>
              <w:spacing w:after="0" w:line="276" w:lineRule="auto"/>
              <w:jc w:val="center"/>
              <w:rPr>
                <w:rFonts w:asciiTheme="minorHAnsi" w:hAnsiTheme="minorHAnsi" w:cs="Arial"/>
                <w:b/>
                <w:sz w:val="20"/>
                <w:szCs w:val="20"/>
              </w:rPr>
            </w:pPr>
          </w:p>
        </w:tc>
        <w:tc>
          <w:tcPr>
            <w:tcW w:w="4420" w:type="dxa"/>
            <w:shd w:val="clear" w:color="auto" w:fill="auto"/>
            <w:tcMar>
              <w:top w:w="72" w:type="dxa"/>
              <w:left w:w="144" w:type="dxa"/>
              <w:bottom w:w="72" w:type="dxa"/>
              <w:right w:w="144" w:type="dxa"/>
            </w:tcMar>
            <w:hideMark/>
          </w:tcPr>
          <w:p w:rsidR="00C340EE" w:rsidRPr="00535E30" w:rsidRDefault="00C340EE" w:rsidP="00F80905">
            <w:pPr>
              <w:spacing w:after="0" w:line="276" w:lineRule="auto"/>
              <w:jc w:val="center"/>
              <w:rPr>
                <w:rFonts w:asciiTheme="minorHAnsi" w:hAnsiTheme="minorHAnsi" w:cs="Arial"/>
                <w:b/>
                <w:sz w:val="20"/>
                <w:szCs w:val="20"/>
              </w:rPr>
            </w:pPr>
            <w:r w:rsidRPr="00535E30">
              <w:rPr>
                <w:rFonts w:asciiTheme="minorHAnsi" w:hAnsiTheme="minorHAnsi" w:cs="Arial"/>
                <w:b/>
                <w:sz w:val="20"/>
                <w:szCs w:val="20"/>
                <w:lang w:val="es-MX"/>
              </w:rPr>
              <w:t>Índice de GINI (2011)</w:t>
            </w:r>
            <w:r w:rsidRPr="00535E30">
              <w:rPr>
                <w:rFonts w:asciiTheme="minorHAnsi" w:hAnsiTheme="minorHAnsi" w:cs="Arial"/>
                <w:b/>
                <w:sz w:val="20"/>
                <w:szCs w:val="20"/>
              </w:rPr>
              <w:t xml:space="preserve"> </w:t>
            </w:r>
          </w:p>
        </w:tc>
        <w:tc>
          <w:tcPr>
            <w:tcW w:w="2720" w:type="dxa"/>
            <w:shd w:val="clear" w:color="auto" w:fill="auto"/>
            <w:tcMar>
              <w:top w:w="72" w:type="dxa"/>
              <w:left w:w="144" w:type="dxa"/>
              <w:bottom w:w="72" w:type="dxa"/>
              <w:right w:w="144" w:type="dxa"/>
            </w:tcMar>
            <w:hideMark/>
          </w:tcPr>
          <w:p w:rsidR="00C340EE" w:rsidRPr="00535E30" w:rsidRDefault="001418FB" w:rsidP="00F80905">
            <w:pPr>
              <w:spacing w:after="0" w:line="276" w:lineRule="auto"/>
              <w:jc w:val="center"/>
              <w:rPr>
                <w:rFonts w:asciiTheme="minorHAnsi" w:hAnsiTheme="minorHAnsi" w:cs="Arial"/>
                <w:b/>
                <w:sz w:val="20"/>
                <w:szCs w:val="20"/>
              </w:rPr>
            </w:pPr>
            <w:r w:rsidRPr="001418FB">
              <w:rPr>
                <w:rFonts w:asciiTheme="minorHAnsi" w:hAnsiTheme="minorHAnsi" w:cs="Arial"/>
                <w:b/>
                <w:sz w:val="20"/>
                <w:szCs w:val="20"/>
              </w:rPr>
              <w:t>0,56 (PEI) – 0,54 (Nación)</w:t>
            </w:r>
          </w:p>
        </w:tc>
      </w:tr>
      <w:tr w:rsidR="00C340EE" w:rsidRPr="00535E30" w:rsidTr="004204F2">
        <w:trPr>
          <w:trHeight w:val="20"/>
        </w:trPr>
        <w:tc>
          <w:tcPr>
            <w:tcW w:w="1845" w:type="dxa"/>
            <w:vMerge/>
            <w:vAlign w:val="center"/>
            <w:hideMark/>
          </w:tcPr>
          <w:p w:rsidR="00C340EE" w:rsidRPr="00535E30" w:rsidRDefault="00C340EE" w:rsidP="00F80905">
            <w:pPr>
              <w:spacing w:after="0" w:line="276" w:lineRule="auto"/>
              <w:jc w:val="center"/>
              <w:rPr>
                <w:rFonts w:asciiTheme="minorHAnsi" w:hAnsiTheme="minorHAnsi" w:cs="Arial"/>
                <w:b/>
                <w:sz w:val="20"/>
                <w:szCs w:val="20"/>
              </w:rPr>
            </w:pPr>
          </w:p>
        </w:tc>
        <w:tc>
          <w:tcPr>
            <w:tcW w:w="4420" w:type="dxa"/>
            <w:shd w:val="clear" w:color="auto" w:fill="auto"/>
            <w:tcMar>
              <w:top w:w="72" w:type="dxa"/>
              <w:left w:w="144" w:type="dxa"/>
              <w:bottom w:w="72" w:type="dxa"/>
              <w:right w:w="144" w:type="dxa"/>
            </w:tcMar>
            <w:hideMark/>
          </w:tcPr>
          <w:p w:rsidR="00C340EE" w:rsidRPr="00535E30" w:rsidRDefault="00C340EE" w:rsidP="00F80905">
            <w:pPr>
              <w:spacing w:after="0" w:line="276" w:lineRule="auto"/>
              <w:jc w:val="center"/>
              <w:rPr>
                <w:rFonts w:asciiTheme="minorHAnsi" w:hAnsiTheme="minorHAnsi" w:cs="Arial"/>
                <w:b/>
                <w:sz w:val="20"/>
                <w:szCs w:val="20"/>
              </w:rPr>
            </w:pPr>
            <w:r w:rsidRPr="00535E30">
              <w:rPr>
                <w:rFonts w:asciiTheme="minorHAnsi" w:hAnsiTheme="minorHAnsi" w:cs="Arial"/>
                <w:b/>
                <w:sz w:val="20"/>
                <w:szCs w:val="20"/>
                <w:lang w:val="es-MX"/>
              </w:rPr>
              <w:t>Línea de Pobreza (2011)</w:t>
            </w:r>
            <w:r w:rsidRPr="00535E30">
              <w:rPr>
                <w:rFonts w:asciiTheme="minorHAnsi" w:hAnsiTheme="minorHAnsi" w:cs="Arial"/>
                <w:b/>
                <w:sz w:val="20"/>
                <w:szCs w:val="20"/>
              </w:rPr>
              <w:t xml:space="preserve"> </w:t>
            </w:r>
          </w:p>
        </w:tc>
        <w:tc>
          <w:tcPr>
            <w:tcW w:w="2720" w:type="dxa"/>
            <w:shd w:val="clear" w:color="auto" w:fill="auto"/>
            <w:tcMar>
              <w:top w:w="72" w:type="dxa"/>
              <w:left w:w="144" w:type="dxa"/>
              <w:bottom w:w="72" w:type="dxa"/>
              <w:right w:w="144" w:type="dxa"/>
            </w:tcMar>
            <w:hideMark/>
          </w:tcPr>
          <w:p w:rsidR="00C340EE" w:rsidRPr="00535E30" w:rsidRDefault="001418FB" w:rsidP="001418FB">
            <w:pPr>
              <w:spacing w:after="0" w:line="276" w:lineRule="auto"/>
              <w:jc w:val="center"/>
              <w:rPr>
                <w:rFonts w:asciiTheme="minorHAnsi" w:hAnsiTheme="minorHAnsi" w:cs="Arial"/>
                <w:b/>
                <w:sz w:val="20"/>
                <w:szCs w:val="20"/>
              </w:rPr>
            </w:pPr>
            <w:r w:rsidRPr="001418FB">
              <w:rPr>
                <w:rFonts w:asciiTheme="minorHAnsi" w:hAnsiTheme="minorHAnsi" w:cs="Arial"/>
                <w:b/>
                <w:sz w:val="20"/>
                <w:szCs w:val="20"/>
                <w:lang w:val="es-CO"/>
              </w:rPr>
              <w:t>21,9 (PEI) – 27,0 (Nación)</w:t>
            </w:r>
          </w:p>
        </w:tc>
      </w:tr>
      <w:tr w:rsidR="00C340EE" w:rsidRPr="00535E30" w:rsidTr="0020511F">
        <w:trPr>
          <w:trHeight w:val="20"/>
        </w:trPr>
        <w:tc>
          <w:tcPr>
            <w:tcW w:w="1845" w:type="dxa"/>
            <w:vMerge/>
            <w:vAlign w:val="center"/>
            <w:hideMark/>
          </w:tcPr>
          <w:p w:rsidR="00C340EE" w:rsidRPr="00535E30" w:rsidRDefault="00C340EE" w:rsidP="00F80905">
            <w:pPr>
              <w:spacing w:after="0" w:line="276" w:lineRule="auto"/>
              <w:jc w:val="center"/>
              <w:rPr>
                <w:rFonts w:asciiTheme="minorHAnsi" w:hAnsiTheme="minorHAnsi" w:cs="Arial"/>
                <w:b/>
                <w:sz w:val="20"/>
                <w:szCs w:val="20"/>
              </w:rPr>
            </w:pPr>
          </w:p>
        </w:tc>
        <w:tc>
          <w:tcPr>
            <w:tcW w:w="4420" w:type="dxa"/>
            <w:shd w:val="clear" w:color="auto" w:fill="auto"/>
            <w:tcMar>
              <w:top w:w="72" w:type="dxa"/>
              <w:left w:w="144" w:type="dxa"/>
              <w:bottom w:w="72" w:type="dxa"/>
              <w:right w:w="144" w:type="dxa"/>
            </w:tcMar>
            <w:hideMark/>
          </w:tcPr>
          <w:p w:rsidR="00C340EE" w:rsidRPr="00535E30" w:rsidRDefault="00C340EE" w:rsidP="00F80905">
            <w:pPr>
              <w:spacing w:after="0" w:line="276" w:lineRule="auto"/>
              <w:jc w:val="center"/>
              <w:rPr>
                <w:rFonts w:asciiTheme="minorHAnsi" w:hAnsiTheme="minorHAnsi" w:cs="Arial"/>
                <w:b/>
                <w:sz w:val="20"/>
                <w:szCs w:val="20"/>
              </w:rPr>
            </w:pPr>
            <w:r w:rsidRPr="00535E30">
              <w:rPr>
                <w:rFonts w:asciiTheme="minorHAnsi" w:hAnsiTheme="minorHAnsi" w:cs="Arial"/>
                <w:b/>
                <w:sz w:val="20"/>
                <w:szCs w:val="20"/>
                <w:lang w:val="es-MX"/>
              </w:rPr>
              <w:t>Índice de Desarrollo Humano (2011)</w:t>
            </w:r>
            <w:r w:rsidRPr="00535E30">
              <w:rPr>
                <w:rFonts w:asciiTheme="minorHAnsi" w:hAnsiTheme="minorHAnsi" w:cs="Arial"/>
                <w:b/>
                <w:sz w:val="20"/>
                <w:szCs w:val="20"/>
              </w:rPr>
              <w:t xml:space="preserve"> </w:t>
            </w:r>
          </w:p>
        </w:tc>
        <w:tc>
          <w:tcPr>
            <w:tcW w:w="2720" w:type="dxa"/>
            <w:shd w:val="clear" w:color="auto" w:fill="auto"/>
            <w:tcMar>
              <w:top w:w="72" w:type="dxa"/>
              <w:left w:w="144" w:type="dxa"/>
              <w:bottom w:w="72" w:type="dxa"/>
              <w:right w:w="144" w:type="dxa"/>
            </w:tcMar>
            <w:hideMark/>
          </w:tcPr>
          <w:p w:rsidR="00C340EE" w:rsidRPr="00535E30" w:rsidRDefault="0020511F" w:rsidP="00F80905">
            <w:pPr>
              <w:spacing w:after="0" w:line="276" w:lineRule="auto"/>
              <w:jc w:val="center"/>
              <w:rPr>
                <w:rFonts w:asciiTheme="minorHAnsi" w:hAnsiTheme="minorHAnsi" w:cs="Arial"/>
                <w:b/>
                <w:sz w:val="20"/>
                <w:szCs w:val="20"/>
              </w:rPr>
            </w:pPr>
            <w:r>
              <w:rPr>
                <w:rFonts w:asciiTheme="minorHAnsi" w:hAnsiTheme="minorHAnsi" w:cs="Arial"/>
                <w:b/>
                <w:sz w:val="20"/>
                <w:szCs w:val="20"/>
                <w:lang w:val="es-CO"/>
              </w:rPr>
              <w:t xml:space="preserve">0,74 (PEI 2008) - </w:t>
            </w:r>
            <w:r w:rsidR="00C340EE" w:rsidRPr="00535E30">
              <w:rPr>
                <w:rFonts w:asciiTheme="minorHAnsi" w:hAnsiTheme="minorHAnsi" w:cs="Arial"/>
                <w:b/>
                <w:sz w:val="20"/>
                <w:szCs w:val="20"/>
                <w:lang w:val="es-CO"/>
              </w:rPr>
              <w:t>0,71 (COL)</w:t>
            </w:r>
          </w:p>
        </w:tc>
      </w:tr>
      <w:tr w:rsidR="00C340EE" w:rsidRPr="00535E30" w:rsidTr="00084736">
        <w:trPr>
          <w:trHeight w:val="20"/>
        </w:trPr>
        <w:tc>
          <w:tcPr>
            <w:tcW w:w="1845" w:type="dxa"/>
            <w:vMerge/>
            <w:vAlign w:val="center"/>
            <w:hideMark/>
          </w:tcPr>
          <w:p w:rsidR="00C340EE" w:rsidRPr="00535E30" w:rsidRDefault="00C340EE" w:rsidP="00F80905">
            <w:pPr>
              <w:spacing w:after="0" w:line="276" w:lineRule="auto"/>
              <w:jc w:val="center"/>
              <w:rPr>
                <w:rFonts w:asciiTheme="minorHAnsi" w:hAnsiTheme="minorHAnsi" w:cs="Arial"/>
                <w:b/>
                <w:sz w:val="20"/>
                <w:szCs w:val="20"/>
              </w:rPr>
            </w:pPr>
          </w:p>
        </w:tc>
        <w:tc>
          <w:tcPr>
            <w:tcW w:w="4420" w:type="dxa"/>
            <w:shd w:val="clear" w:color="auto" w:fill="auto"/>
            <w:tcMar>
              <w:top w:w="72" w:type="dxa"/>
              <w:left w:w="144" w:type="dxa"/>
              <w:bottom w:w="72" w:type="dxa"/>
              <w:right w:w="144" w:type="dxa"/>
            </w:tcMar>
            <w:hideMark/>
          </w:tcPr>
          <w:p w:rsidR="00C340EE" w:rsidRPr="00535E30" w:rsidRDefault="00C340EE" w:rsidP="00F80905">
            <w:pPr>
              <w:spacing w:after="0" w:line="276" w:lineRule="auto"/>
              <w:jc w:val="center"/>
              <w:rPr>
                <w:rFonts w:asciiTheme="minorHAnsi" w:hAnsiTheme="minorHAnsi" w:cs="Arial"/>
                <w:b/>
                <w:sz w:val="20"/>
                <w:szCs w:val="20"/>
              </w:rPr>
            </w:pPr>
            <w:r w:rsidRPr="00535E30">
              <w:rPr>
                <w:rFonts w:asciiTheme="minorHAnsi" w:hAnsiTheme="minorHAnsi" w:cs="Arial"/>
                <w:b/>
                <w:sz w:val="20"/>
                <w:szCs w:val="20"/>
                <w:lang w:val="es-MX"/>
              </w:rPr>
              <w:t>Producto Interno Bruto (2011)</w:t>
            </w:r>
            <w:r w:rsidRPr="00535E30">
              <w:rPr>
                <w:rFonts w:asciiTheme="minorHAnsi" w:hAnsiTheme="minorHAnsi" w:cs="Arial"/>
                <w:b/>
                <w:sz w:val="20"/>
                <w:szCs w:val="20"/>
              </w:rPr>
              <w:t xml:space="preserve"> </w:t>
            </w:r>
          </w:p>
        </w:tc>
        <w:tc>
          <w:tcPr>
            <w:tcW w:w="2720" w:type="dxa"/>
            <w:shd w:val="clear" w:color="auto" w:fill="auto"/>
            <w:tcMar>
              <w:top w:w="72" w:type="dxa"/>
              <w:left w:w="144" w:type="dxa"/>
              <w:bottom w:w="72" w:type="dxa"/>
              <w:right w:w="144" w:type="dxa"/>
            </w:tcMar>
            <w:hideMark/>
          </w:tcPr>
          <w:p w:rsidR="00C340EE" w:rsidRPr="00535E30" w:rsidRDefault="00C340EE" w:rsidP="00F80905">
            <w:pPr>
              <w:spacing w:after="0" w:line="276" w:lineRule="auto"/>
              <w:jc w:val="center"/>
              <w:rPr>
                <w:rFonts w:asciiTheme="minorHAnsi" w:hAnsiTheme="minorHAnsi" w:cs="Arial"/>
                <w:b/>
                <w:sz w:val="20"/>
                <w:szCs w:val="20"/>
              </w:rPr>
            </w:pPr>
            <w:r w:rsidRPr="00535E30">
              <w:rPr>
                <w:rFonts w:asciiTheme="minorHAnsi" w:hAnsiTheme="minorHAnsi" w:cs="Arial"/>
                <w:b/>
                <w:sz w:val="20"/>
                <w:szCs w:val="20"/>
                <w:lang w:val="es-CO"/>
              </w:rPr>
              <w:t>3,9 (RIS)</w:t>
            </w:r>
          </w:p>
        </w:tc>
      </w:tr>
      <w:tr w:rsidR="00C340EE" w:rsidRPr="00535E30" w:rsidTr="00F2227F">
        <w:trPr>
          <w:trHeight w:val="20"/>
        </w:trPr>
        <w:tc>
          <w:tcPr>
            <w:tcW w:w="1845" w:type="dxa"/>
            <w:vMerge/>
            <w:vAlign w:val="center"/>
            <w:hideMark/>
          </w:tcPr>
          <w:p w:rsidR="00C340EE" w:rsidRPr="00535E30" w:rsidRDefault="00C340EE" w:rsidP="00F80905">
            <w:pPr>
              <w:spacing w:after="0" w:line="276" w:lineRule="auto"/>
              <w:jc w:val="center"/>
              <w:rPr>
                <w:rFonts w:asciiTheme="minorHAnsi" w:hAnsiTheme="minorHAnsi" w:cs="Arial"/>
                <w:b/>
                <w:sz w:val="20"/>
                <w:szCs w:val="20"/>
              </w:rPr>
            </w:pPr>
          </w:p>
        </w:tc>
        <w:tc>
          <w:tcPr>
            <w:tcW w:w="4420" w:type="dxa"/>
            <w:shd w:val="clear" w:color="auto" w:fill="auto"/>
            <w:tcMar>
              <w:top w:w="72" w:type="dxa"/>
              <w:left w:w="144" w:type="dxa"/>
              <w:bottom w:w="72" w:type="dxa"/>
              <w:right w:w="144" w:type="dxa"/>
            </w:tcMar>
            <w:hideMark/>
          </w:tcPr>
          <w:p w:rsidR="00C340EE" w:rsidRPr="00535E30" w:rsidRDefault="00C340EE" w:rsidP="00F80905">
            <w:pPr>
              <w:spacing w:after="0" w:line="276" w:lineRule="auto"/>
              <w:jc w:val="center"/>
              <w:rPr>
                <w:rFonts w:asciiTheme="minorHAnsi" w:hAnsiTheme="minorHAnsi" w:cs="Arial"/>
                <w:b/>
                <w:sz w:val="20"/>
                <w:szCs w:val="20"/>
              </w:rPr>
            </w:pPr>
            <w:r w:rsidRPr="00535E30">
              <w:rPr>
                <w:rFonts w:asciiTheme="minorHAnsi" w:hAnsiTheme="minorHAnsi" w:cs="Arial"/>
                <w:b/>
                <w:sz w:val="20"/>
                <w:szCs w:val="20"/>
                <w:lang w:val="es-MX"/>
              </w:rPr>
              <w:t>Índice de Desempeño Ambiental (2012)</w:t>
            </w:r>
            <w:r w:rsidRPr="00535E30">
              <w:rPr>
                <w:rFonts w:asciiTheme="minorHAnsi" w:hAnsiTheme="minorHAnsi" w:cs="Arial"/>
                <w:b/>
                <w:sz w:val="20"/>
                <w:szCs w:val="20"/>
              </w:rPr>
              <w:t xml:space="preserve"> </w:t>
            </w:r>
          </w:p>
        </w:tc>
        <w:tc>
          <w:tcPr>
            <w:tcW w:w="2720" w:type="dxa"/>
            <w:shd w:val="clear" w:color="auto" w:fill="auto"/>
            <w:tcMar>
              <w:top w:w="72" w:type="dxa"/>
              <w:left w:w="144" w:type="dxa"/>
              <w:bottom w:w="72" w:type="dxa"/>
              <w:right w:w="144" w:type="dxa"/>
            </w:tcMar>
            <w:hideMark/>
          </w:tcPr>
          <w:p w:rsidR="00C340EE" w:rsidRPr="00535E30" w:rsidRDefault="00C340EE" w:rsidP="00F80905">
            <w:pPr>
              <w:spacing w:after="0" w:line="276" w:lineRule="auto"/>
              <w:jc w:val="center"/>
              <w:rPr>
                <w:rFonts w:asciiTheme="minorHAnsi" w:hAnsiTheme="minorHAnsi" w:cs="Arial"/>
                <w:b/>
                <w:sz w:val="20"/>
                <w:szCs w:val="20"/>
              </w:rPr>
            </w:pPr>
            <w:r w:rsidRPr="00535E30">
              <w:rPr>
                <w:rFonts w:asciiTheme="minorHAnsi" w:hAnsiTheme="minorHAnsi" w:cs="Arial"/>
                <w:b/>
                <w:sz w:val="20"/>
                <w:szCs w:val="20"/>
                <w:lang w:val="es-CO"/>
              </w:rPr>
              <w:t>27 de 132 países (COL)</w:t>
            </w:r>
            <w:r w:rsidRPr="00535E30">
              <w:rPr>
                <w:rFonts w:asciiTheme="minorHAnsi" w:hAnsiTheme="minorHAnsi" w:cs="Arial"/>
                <w:b/>
                <w:sz w:val="20"/>
                <w:szCs w:val="20"/>
              </w:rPr>
              <w:t xml:space="preserve"> </w:t>
            </w:r>
          </w:p>
        </w:tc>
      </w:tr>
      <w:tr w:rsidR="00C340EE" w:rsidRPr="00535E30" w:rsidTr="002F097F">
        <w:trPr>
          <w:trHeight w:val="20"/>
        </w:trPr>
        <w:tc>
          <w:tcPr>
            <w:tcW w:w="1845" w:type="dxa"/>
            <w:vMerge w:val="restart"/>
            <w:shd w:val="clear" w:color="auto" w:fill="FFFFFF"/>
            <w:tcMar>
              <w:top w:w="72" w:type="dxa"/>
              <w:left w:w="144" w:type="dxa"/>
              <w:bottom w:w="72" w:type="dxa"/>
              <w:right w:w="144" w:type="dxa"/>
            </w:tcMar>
            <w:vAlign w:val="center"/>
            <w:hideMark/>
          </w:tcPr>
          <w:p w:rsidR="00C340EE" w:rsidRPr="00535E30" w:rsidRDefault="00C340EE" w:rsidP="00F80905">
            <w:pPr>
              <w:spacing w:after="0" w:line="276" w:lineRule="auto"/>
              <w:jc w:val="center"/>
              <w:rPr>
                <w:rFonts w:asciiTheme="minorHAnsi" w:hAnsiTheme="minorHAnsi" w:cs="Arial"/>
                <w:b/>
                <w:bCs/>
                <w:sz w:val="20"/>
                <w:szCs w:val="20"/>
                <w:lang w:val="es-MX"/>
              </w:rPr>
            </w:pPr>
            <w:r w:rsidRPr="00535E30">
              <w:rPr>
                <w:rFonts w:asciiTheme="minorHAnsi" w:hAnsiTheme="minorHAnsi" w:cs="Arial"/>
                <w:b/>
                <w:bCs/>
                <w:sz w:val="20"/>
                <w:szCs w:val="20"/>
                <w:lang w:val="es-MX"/>
              </w:rPr>
              <w:t>Modelo de indicadores SUE</w:t>
            </w:r>
            <w:r w:rsidRPr="00535E30">
              <w:rPr>
                <w:rFonts w:asciiTheme="minorHAnsi" w:hAnsiTheme="minorHAnsi" w:cs="Arial"/>
                <w:b/>
                <w:bCs/>
                <w:sz w:val="20"/>
                <w:szCs w:val="20"/>
              </w:rPr>
              <w:t xml:space="preserve"> </w:t>
            </w:r>
          </w:p>
        </w:tc>
        <w:tc>
          <w:tcPr>
            <w:tcW w:w="4420" w:type="dxa"/>
            <w:shd w:val="clear" w:color="auto" w:fill="auto"/>
            <w:tcMar>
              <w:top w:w="72" w:type="dxa"/>
              <w:left w:w="144" w:type="dxa"/>
              <w:bottom w:w="72" w:type="dxa"/>
              <w:right w:w="144" w:type="dxa"/>
            </w:tcMar>
            <w:hideMark/>
          </w:tcPr>
          <w:p w:rsidR="00C340EE" w:rsidRPr="00535E30" w:rsidRDefault="00C340EE" w:rsidP="00F80905">
            <w:pPr>
              <w:spacing w:after="0" w:line="276" w:lineRule="auto"/>
              <w:jc w:val="center"/>
              <w:rPr>
                <w:rFonts w:asciiTheme="minorHAnsi" w:hAnsiTheme="minorHAnsi" w:cs="Arial"/>
                <w:b/>
                <w:sz w:val="20"/>
                <w:szCs w:val="20"/>
                <w:lang w:val="es-MX"/>
              </w:rPr>
            </w:pPr>
            <w:r w:rsidRPr="00535E30">
              <w:rPr>
                <w:rFonts w:asciiTheme="minorHAnsi" w:hAnsiTheme="minorHAnsi" w:cs="Arial"/>
                <w:b/>
                <w:sz w:val="20"/>
                <w:szCs w:val="20"/>
                <w:lang w:val="es-MX"/>
              </w:rPr>
              <w:t>Posicionamiento en el modelo de eficiencia SUE de acuerdo con la distribución de recursos</w:t>
            </w:r>
            <w:r w:rsidR="00900F32">
              <w:rPr>
                <w:rFonts w:asciiTheme="minorHAnsi" w:hAnsiTheme="minorHAnsi" w:cs="Arial"/>
                <w:b/>
                <w:sz w:val="20"/>
                <w:szCs w:val="20"/>
                <w:lang w:val="es-MX"/>
              </w:rPr>
              <w:t xml:space="preserve"> (Artículo 87)</w:t>
            </w:r>
            <w:r w:rsidRPr="00535E30">
              <w:rPr>
                <w:rFonts w:asciiTheme="minorHAnsi" w:hAnsiTheme="minorHAnsi" w:cs="Arial"/>
                <w:b/>
                <w:sz w:val="20"/>
                <w:szCs w:val="20"/>
                <w:lang w:val="es-MX"/>
              </w:rPr>
              <w:t>.</w:t>
            </w:r>
          </w:p>
        </w:tc>
        <w:tc>
          <w:tcPr>
            <w:tcW w:w="2720" w:type="dxa"/>
            <w:shd w:val="clear" w:color="auto" w:fill="auto"/>
            <w:tcMar>
              <w:top w:w="72" w:type="dxa"/>
              <w:left w:w="144" w:type="dxa"/>
              <w:bottom w:w="72" w:type="dxa"/>
              <w:right w:w="144" w:type="dxa"/>
            </w:tcMar>
            <w:vAlign w:val="center"/>
            <w:hideMark/>
          </w:tcPr>
          <w:p w:rsidR="00C340EE" w:rsidRPr="00535E30" w:rsidRDefault="002F097F" w:rsidP="00F80905">
            <w:pPr>
              <w:spacing w:after="0" w:line="276" w:lineRule="auto"/>
              <w:jc w:val="center"/>
              <w:rPr>
                <w:rFonts w:asciiTheme="minorHAnsi" w:hAnsiTheme="minorHAnsi" w:cs="Arial"/>
                <w:b/>
                <w:sz w:val="20"/>
                <w:szCs w:val="20"/>
                <w:lang w:val="es-CO"/>
              </w:rPr>
            </w:pPr>
            <w:r>
              <w:rPr>
                <w:rFonts w:asciiTheme="minorHAnsi" w:hAnsiTheme="minorHAnsi" w:cs="Arial"/>
                <w:b/>
                <w:sz w:val="20"/>
                <w:szCs w:val="20"/>
                <w:lang w:val="es-CO"/>
              </w:rPr>
              <w:t>Puesto 7</w:t>
            </w:r>
            <w:r w:rsidR="002E7ECA">
              <w:rPr>
                <w:rFonts w:asciiTheme="minorHAnsi" w:hAnsiTheme="minorHAnsi" w:cs="Arial"/>
                <w:b/>
                <w:sz w:val="20"/>
                <w:szCs w:val="20"/>
                <w:lang w:val="es-CO"/>
              </w:rPr>
              <w:t>*</w:t>
            </w:r>
            <w:r w:rsidR="00900F32">
              <w:rPr>
                <w:rFonts w:asciiTheme="minorHAnsi" w:hAnsiTheme="minorHAnsi" w:cs="Arial"/>
                <w:b/>
                <w:sz w:val="20"/>
                <w:szCs w:val="20"/>
                <w:lang w:val="es-CO"/>
              </w:rPr>
              <w:t xml:space="preserve"> entre 32</w:t>
            </w:r>
          </w:p>
        </w:tc>
      </w:tr>
      <w:tr w:rsidR="00566A0F" w:rsidRPr="00535E30" w:rsidTr="00566A0F">
        <w:trPr>
          <w:trHeight w:val="52"/>
        </w:trPr>
        <w:tc>
          <w:tcPr>
            <w:tcW w:w="1845" w:type="dxa"/>
            <w:vMerge/>
            <w:shd w:val="clear" w:color="auto" w:fill="FFFFFF"/>
            <w:tcMar>
              <w:top w:w="72" w:type="dxa"/>
              <w:left w:w="144" w:type="dxa"/>
              <w:bottom w:w="72" w:type="dxa"/>
              <w:right w:w="144" w:type="dxa"/>
            </w:tcMar>
            <w:vAlign w:val="center"/>
            <w:hideMark/>
          </w:tcPr>
          <w:p w:rsidR="00566A0F" w:rsidRPr="00535E30" w:rsidRDefault="00566A0F" w:rsidP="00F80905">
            <w:pPr>
              <w:spacing w:after="0" w:line="276" w:lineRule="auto"/>
              <w:jc w:val="center"/>
              <w:rPr>
                <w:rFonts w:asciiTheme="minorHAnsi" w:hAnsiTheme="minorHAnsi" w:cs="Arial"/>
                <w:b/>
                <w:sz w:val="20"/>
                <w:szCs w:val="20"/>
              </w:rPr>
            </w:pPr>
          </w:p>
        </w:tc>
        <w:tc>
          <w:tcPr>
            <w:tcW w:w="4420" w:type="dxa"/>
            <w:shd w:val="clear" w:color="auto" w:fill="auto"/>
            <w:tcMar>
              <w:top w:w="72" w:type="dxa"/>
              <w:left w:w="144" w:type="dxa"/>
              <w:bottom w:w="72" w:type="dxa"/>
              <w:right w:w="144" w:type="dxa"/>
            </w:tcMar>
          </w:tcPr>
          <w:p w:rsidR="00566A0F" w:rsidRPr="00535E30" w:rsidRDefault="00566A0F" w:rsidP="005678E7">
            <w:pPr>
              <w:spacing w:after="0" w:line="276" w:lineRule="auto"/>
              <w:jc w:val="center"/>
              <w:rPr>
                <w:rFonts w:asciiTheme="minorHAnsi" w:hAnsiTheme="minorHAnsi" w:cs="Arial"/>
                <w:b/>
                <w:sz w:val="20"/>
                <w:szCs w:val="20"/>
              </w:rPr>
            </w:pPr>
            <w:r w:rsidRPr="00535E30">
              <w:rPr>
                <w:rFonts w:asciiTheme="minorHAnsi" w:hAnsiTheme="minorHAnsi" w:cs="Arial"/>
                <w:b/>
                <w:sz w:val="20"/>
                <w:szCs w:val="20"/>
                <w:lang w:val="es-MX"/>
              </w:rPr>
              <w:t>Resultados de Formación</w:t>
            </w:r>
            <w:r w:rsidRPr="00535E30">
              <w:rPr>
                <w:rFonts w:asciiTheme="minorHAnsi" w:hAnsiTheme="minorHAnsi" w:cs="Arial"/>
                <w:b/>
                <w:sz w:val="20"/>
                <w:szCs w:val="20"/>
              </w:rPr>
              <w:t xml:space="preserve"> </w:t>
            </w:r>
          </w:p>
        </w:tc>
        <w:tc>
          <w:tcPr>
            <w:tcW w:w="2720" w:type="dxa"/>
            <w:shd w:val="clear" w:color="auto" w:fill="auto"/>
            <w:tcMar>
              <w:top w:w="72" w:type="dxa"/>
              <w:left w:w="144" w:type="dxa"/>
              <w:bottom w:w="72" w:type="dxa"/>
              <w:right w:w="144" w:type="dxa"/>
            </w:tcMar>
            <w:vAlign w:val="center"/>
          </w:tcPr>
          <w:p w:rsidR="00566A0F" w:rsidRPr="00535E30" w:rsidRDefault="00566A0F" w:rsidP="005678E7">
            <w:pPr>
              <w:spacing w:after="0" w:line="276" w:lineRule="auto"/>
              <w:jc w:val="center"/>
              <w:rPr>
                <w:rFonts w:asciiTheme="minorHAnsi" w:hAnsiTheme="minorHAnsi" w:cs="Arial"/>
                <w:b/>
                <w:sz w:val="20"/>
                <w:szCs w:val="20"/>
              </w:rPr>
            </w:pPr>
            <w:r>
              <w:rPr>
                <w:rFonts w:asciiTheme="minorHAnsi" w:hAnsiTheme="minorHAnsi" w:cs="Arial"/>
                <w:b/>
                <w:sz w:val="20"/>
                <w:szCs w:val="20"/>
                <w:lang w:val="es-CO"/>
              </w:rPr>
              <w:t>Puesto 5</w:t>
            </w:r>
            <w:r w:rsidRPr="00535E30">
              <w:rPr>
                <w:rFonts w:asciiTheme="minorHAnsi" w:hAnsiTheme="minorHAnsi" w:cs="Arial"/>
                <w:b/>
                <w:sz w:val="20"/>
                <w:szCs w:val="20"/>
              </w:rPr>
              <w:t xml:space="preserve"> *</w:t>
            </w:r>
          </w:p>
        </w:tc>
      </w:tr>
      <w:tr w:rsidR="00566A0F" w:rsidRPr="00535E30" w:rsidTr="00566A0F">
        <w:trPr>
          <w:trHeight w:val="20"/>
        </w:trPr>
        <w:tc>
          <w:tcPr>
            <w:tcW w:w="1845" w:type="dxa"/>
            <w:vMerge/>
            <w:vAlign w:val="center"/>
            <w:hideMark/>
          </w:tcPr>
          <w:p w:rsidR="00566A0F" w:rsidRPr="00535E30" w:rsidRDefault="00566A0F" w:rsidP="00F80905">
            <w:pPr>
              <w:spacing w:after="0" w:line="276" w:lineRule="auto"/>
              <w:jc w:val="center"/>
              <w:rPr>
                <w:rFonts w:asciiTheme="minorHAnsi" w:hAnsiTheme="minorHAnsi" w:cs="Arial"/>
                <w:b/>
                <w:sz w:val="20"/>
                <w:szCs w:val="20"/>
              </w:rPr>
            </w:pPr>
          </w:p>
        </w:tc>
        <w:tc>
          <w:tcPr>
            <w:tcW w:w="4420" w:type="dxa"/>
            <w:shd w:val="clear" w:color="auto" w:fill="auto"/>
            <w:tcMar>
              <w:top w:w="72" w:type="dxa"/>
              <w:left w:w="144" w:type="dxa"/>
              <w:bottom w:w="72" w:type="dxa"/>
              <w:right w:w="144" w:type="dxa"/>
            </w:tcMar>
            <w:hideMark/>
          </w:tcPr>
          <w:p w:rsidR="00566A0F" w:rsidRPr="00535E30" w:rsidRDefault="00566A0F" w:rsidP="00F80905">
            <w:pPr>
              <w:spacing w:after="0" w:line="276" w:lineRule="auto"/>
              <w:jc w:val="center"/>
              <w:rPr>
                <w:rFonts w:asciiTheme="minorHAnsi" w:hAnsiTheme="minorHAnsi" w:cs="Arial"/>
                <w:b/>
                <w:sz w:val="20"/>
                <w:szCs w:val="20"/>
              </w:rPr>
            </w:pPr>
            <w:r>
              <w:rPr>
                <w:rFonts w:asciiTheme="minorHAnsi" w:hAnsiTheme="minorHAnsi" w:cs="Arial"/>
                <w:b/>
                <w:sz w:val="20"/>
                <w:szCs w:val="20"/>
                <w:lang w:val="es-MX"/>
              </w:rPr>
              <w:t>Resultados</w:t>
            </w:r>
            <w:r w:rsidRPr="00535E30">
              <w:rPr>
                <w:rFonts w:asciiTheme="minorHAnsi" w:hAnsiTheme="minorHAnsi" w:cs="Arial"/>
                <w:b/>
                <w:sz w:val="20"/>
                <w:szCs w:val="20"/>
                <w:lang w:val="es-MX"/>
              </w:rPr>
              <w:t xml:space="preserve"> de Investigación</w:t>
            </w:r>
            <w:r w:rsidRPr="00535E30">
              <w:rPr>
                <w:rFonts w:asciiTheme="minorHAnsi" w:hAnsiTheme="minorHAnsi" w:cs="Arial"/>
                <w:b/>
                <w:sz w:val="20"/>
                <w:szCs w:val="20"/>
              </w:rPr>
              <w:t xml:space="preserve"> </w:t>
            </w:r>
          </w:p>
        </w:tc>
        <w:tc>
          <w:tcPr>
            <w:tcW w:w="2720" w:type="dxa"/>
            <w:shd w:val="clear" w:color="auto" w:fill="auto"/>
            <w:tcMar>
              <w:top w:w="72" w:type="dxa"/>
              <w:left w:w="144" w:type="dxa"/>
              <w:bottom w:w="72" w:type="dxa"/>
              <w:right w:w="144" w:type="dxa"/>
            </w:tcMar>
            <w:vAlign w:val="center"/>
            <w:hideMark/>
          </w:tcPr>
          <w:p w:rsidR="00566A0F" w:rsidRPr="00535E30" w:rsidRDefault="00566A0F" w:rsidP="00566A0F">
            <w:pPr>
              <w:spacing w:after="0" w:line="276" w:lineRule="auto"/>
              <w:jc w:val="center"/>
              <w:rPr>
                <w:rFonts w:asciiTheme="minorHAnsi" w:hAnsiTheme="minorHAnsi" w:cs="Arial"/>
                <w:b/>
                <w:sz w:val="20"/>
                <w:szCs w:val="20"/>
              </w:rPr>
            </w:pPr>
            <w:r w:rsidRPr="00535E30">
              <w:rPr>
                <w:rFonts w:asciiTheme="minorHAnsi" w:hAnsiTheme="minorHAnsi" w:cs="Arial"/>
                <w:b/>
                <w:sz w:val="20"/>
                <w:szCs w:val="20"/>
                <w:lang w:val="es-CO"/>
              </w:rPr>
              <w:t xml:space="preserve">Puesto </w:t>
            </w:r>
            <w:r>
              <w:rPr>
                <w:rFonts w:asciiTheme="minorHAnsi" w:hAnsiTheme="minorHAnsi" w:cs="Arial"/>
                <w:b/>
                <w:sz w:val="20"/>
                <w:szCs w:val="20"/>
                <w:lang w:val="es-CO"/>
              </w:rPr>
              <w:t>5</w:t>
            </w:r>
            <w:r w:rsidRPr="00535E30">
              <w:rPr>
                <w:rFonts w:asciiTheme="minorHAnsi" w:hAnsiTheme="minorHAnsi" w:cs="Arial"/>
                <w:b/>
                <w:sz w:val="20"/>
                <w:szCs w:val="20"/>
              </w:rPr>
              <w:t xml:space="preserve"> *</w:t>
            </w:r>
          </w:p>
        </w:tc>
      </w:tr>
      <w:tr w:rsidR="00566A0F" w:rsidRPr="00535E30" w:rsidTr="00566A0F">
        <w:trPr>
          <w:trHeight w:val="20"/>
        </w:trPr>
        <w:tc>
          <w:tcPr>
            <w:tcW w:w="1845" w:type="dxa"/>
            <w:vMerge/>
            <w:vAlign w:val="center"/>
            <w:hideMark/>
          </w:tcPr>
          <w:p w:rsidR="00566A0F" w:rsidRPr="00535E30" w:rsidRDefault="00566A0F" w:rsidP="00F80905">
            <w:pPr>
              <w:spacing w:after="0" w:line="276" w:lineRule="auto"/>
              <w:jc w:val="center"/>
              <w:rPr>
                <w:rFonts w:asciiTheme="minorHAnsi" w:hAnsiTheme="minorHAnsi" w:cs="Arial"/>
                <w:b/>
                <w:sz w:val="20"/>
                <w:szCs w:val="20"/>
              </w:rPr>
            </w:pPr>
          </w:p>
        </w:tc>
        <w:tc>
          <w:tcPr>
            <w:tcW w:w="4420" w:type="dxa"/>
            <w:shd w:val="clear" w:color="auto" w:fill="auto"/>
            <w:tcMar>
              <w:top w:w="72" w:type="dxa"/>
              <w:left w:w="144" w:type="dxa"/>
              <w:bottom w:w="72" w:type="dxa"/>
              <w:right w:w="144" w:type="dxa"/>
            </w:tcMar>
            <w:hideMark/>
          </w:tcPr>
          <w:p w:rsidR="00566A0F" w:rsidRPr="00535E30" w:rsidRDefault="00566A0F" w:rsidP="00F80905">
            <w:pPr>
              <w:spacing w:after="0" w:line="276" w:lineRule="auto"/>
              <w:jc w:val="center"/>
              <w:rPr>
                <w:rFonts w:asciiTheme="minorHAnsi" w:hAnsiTheme="minorHAnsi" w:cs="Arial"/>
                <w:b/>
                <w:sz w:val="20"/>
                <w:szCs w:val="20"/>
              </w:rPr>
            </w:pPr>
            <w:r w:rsidRPr="00535E30">
              <w:rPr>
                <w:rFonts w:asciiTheme="minorHAnsi" w:hAnsiTheme="minorHAnsi" w:cs="Arial"/>
                <w:b/>
                <w:sz w:val="20"/>
                <w:szCs w:val="20"/>
                <w:lang w:val="es-MX"/>
              </w:rPr>
              <w:t>Resultados de Extensión</w:t>
            </w:r>
            <w:r w:rsidRPr="00535E30">
              <w:rPr>
                <w:rFonts w:asciiTheme="minorHAnsi" w:hAnsiTheme="minorHAnsi" w:cs="Arial"/>
                <w:b/>
                <w:sz w:val="20"/>
                <w:szCs w:val="20"/>
              </w:rPr>
              <w:t xml:space="preserve"> </w:t>
            </w:r>
          </w:p>
        </w:tc>
        <w:tc>
          <w:tcPr>
            <w:tcW w:w="2720" w:type="dxa"/>
            <w:shd w:val="clear" w:color="auto" w:fill="auto"/>
            <w:tcMar>
              <w:top w:w="72" w:type="dxa"/>
              <w:left w:w="144" w:type="dxa"/>
              <w:bottom w:w="72" w:type="dxa"/>
              <w:right w:w="144" w:type="dxa"/>
            </w:tcMar>
            <w:vAlign w:val="center"/>
            <w:hideMark/>
          </w:tcPr>
          <w:p w:rsidR="00566A0F" w:rsidRPr="00535E30" w:rsidRDefault="00566A0F" w:rsidP="00566A0F">
            <w:pPr>
              <w:spacing w:after="0" w:line="276" w:lineRule="auto"/>
              <w:jc w:val="center"/>
              <w:rPr>
                <w:rFonts w:asciiTheme="minorHAnsi" w:hAnsiTheme="minorHAnsi" w:cs="Arial"/>
                <w:b/>
                <w:sz w:val="20"/>
                <w:szCs w:val="20"/>
              </w:rPr>
            </w:pPr>
            <w:r w:rsidRPr="00535E30">
              <w:rPr>
                <w:rFonts w:asciiTheme="minorHAnsi" w:hAnsiTheme="minorHAnsi" w:cs="Arial"/>
                <w:b/>
                <w:sz w:val="20"/>
                <w:szCs w:val="20"/>
                <w:lang w:val="es-CO"/>
              </w:rPr>
              <w:t xml:space="preserve">Puesto </w:t>
            </w:r>
            <w:r>
              <w:rPr>
                <w:rFonts w:asciiTheme="minorHAnsi" w:hAnsiTheme="minorHAnsi" w:cs="Arial"/>
                <w:b/>
                <w:sz w:val="20"/>
                <w:szCs w:val="20"/>
                <w:lang w:val="es-CO"/>
              </w:rPr>
              <w:t>9</w:t>
            </w:r>
            <w:r w:rsidRPr="00535E30">
              <w:rPr>
                <w:rFonts w:asciiTheme="minorHAnsi" w:hAnsiTheme="minorHAnsi" w:cs="Arial"/>
                <w:b/>
                <w:sz w:val="20"/>
                <w:szCs w:val="20"/>
              </w:rPr>
              <w:t xml:space="preserve"> *</w:t>
            </w:r>
          </w:p>
        </w:tc>
      </w:tr>
      <w:tr w:rsidR="00566A0F" w:rsidRPr="00535E30" w:rsidTr="00566A0F">
        <w:trPr>
          <w:trHeight w:val="20"/>
        </w:trPr>
        <w:tc>
          <w:tcPr>
            <w:tcW w:w="1845" w:type="dxa"/>
            <w:vMerge/>
            <w:vAlign w:val="center"/>
            <w:hideMark/>
          </w:tcPr>
          <w:p w:rsidR="00566A0F" w:rsidRPr="00535E30" w:rsidRDefault="00566A0F" w:rsidP="00F80905">
            <w:pPr>
              <w:spacing w:after="0" w:line="276" w:lineRule="auto"/>
              <w:jc w:val="center"/>
              <w:rPr>
                <w:rFonts w:asciiTheme="minorHAnsi" w:hAnsiTheme="minorHAnsi" w:cs="Arial"/>
                <w:b/>
                <w:sz w:val="20"/>
                <w:szCs w:val="20"/>
              </w:rPr>
            </w:pPr>
          </w:p>
        </w:tc>
        <w:tc>
          <w:tcPr>
            <w:tcW w:w="4420" w:type="dxa"/>
            <w:shd w:val="clear" w:color="auto" w:fill="auto"/>
            <w:tcMar>
              <w:top w:w="72" w:type="dxa"/>
              <w:left w:w="144" w:type="dxa"/>
              <w:bottom w:w="72" w:type="dxa"/>
              <w:right w:w="144" w:type="dxa"/>
            </w:tcMar>
            <w:hideMark/>
          </w:tcPr>
          <w:p w:rsidR="00566A0F" w:rsidRPr="00535E30" w:rsidRDefault="00566A0F" w:rsidP="00F80905">
            <w:pPr>
              <w:spacing w:after="0" w:line="276" w:lineRule="auto"/>
              <w:jc w:val="center"/>
              <w:rPr>
                <w:rFonts w:asciiTheme="minorHAnsi" w:hAnsiTheme="minorHAnsi" w:cs="Arial"/>
                <w:b/>
                <w:sz w:val="20"/>
                <w:szCs w:val="20"/>
              </w:rPr>
            </w:pPr>
            <w:r w:rsidRPr="00535E30">
              <w:rPr>
                <w:rFonts w:asciiTheme="minorHAnsi" w:hAnsiTheme="minorHAnsi" w:cs="Arial"/>
                <w:b/>
                <w:sz w:val="20"/>
                <w:szCs w:val="20"/>
                <w:lang w:val="es-MX"/>
              </w:rPr>
              <w:t>Resultados de Bienestar</w:t>
            </w:r>
            <w:r w:rsidRPr="00535E30">
              <w:rPr>
                <w:rFonts w:asciiTheme="minorHAnsi" w:hAnsiTheme="minorHAnsi" w:cs="Arial"/>
                <w:b/>
                <w:sz w:val="20"/>
                <w:szCs w:val="20"/>
              </w:rPr>
              <w:t xml:space="preserve"> </w:t>
            </w:r>
          </w:p>
        </w:tc>
        <w:tc>
          <w:tcPr>
            <w:tcW w:w="2720" w:type="dxa"/>
            <w:shd w:val="clear" w:color="auto" w:fill="auto"/>
            <w:tcMar>
              <w:top w:w="72" w:type="dxa"/>
              <w:left w:w="144" w:type="dxa"/>
              <w:bottom w:w="72" w:type="dxa"/>
              <w:right w:w="144" w:type="dxa"/>
            </w:tcMar>
            <w:vAlign w:val="center"/>
            <w:hideMark/>
          </w:tcPr>
          <w:p w:rsidR="00566A0F" w:rsidRPr="00535E30" w:rsidRDefault="00566A0F" w:rsidP="00566A0F">
            <w:pPr>
              <w:spacing w:after="0" w:line="276" w:lineRule="auto"/>
              <w:jc w:val="center"/>
              <w:rPr>
                <w:rFonts w:asciiTheme="minorHAnsi" w:hAnsiTheme="minorHAnsi" w:cs="Arial"/>
                <w:b/>
                <w:sz w:val="20"/>
                <w:szCs w:val="20"/>
              </w:rPr>
            </w:pPr>
            <w:r w:rsidRPr="00535E30">
              <w:rPr>
                <w:rFonts w:asciiTheme="minorHAnsi" w:hAnsiTheme="minorHAnsi" w:cs="Arial"/>
                <w:b/>
                <w:sz w:val="20"/>
                <w:szCs w:val="20"/>
                <w:lang w:val="es-CO"/>
              </w:rPr>
              <w:t>Puesto 1</w:t>
            </w:r>
            <w:r>
              <w:rPr>
                <w:rFonts w:asciiTheme="minorHAnsi" w:hAnsiTheme="minorHAnsi" w:cs="Arial"/>
                <w:b/>
                <w:sz w:val="20"/>
                <w:szCs w:val="20"/>
                <w:lang w:val="es-CO"/>
              </w:rPr>
              <w:t>7</w:t>
            </w:r>
            <w:r w:rsidRPr="00535E30">
              <w:rPr>
                <w:rFonts w:asciiTheme="minorHAnsi" w:hAnsiTheme="minorHAnsi" w:cs="Arial"/>
                <w:b/>
                <w:sz w:val="20"/>
                <w:szCs w:val="20"/>
              </w:rPr>
              <w:t xml:space="preserve"> *</w:t>
            </w:r>
          </w:p>
        </w:tc>
      </w:tr>
      <w:tr w:rsidR="00566A0F" w:rsidRPr="00535E30" w:rsidTr="00B97680">
        <w:trPr>
          <w:trHeight w:val="20"/>
        </w:trPr>
        <w:tc>
          <w:tcPr>
            <w:tcW w:w="1845" w:type="dxa"/>
            <w:vMerge w:val="restart"/>
            <w:shd w:val="clear" w:color="auto" w:fill="FFFFFF"/>
            <w:tcMar>
              <w:top w:w="72" w:type="dxa"/>
              <w:left w:w="144" w:type="dxa"/>
              <w:bottom w:w="72" w:type="dxa"/>
              <w:right w:w="144" w:type="dxa"/>
            </w:tcMar>
            <w:vAlign w:val="center"/>
            <w:hideMark/>
          </w:tcPr>
          <w:p w:rsidR="00566A0F" w:rsidRPr="00535E30" w:rsidRDefault="00566A0F" w:rsidP="00F80905">
            <w:pPr>
              <w:spacing w:after="0" w:line="276" w:lineRule="auto"/>
              <w:jc w:val="center"/>
              <w:rPr>
                <w:rFonts w:asciiTheme="minorHAnsi" w:hAnsiTheme="minorHAnsi" w:cs="Arial"/>
                <w:b/>
                <w:sz w:val="20"/>
                <w:szCs w:val="20"/>
              </w:rPr>
            </w:pPr>
            <w:r w:rsidRPr="00535E30">
              <w:rPr>
                <w:rFonts w:asciiTheme="minorHAnsi" w:hAnsiTheme="minorHAnsi" w:cs="Arial"/>
                <w:b/>
                <w:bCs/>
                <w:sz w:val="20"/>
                <w:szCs w:val="20"/>
                <w:lang w:val="es-MX"/>
              </w:rPr>
              <w:t>Indicadores Complementarios</w:t>
            </w:r>
            <w:r w:rsidRPr="00535E30">
              <w:rPr>
                <w:rFonts w:asciiTheme="minorHAnsi" w:hAnsiTheme="minorHAnsi" w:cs="Arial"/>
                <w:b/>
                <w:bCs/>
                <w:sz w:val="20"/>
                <w:szCs w:val="20"/>
              </w:rPr>
              <w:t xml:space="preserve"> </w:t>
            </w:r>
          </w:p>
        </w:tc>
        <w:tc>
          <w:tcPr>
            <w:tcW w:w="4420" w:type="dxa"/>
            <w:shd w:val="clear" w:color="auto" w:fill="auto"/>
            <w:tcMar>
              <w:top w:w="72" w:type="dxa"/>
              <w:left w:w="144" w:type="dxa"/>
              <w:bottom w:w="72" w:type="dxa"/>
              <w:right w:w="144" w:type="dxa"/>
            </w:tcMar>
            <w:vAlign w:val="center"/>
            <w:hideMark/>
          </w:tcPr>
          <w:p w:rsidR="00566A0F" w:rsidRPr="00535E30" w:rsidRDefault="00566A0F" w:rsidP="00F80905">
            <w:pPr>
              <w:spacing w:after="0" w:line="276" w:lineRule="auto"/>
              <w:jc w:val="center"/>
              <w:rPr>
                <w:rFonts w:asciiTheme="minorHAnsi" w:hAnsiTheme="minorHAnsi" w:cs="Arial"/>
                <w:b/>
                <w:sz w:val="20"/>
                <w:szCs w:val="20"/>
              </w:rPr>
            </w:pPr>
            <w:r w:rsidRPr="00535E30">
              <w:rPr>
                <w:rFonts w:asciiTheme="minorHAnsi" w:hAnsiTheme="minorHAnsi" w:cs="Arial"/>
                <w:b/>
                <w:sz w:val="20"/>
                <w:szCs w:val="20"/>
                <w:lang w:val="es-MX"/>
              </w:rPr>
              <w:t>Participación Total de Cobertura</w:t>
            </w:r>
            <w:r w:rsidRPr="00535E30">
              <w:rPr>
                <w:rFonts w:asciiTheme="minorHAnsi" w:hAnsiTheme="minorHAnsi" w:cs="Arial"/>
                <w:b/>
                <w:sz w:val="20"/>
                <w:szCs w:val="20"/>
              </w:rPr>
              <w:t xml:space="preserve"> **</w:t>
            </w:r>
          </w:p>
        </w:tc>
        <w:tc>
          <w:tcPr>
            <w:tcW w:w="2720" w:type="dxa"/>
            <w:shd w:val="clear" w:color="auto" w:fill="auto"/>
            <w:tcMar>
              <w:top w:w="72" w:type="dxa"/>
              <w:left w:w="144" w:type="dxa"/>
              <w:bottom w:w="72" w:type="dxa"/>
              <w:right w:w="144" w:type="dxa"/>
            </w:tcMar>
            <w:vAlign w:val="center"/>
            <w:hideMark/>
          </w:tcPr>
          <w:p w:rsidR="00566A0F" w:rsidRPr="00535E30" w:rsidRDefault="00566A0F" w:rsidP="00F80905">
            <w:pPr>
              <w:spacing w:after="0" w:line="276" w:lineRule="auto"/>
              <w:jc w:val="center"/>
              <w:rPr>
                <w:rFonts w:asciiTheme="minorHAnsi" w:hAnsiTheme="minorHAnsi" w:cs="Arial"/>
                <w:b/>
                <w:sz w:val="20"/>
                <w:szCs w:val="20"/>
              </w:rPr>
            </w:pPr>
            <w:r w:rsidRPr="00535E30">
              <w:rPr>
                <w:rFonts w:asciiTheme="minorHAnsi" w:hAnsiTheme="minorHAnsi" w:cs="Arial"/>
                <w:b/>
                <w:sz w:val="20"/>
                <w:szCs w:val="20"/>
              </w:rPr>
              <w:t xml:space="preserve">Departamental = </w:t>
            </w:r>
            <w:r>
              <w:rPr>
                <w:rFonts w:asciiTheme="minorHAnsi" w:hAnsiTheme="minorHAnsi" w:cs="Arial"/>
                <w:b/>
                <w:sz w:val="20"/>
                <w:szCs w:val="20"/>
              </w:rPr>
              <w:t>48</w:t>
            </w:r>
            <w:r w:rsidRPr="00535E30">
              <w:rPr>
                <w:rFonts w:asciiTheme="minorHAnsi" w:hAnsiTheme="minorHAnsi" w:cs="Arial"/>
                <w:b/>
                <w:sz w:val="20"/>
                <w:szCs w:val="20"/>
              </w:rPr>
              <w:t>,</w:t>
            </w:r>
            <w:r>
              <w:rPr>
                <w:rFonts w:asciiTheme="minorHAnsi" w:hAnsiTheme="minorHAnsi" w:cs="Arial"/>
                <w:b/>
                <w:sz w:val="20"/>
                <w:szCs w:val="20"/>
              </w:rPr>
              <w:t>05</w:t>
            </w:r>
            <w:r w:rsidRPr="00535E30">
              <w:rPr>
                <w:rFonts w:asciiTheme="minorHAnsi" w:hAnsiTheme="minorHAnsi" w:cs="Arial"/>
                <w:b/>
                <w:sz w:val="20"/>
                <w:szCs w:val="20"/>
              </w:rPr>
              <w:t>%</w:t>
            </w:r>
          </w:p>
          <w:p w:rsidR="00566A0F" w:rsidRPr="00535E30" w:rsidRDefault="00566A0F" w:rsidP="00B97680">
            <w:pPr>
              <w:spacing w:after="0" w:line="276" w:lineRule="auto"/>
              <w:jc w:val="center"/>
              <w:rPr>
                <w:rFonts w:asciiTheme="minorHAnsi" w:hAnsiTheme="minorHAnsi" w:cs="Arial"/>
                <w:b/>
                <w:sz w:val="20"/>
                <w:szCs w:val="20"/>
              </w:rPr>
            </w:pPr>
            <w:r w:rsidRPr="00535E30">
              <w:rPr>
                <w:rFonts w:asciiTheme="minorHAnsi" w:hAnsiTheme="minorHAnsi" w:cs="Arial"/>
                <w:b/>
                <w:sz w:val="20"/>
                <w:szCs w:val="20"/>
              </w:rPr>
              <w:t>Nacional = 1,</w:t>
            </w:r>
            <w:r>
              <w:rPr>
                <w:rFonts w:asciiTheme="minorHAnsi" w:hAnsiTheme="minorHAnsi" w:cs="Arial"/>
                <w:b/>
                <w:sz w:val="20"/>
                <w:szCs w:val="20"/>
              </w:rPr>
              <w:t>06</w:t>
            </w:r>
            <w:r w:rsidRPr="00535E30">
              <w:rPr>
                <w:rFonts w:asciiTheme="minorHAnsi" w:hAnsiTheme="minorHAnsi" w:cs="Arial"/>
                <w:b/>
                <w:sz w:val="20"/>
                <w:szCs w:val="20"/>
              </w:rPr>
              <w:t xml:space="preserve">% </w:t>
            </w:r>
          </w:p>
        </w:tc>
      </w:tr>
      <w:tr w:rsidR="00566A0F" w:rsidRPr="00535E30" w:rsidTr="002D061C">
        <w:trPr>
          <w:trHeight w:val="20"/>
        </w:trPr>
        <w:tc>
          <w:tcPr>
            <w:tcW w:w="1845" w:type="dxa"/>
            <w:vMerge/>
            <w:vAlign w:val="center"/>
            <w:hideMark/>
          </w:tcPr>
          <w:p w:rsidR="00566A0F" w:rsidRPr="00535E30" w:rsidRDefault="00566A0F" w:rsidP="00F80905">
            <w:pPr>
              <w:spacing w:after="0" w:line="276" w:lineRule="auto"/>
              <w:jc w:val="center"/>
              <w:rPr>
                <w:rFonts w:asciiTheme="minorHAnsi" w:hAnsiTheme="minorHAnsi" w:cs="Arial"/>
                <w:b/>
                <w:sz w:val="20"/>
                <w:szCs w:val="20"/>
              </w:rPr>
            </w:pPr>
          </w:p>
        </w:tc>
        <w:tc>
          <w:tcPr>
            <w:tcW w:w="4420" w:type="dxa"/>
            <w:shd w:val="clear" w:color="auto" w:fill="auto"/>
            <w:tcMar>
              <w:top w:w="72" w:type="dxa"/>
              <w:left w:w="144" w:type="dxa"/>
              <w:bottom w:w="72" w:type="dxa"/>
              <w:right w:w="144" w:type="dxa"/>
            </w:tcMar>
            <w:vAlign w:val="center"/>
            <w:hideMark/>
          </w:tcPr>
          <w:p w:rsidR="00566A0F" w:rsidRPr="00535E30" w:rsidRDefault="00566A0F" w:rsidP="00F80905">
            <w:pPr>
              <w:spacing w:after="0" w:line="276" w:lineRule="auto"/>
              <w:jc w:val="center"/>
              <w:rPr>
                <w:rFonts w:asciiTheme="minorHAnsi" w:hAnsiTheme="minorHAnsi" w:cs="Arial"/>
                <w:b/>
                <w:sz w:val="20"/>
                <w:szCs w:val="20"/>
              </w:rPr>
            </w:pPr>
            <w:r w:rsidRPr="00535E30">
              <w:rPr>
                <w:rFonts w:asciiTheme="minorHAnsi" w:hAnsiTheme="minorHAnsi" w:cs="Arial"/>
                <w:b/>
                <w:sz w:val="20"/>
                <w:szCs w:val="20"/>
              </w:rPr>
              <w:t>Registros de propiedad intelectual</w:t>
            </w:r>
          </w:p>
        </w:tc>
        <w:tc>
          <w:tcPr>
            <w:tcW w:w="2720" w:type="dxa"/>
            <w:shd w:val="clear" w:color="auto" w:fill="auto"/>
            <w:tcMar>
              <w:top w:w="72" w:type="dxa"/>
              <w:left w:w="144" w:type="dxa"/>
              <w:bottom w:w="72" w:type="dxa"/>
              <w:right w:w="144" w:type="dxa"/>
            </w:tcMar>
            <w:vAlign w:val="center"/>
            <w:hideMark/>
          </w:tcPr>
          <w:p w:rsidR="00566A0F" w:rsidRPr="002D061C" w:rsidRDefault="00566A0F" w:rsidP="00F80905">
            <w:pPr>
              <w:spacing w:after="0" w:line="276" w:lineRule="auto"/>
              <w:jc w:val="center"/>
              <w:rPr>
                <w:rFonts w:asciiTheme="minorHAnsi" w:hAnsiTheme="minorHAnsi" w:cs="Arial"/>
                <w:sz w:val="20"/>
                <w:szCs w:val="20"/>
              </w:rPr>
            </w:pPr>
            <w:r>
              <w:rPr>
                <w:rFonts w:asciiTheme="minorHAnsi" w:hAnsiTheme="minorHAnsi" w:cs="Arial"/>
                <w:b/>
                <w:sz w:val="20"/>
                <w:szCs w:val="20"/>
              </w:rPr>
              <w:t xml:space="preserve">27 </w:t>
            </w:r>
            <w:r w:rsidRPr="002D061C">
              <w:rPr>
                <w:rFonts w:asciiTheme="minorHAnsi" w:hAnsiTheme="minorHAnsi" w:cs="Arial"/>
                <w:sz w:val="20"/>
                <w:szCs w:val="20"/>
              </w:rPr>
              <w:t>Registros:</w:t>
            </w:r>
          </w:p>
          <w:p w:rsidR="00566A0F" w:rsidRPr="002D061C" w:rsidRDefault="00566A0F" w:rsidP="00C0346D">
            <w:pPr>
              <w:pStyle w:val="Prrafodelista"/>
              <w:numPr>
                <w:ilvl w:val="0"/>
                <w:numId w:val="22"/>
              </w:numPr>
              <w:spacing w:after="0" w:line="276" w:lineRule="auto"/>
              <w:ind w:left="398"/>
              <w:rPr>
                <w:rFonts w:cs="Arial"/>
                <w:sz w:val="20"/>
                <w:szCs w:val="20"/>
              </w:rPr>
            </w:pPr>
            <w:r w:rsidRPr="002D061C">
              <w:rPr>
                <w:rFonts w:cs="Arial"/>
                <w:b/>
                <w:sz w:val="20"/>
                <w:szCs w:val="20"/>
              </w:rPr>
              <w:t xml:space="preserve">5 </w:t>
            </w:r>
            <w:r w:rsidRPr="002D061C">
              <w:rPr>
                <w:rFonts w:cs="Arial"/>
                <w:sz w:val="20"/>
                <w:szCs w:val="20"/>
              </w:rPr>
              <w:t>Patentes</w:t>
            </w:r>
          </w:p>
          <w:p w:rsidR="00566A0F" w:rsidRPr="00535E30" w:rsidRDefault="00566A0F" w:rsidP="00C0346D">
            <w:pPr>
              <w:pStyle w:val="Prrafodelista"/>
              <w:numPr>
                <w:ilvl w:val="0"/>
                <w:numId w:val="22"/>
              </w:numPr>
              <w:spacing w:after="0" w:line="276" w:lineRule="auto"/>
              <w:ind w:left="398"/>
              <w:rPr>
                <w:rFonts w:cs="Arial"/>
                <w:b/>
                <w:sz w:val="20"/>
                <w:szCs w:val="20"/>
              </w:rPr>
            </w:pPr>
            <w:r w:rsidRPr="002D061C">
              <w:rPr>
                <w:rFonts w:cs="Arial"/>
                <w:b/>
                <w:sz w:val="20"/>
                <w:szCs w:val="20"/>
              </w:rPr>
              <w:t xml:space="preserve">22 </w:t>
            </w:r>
            <w:r w:rsidRPr="002D061C">
              <w:rPr>
                <w:rFonts w:cs="Arial"/>
                <w:sz w:val="20"/>
                <w:szCs w:val="20"/>
              </w:rPr>
              <w:t>licencias de Software</w:t>
            </w:r>
          </w:p>
        </w:tc>
      </w:tr>
    </w:tbl>
    <w:p w:rsidR="00C340EE" w:rsidRPr="00535E30" w:rsidRDefault="00C340EE" w:rsidP="00F80905">
      <w:pPr>
        <w:spacing w:after="0" w:line="276" w:lineRule="auto"/>
        <w:jc w:val="center"/>
        <w:rPr>
          <w:rFonts w:asciiTheme="minorHAnsi" w:hAnsiTheme="minorHAnsi" w:cs="Arial"/>
          <w:b/>
          <w:highlight w:val="yellow"/>
        </w:rPr>
      </w:pPr>
    </w:p>
    <w:p w:rsidR="00C340EE" w:rsidRPr="00535E30" w:rsidRDefault="00C340EE" w:rsidP="00F80905">
      <w:pPr>
        <w:spacing w:line="276" w:lineRule="auto"/>
        <w:rPr>
          <w:rFonts w:asciiTheme="minorHAnsi" w:hAnsiTheme="minorHAnsi"/>
        </w:rPr>
      </w:pPr>
      <w:r w:rsidRPr="00535E30">
        <w:rPr>
          <w:rFonts w:asciiTheme="minorHAnsi" w:hAnsiTheme="minorHAnsi"/>
          <w:b/>
        </w:rPr>
        <w:t xml:space="preserve">* </w:t>
      </w:r>
      <w:r w:rsidRPr="00535E30">
        <w:rPr>
          <w:rFonts w:asciiTheme="minorHAnsi" w:hAnsiTheme="minorHAnsi"/>
        </w:rPr>
        <w:t>Posicionamiento de La Universidad por distribución de recursos en el sistema de indicadores de gestión de las universidades públicas a nivel nacional año 201</w:t>
      </w:r>
      <w:r w:rsidR="002D061C">
        <w:rPr>
          <w:rFonts w:asciiTheme="minorHAnsi" w:hAnsiTheme="minorHAnsi"/>
        </w:rPr>
        <w:t>2 (Sobre información 2011)</w:t>
      </w:r>
      <w:r w:rsidRPr="00535E30">
        <w:rPr>
          <w:rFonts w:asciiTheme="minorHAnsi" w:hAnsiTheme="minorHAnsi"/>
        </w:rPr>
        <w:t>.</w:t>
      </w:r>
    </w:p>
    <w:p w:rsidR="00C340EE" w:rsidRPr="00B97680" w:rsidRDefault="00C340EE" w:rsidP="00B97680">
      <w:pPr>
        <w:spacing w:line="276" w:lineRule="auto"/>
        <w:rPr>
          <w:rFonts w:asciiTheme="minorHAnsi" w:hAnsiTheme="minorHAnsi"/>
        </w:rPr>
        <w:sectPr w:rsidR="00C340EE" w:rsidRPr="00B97680" w:rsidSect="0058638F">
          <w:headerReference w:type="default" r:id="rId20"/>
          <w:pgSz w:w="12240" w:h="15840" w:code="1"/>
          <w:pgMar w:top="1701" w:right="1701" w:bottom="1701" w:left="1701" w:header="709" w:footer="709" w:gutter="0"/>
          <w:cols w:space="708"/>
          <w:docGrid w:linePitch="360"/>
        </w:sectPr>
      </w:pPr>
      <w:r w:rsidRPr="00535E30">
        <w:rPr>
          <w:rFonts w:asciiTheme="minorHAnsi" w:hAnsiTheme="minorHAnsi"/>
        </w:rPr>
        <w:t xml:space="preserve">** Calculado usando la matrícula </w:t>
      </w:r>
      <w:r w:rsidR="00B97680">
        <w:rPr>
          <w:rFonts w:asciiTheme="minorHAnsi" w:hAnsiTheme="minorHAnsi"/>
        </w:rPr>
        <w:t xml:space="preserve">de </w:t>
      </w:r>
      <w:r w:rsidRPr="00535E30">
        <w:rPr>
          <w:rFonts w:asciiTheme="minorHAnsi" w:hAnsiTheme="minorHAnsi"/>
        </w:rPr>
        <w:t>Estadísticas SNIES al año</w:t>
      </w:r>
      <w:r w:rsidR="00B97680">
        <w:rPr>
          <w:rFonts w:asciiTheme="minorHAnsi" w:hAnsiTheme="minorHAnsi"/>
        </w:rPr>
        <w:t xml:space="preserve"> 2011 (Información preliminar).</w:t>
      </w:r>
    </w:p>
    <w:p w:rsidR="00C340EE" w:rsidRPr="00535E30" w:rsidRDefault="000E4B39" w:rsidP="00F80905">
      <w:pPr>
        <w:spacing w:line="276" w:lineRule="auto"/>
        <w:jc w:val="left"/>
        <w:rPr>
          <w:rFonts w:asciiTheme="minorHAnsi" w:hAnsiTheme="minorHAnsi" w:cs="Arial"/>
          <w:highlight w:val="yellow"/>
        </w:rPr>
      </w:pPr>
      <w:r>
        <w:rPr>
          <w:rFonts w:asciiTheme="minorHAnsi" w:hAnsiTheme="minorHAnsi" w:cs="Arial"/>
          <w:noProof/>
          <w:lang w:val="es-CO" w:eastAsia="es-CO"/>
        </w:rPr>
        <w:lastRenderedPageBreak/>
        <w:pict>
          <v:roundrect id="AutoShape 65" o:spid="_x0000_s1028" style="position:absolute;margin-left:217.9pt;margin-top:306.6pt;width:211.7pt;height:75.9pt;z-index:25172787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" fillcolor="#95b3d7" strokecolor="#95b3d7" strokeweight="1pt">
            <v:fill color2="#dbe5f1" angle="135" focus="50%" type="gradient"/>
            <v:shadow on="t" color="#243f60" opacity=".5" offset="1pt"/>
            <v:textbox>
              <w:txbxContent>
                <w:p w:rsidR="00EB79AD" w:rsidRPr="004C63F7" w:rsidRDefault="00EB79AD" w:rsidP="00C340EE">
                  <w:pPr>
                    <w:pStyle w:val="Sinespaciado"/>
                    <w:numPr>
                      <w:ilvl w:val="0"/>
                      <w:numId w:val="2"/>
                    </w:numPr>
                    <w:ind w:left="284"/>
                    <w:rPr>
                      <w:b/>
                      <w:sz w:val="20"/>
                      <w:szCs w:val="20"/>
                    </w:rPr>
                  </w:pPr>
                  <w:r w:rsidRPr="004C63F7">
                    <w:rPr>
                      <w:b/>
                      <w:sz w:val="20"/>
                      <w:szCs w:val="20"/>
                    </w:rPr>
                    <w:t>Educabilidad</w:t>
                  </w:r>
                </w:p>
                <w:p w:rsidR="00EB79AD" w:rsidRPr="004C63F7" w:rsidRDefault="00EB79AD" w:rsidP="00C340EE">
                  <w:pPr>
                    <w:pStyle w:val="Sinespaciado"/>
                    <w:numPr>
                      <w:ilvl w:val="0"/>
                      <w:numId w:val="2"/>
                    </w:numPr>
                    <w:ind w:left="284"/>
                    <w:rPr>
                      <w:b/>
                      <w:sz w:val="20"/>
                      <w:szCs w:val="20"/>
                    </w:rPr>
                  </w:pPr>
                  <w:r w:rsidRPr="004C63F7">
                    <w:rPr>
                      <w:b/>
                      <w:sz w:val="20"/>
                      <w:szCs w:val="20"/>
                    </w:rPr>
                    <w:t>Aprendibilidad</w:t>
                  </w:r>
                </w:p>
                <w:p w:rsidR="00EB79AD" w:rsidRPr="004C63F7" w:rsidRDefault="00EB79AD" w:rsidP="00C340EE">
                  <w:pPr>
                    <w:pStyle w:val="Sinespaciado"/>
                    <w:numPr>
                      <w:ilvl w:val="0"/>
                      <w:numId w:val="2"/>
                    </w:numPr>
                    <w:ind w:left="284"/>
                    <w:rPr>
                      <w:b/>
                      <w:sz w:val="20"/>
                      <w:szCs w:val="20"/>
                    </w:rPr>
                  </w:pPr>
                  <w:r w:rsidRPr="004C63F7">
                    <w:rPr>
                      <w:b/>
                      <w:sz w:val="20"/>
                      <w:szCs w:val="20"/>
                    </w:rPr>
                    <w:t>Educatividad</w:t>
                  </w:r>
                </w:p>
                <w:p w:rsidR="00EB79AD" w:rsidRPr="004C63F7" w:rsidRDefault="00EB79AD" w:rsidP="00C340EE">
                  <w:pPr>
                    <w:pStyle w:val="Sinespaciado"/>
                    <w:numPr>
                      <w:ilvl w:val="0"/>
                      <w:numId w:val="2"/>
                    </w:numPr>
                    <w:ind w:left="284"/>
                    <w:rPr>
                      <w:b/>
                      <w:sz w:val="20"/>
                      <w:szCs w:val="20"/>
                    </w:rPr>
                  </w:pPr>
                  <w:r w:rsidRPr="004C63F7">
                    <w:rPr>
                      <w:b/>
                      <w:sz w:val="20"/>
                      <w:szCs w:val="20"/>
                    </w:rPr>
                    <w:t>Enseñabilidad</w:t>
                  </w:r>
                </w:p>
                <w:p w:rsidR="00EB79AD" w:rsidRPr="004C63F7" w:rsidRDefault="00EB79AD" w:rsidP="00C340EE">
                  <w:pPr>
                    <w:pStyle w:val="Sinespaciado"/>
                    <w:numPr>
                      <w:ilvl w:val="0"/>
                      <w:numId w:val="2"/>
                    </w:numPr>
                    <w:ind w:left="284"/>
                    <w:rPr>
                      <w:b/>
                      <w:sz w:val="20"/>
                      <w:szCs w:val="20"/>
                    </w:rPr>
                  </w:pPr>
                  <w:r w:rsidRPr="004C63F7">
                    <w:rPr>
                      <w:b/>
                      <w:sz w:val="20"/>
                      <w:szCs w:val="20"/>
                    </w:rPr>
                    <w:t>Cobertura</w:t>
                  </w:r>
                </w:p>
              </w:txbxContent>
            </v:textbox>
          </v:roundrect>
        </w:pict>
      </w:r>
      <w:r>
        <w:rPr>
          <w:rFonts w:asciiTheme="minorHAnsi" w:hAnsiTheme="minorHAnsi" w:cs="Arial"/>
          <w:noProof/>
          <w:lang w:val="es-CO" w:eastAsia="es-CO"/>
        </w:rPr>
        <w:pict>
          <v:roundrect id="AutoShape 78" o:spid="_x0000_s1029" style="position:absolute;margin-left:469.85pt;margin-top:294pt;width:180.1pt;height:83.95pt;z-index:25174118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" fillcolor="#95b3d7" strokecolor="#95b3d7" strokeweight="1pt">
            <v:fill color2="#dbe5f1" angle="135" focus="50%" type="gradient"/>
            <v:shadow on="t" color="#243f60" opacity=".5" offset="1pt"/>
            <v:textbox>
              <w:txbxContent>
                <w:p w:rsidR="00EB79AD" w:rsidRPr="004C63F7" w:rsidRDefault="00EB79AD" w:rsidP="00C340EE">
                  <w:pPr>
                    <w:pStyle w:val="Sinespaciado"/>
                    <w:numPr>
                      <w:ilvl w:val="0"/>
                      <w:numId w:val="2"/>
                    </w:numPr>
                    <w:ind w:left="284"/>
                    <w:rPr>
                      <w:b/>
                      <w:sz w:val="20"/>
                      <w:szCs w:val="20"/>
                    </w:rPr>
                  </w:pPr>
                  <w:r w:rsidRPr="004C63F7">
                    <w:rPr>
                      <w:b/>
                      <w:sz w:val="20"/>
                      <w:szCs w:val="20"/>
                    </w:rPr>
                    <w:t>Educabilidad</w:t>
                  </w:r>
                </w:p>
                <w:p w:rsidR="00EB79AD" w:rsidRPr="004C63F7" w:rsidRDefault="00EB79AD" w:rsidP="00C340EE">
                  <w:pPr>
                    <w:pStyle w:val="Sinespaciado"/>
                    <w:numPr>
                      <w:ilvl w:val="0"/>
                      <w:numId w:val="2"/>
                    </w:numPr>
                    <w:ind w:left="284"/>
                    <w:rPr>
                      <w:b/>
                      <w:sz w:val="20"/>
                      <w:szCs w:val="20"/>
                    </w:rPr>
                  </w:pPr>
                  <w:r w:rsidRPr="004C63F7">
                    <w:rPr>
                      <w:b/>
                      <w:sz w:val="20"/>
                      <w:szCs w:val="20"/>
                    </w:rPr>
                    <w:t>Aprendibilidad</w:t>
                  </w:r>
                </w:p>
                <w:p w:rsidR="00EB79AD" w:rsidRPr="004C63F7" w:rsidRDefault="00EB79AD" w:rsidP="00C340EE">
                  <w:pPr>
                    <w:pStyle w:val="Sinespaciado"/>
                    <w:numPr>
                      <w:ilvl w:val="0"/>
                      <w:numId w:val="2"/>
                    </w:numPr>
                    <w:ind w:left="284"/>
                    <w:rPr>
                      <w:b/>
                      <w:sz w:val="20"/>
                      <w:szCs w:val="20"/>
                    </w:rPr>
                  </w:pPr>
                  <w:r w:rsidRPr="004C63F7">
                    <w:rPr>
                      <w:b/>
                      <w:sz w:val="20"/>
                      <w:szCs w:val="20"/>
                    </w:rPr>
                    <w:t>Educatividad</w:t>
                  </w:r>
                </w:p>
                <w:p w:rsidR="00EB79AD" w:rsidRPr="004C63F7" w:rsidRDefault="00EB79AD" w:rsidP="00C340EE">
                  <w:pPr>
                    <w:pStyle w:val="Sinespaciado"/>
                    <w:numPr>
                      <w:ilvl w:val="0"/>
                      <w:numId w:val="2"/>
                    </w:numPr>
                    <w:ind w:left="284"/>
                    <w:rPr>
                      <w:b/>
                      <w:sz w:val="20"/>
                      <w:szCs w:val="20"/>
                    </w:rPr>
                  </w:pPr>
                  <w:r w:rsidRPr="004C63F7">
                    <w:rPr>
                      <w:b/>
                      <w:sz w:val="20"/>
                      <w:szCs w:val="20"/>
                    </w:rPr>
                    <w:t>Enseñabilidad</w:t>
                  </w:r>
                </w:p>
                <w:p w:rsidR="00EB79AD" w:rsidRPr="004C63F7" w:rsidRDefault="00EB79AD" w:rsidP="00C340EE">
                  <w:pPr>
                    <w:pStyle w:val="Sinespaciado"/>
                    <w:numPr>
                      <w:ilvl w:val="0"/>
                      <w:numId w:val="2"/>
                    </w:numPr>
                    <w:ind w:left="284"/>
                    <w:rPr>
                      <w:b/>
                      <w:sz w:val="20"/>
                      <w:szCs w:val="20"/>
                    </w:rPr>
                  </w:pPr>
                  <w:r w:rsidRPr="004C63F7">
                    <w:rPr>
                      <w:b/>
                      <w:sz w:val="20"/>
                      <w:szCs w:val="20"/>
                    </w:rPr>
                    <w:t>Cobertura</w:t>
                  </w:r>
                </w:p>
              </w:txbxContent>
            </v:textbox>
          </v:roundrect>
        </w:pict>
      </w:r>
      <w:r>
        <w:rPr>
          <w:rFonts w:asciiTheme="minorHAnsi" w:hAnsiTheme="minorHAnsi" w:cs="Arial"/>
          <w:noProof/>
          <w:lang w:val="es-CO" w:eastAsia="es-CO"/>
        </w:rPr>
        <w:pict>
          <v:roundrect id="AutoShape 75" o:spid="_x0000_s1030" style="position:absolute;margin-left:469.85pt;margin-top:147.1pt;width:176.5pt;height:90.5pt;z-index:25173811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" fillcolor="#95b3d7" strokecolor="#95b3d7" strokeweight="1pt">
            <v:fill color2="#dbe5f1" angle="135" focus="50%" type="gradient"/>
            <v:shadow on="t" color="#243f60" opacity=".5" offset="1pt"/>
            <v:textbox>
              <w:txbxContent>
                <w:p w:rsidR="00EB79AD" w:rsidRPr="004D1553" w:rsidRDefault="00EB79AD" w:rsidP="00C340EE">
                  <w:pPr>
                    <w:pStyle w:val="Sinespaciado"/>
                    <w:numPr>
                      <w:ilvl w:val="0"/>
                      <w:numId w:val="1"/>
                    </w:numPr>
                    <w:ind w:left="284"/>
                    <w:rPr>
                      <w:b/>
                      <w:sz w:val="20"/>
                      <w:szCs w:val="20"/>
                    </w:rPr>
                  </w:pPr>
                  <w:r>
                    <w:rPr>
                      <w:b/>
                      <w:sz w:val="20"/>
                      <w:szCs w:val="20"/>
                      <w:lang w:val="es-CO"/>
                    </w:rPr>
                    <w:t>Desarrollo físico sostenible</w:t>
                  </w:r>
                </w:p>
                <w:p w:rsidR="00EB79AD" w:rsidRPr="004D1553" w:rsidRDefault="00EB79AD" w:rsidP="00C340EE">
                  <w:pPr>
                    <w:pStyle w:val="Sinespaciado"/>
                    <w:numPr>
                      <w:ilvl w:val="0"/>
                      <w:numId w:val="1"/>
                    </w:numPr>
                    <w:ind w:left="284"/>
                    <w:rPr>
                      <w:b/>
                      <w:sz w:val="20"/>
                      <w:szCs w:val="20"/>
                    </w:rPr>
                  </w:pPr>
                  <w:r>
                    <w:rPr>
                      <w:b/>
                      <w:sz w:val="20"/>
                      <w:szCs w:val="20"/>
                      <w:lang w:val="es-CO"/>
                    </w:rPr>
                    <w:t>Desarrollo informático y de comunicaciones</w:t>
                  </w:r>
                </w:p>
                <w:p w:rsidR="00EB79AD" w:rsidRPr="004D1553" w:rsidRDefault="00EB79AD" w:rsidP="00C340EE">
                  <w:pPr>
                    <w:pStyle w:val="Sinespaciado"/>
                    <w:numPr>
                      <w:ilvl w:val="0"/>
                      <w:numId w:val="1"/>
                    </w:numPr>
                    <w:ind w:left="284"/>
                    <w:rPr>
                      <w:b/>
                      <w:sz w:val="20"/>
                      <w:szCs w:val="20"/>
                    </w:rPr>
                  </w:pPr>
                  <w:r>
                    <w:rPr>
                      <w:b/>
                      <w:sz w:val="20"/>
                      <w:szCs w:val="20"/>
                      <w:lang w:val="es-CO"/>
                    </w:rPr>
                    <w:t>Desarrollo Humano y Organizacional</w:t>
                  </w:r>
                </w:p>
                <w:p w:rsidR="00EB79AD" w:rsidRPr="004C63F7" w:rsidRDefault="00EB79AD" w:rsidP="00C340EE">
                  <w:pPr>
                    <w:pStyle w:val="Sinespaciado"/>
                    <w:numPr>
                      <w:ilvl w:val="0"/>
                      <w:numId w:val="1"/>
                    </w:numPr>
                    <w:ind w:left="284"/>
                    <w:rPr>
                      <w:b/>
                      <w:sz w:val="20"/>
                      <w:szCs w:val="20"/>
                    </w:rPr>
                  </w:pPr>
                  <w:r>
                    <w:rPr>
                      <w:b/>
                      <w:sz w:val="20"/>
                      <w:szCs w:val="20"/>
                      <w:lang w:val="es-CO"/>
                    </w:rPr>
                    <w:t>Desarrollo Financiero</w:t>
                  </w:r>
                </w:p>
              </w:txbxContent>
            </v:textbox>
          </v:roundrect>
        </w:pict>
      </w:r>
      <w:r>
        <w:rPr>
          <w:rFonts w:asciiTheme="minorHAnsi" w:hAnsiTheme="minorHAnsi" w:cs="Arial"/>
          <w:noProof/>
          <w:lang w:val="es-CO" w:eastAsia="es-CO"/>
        </w:rPr>
        <w:pict>
          <v:rect id="Rectangle 81" o:spid="_x0000_s1031" style="position:absolute;margin-left:77.75pt;margin-top:-23.55pt;width:462.05pt;height:24.05pt;z-index:2517442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" fillcolor="#4f81bd [3204]" strokecolor="#f2f2f2 [3041]" strokeweight="3pt">
            <v:shadow on="t" color="#243f60 [1604]" opacity=".5" offset="1pt"/>
            <v:textbox>
              <w:txbxContent>
                <w:p w:rsidR="00EB79AD" w:rsidRPr="002B224E" w:rsidRDefault="00EB79AD" w:rsidP="00C340EE">
                  <w:pPr>
                    <w:jc w:val="center"/>
                    <w:rPr>
                      <w:b/>
                      <w:lang w:val="es-CO"/>
                    </w:rPr>
                  </w:pPr>
                  <w:r>
                    <w:rPr>
                      <w:b/>
                      <w:lang w:val="es-CO"/>
                    </w:rPr>
                    <w:t>Estructura de la cadena de logro del Plan de Desarrollo Institucional</w:t>
                  </w:r>
                </w:p>
              </w:txbxContent>
            </v:textbox>
          </v:rect>
        </w:pict>
      </w:r>
      <w:r>
        <w:rPr>
          <w:rFonts w:asciiTheme="minorHAnsi" w:hAnsiTheme="minorHAnsi" w:cs="Arial"/>
          <w:noProof/>
          <w:lang w:val="es-CO" w:eastAsia="es-CO"/>
        </w:rPr>
        <w:pict>
          <v:roundrect id="AutoShape 80" o:spid="_x0000_s1032" style="position:absolute;margin-left:469.85pt;margin-top:387.7pt;width:180.1pt;height:99.5pt;z-index:25174323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" fillcolor="#95b3d7" strokecolor="#95b3d7" strokeweight="1pt">
            <v:fill color2="#dbe5f1" angle="135" focus="50%" type="gradient"/>
            <v:shadow on="t" color="#243f60" opacity=".5" offset="1pt"/>
            <v:textbox>
              <w:txbxContent>
                <w:p w:rsidR="00EB79AD" w:rsidRPr="004C63F7" w:rsidRDefault="00EB79AD" w:rsidP="00C340EE">
                  <w:pPr>
                    <w:pStyle w:val="Sinespaciado"/>
                    <w:numPr>
                      <w:ilvl w:val="0"/>
                      <w:numId w:val="3"/>
                    </w:numPr>
                    <w:ind w:left="284"/>
                    <w:rPr>
                      <w:b/>
                      <w:sz w:val="20"/>
                      <w:szCs w:val="20"/>
                    </w:rPr>
                  </w:pPr>
                  <w:r w:rsidRPr="004C63F7">
                    <w:rPr>
                      <w:b/>
                      <w:sz w:val="20"/>
                      <w:szCs w:val="20"/>
                    </w:rPr>
                    <w:t>Formación integral</w:t>
                  </w:r>
                </w:p>
                <w:p w:rsidR="00EB79AD" w:rsidRPr="004C63F7" w:rsidRDefault="00EB79AD" w:rsidP="00C340EE">
                  <w:pPr>
                    <w:pStyle w:val="Sinespaciado"/>
                    <w:numPr>
                      <w:ilvl w:val="0"/>
                      <w:numId w:val="3"/>
                    </w:numPr>
                    <w:ind w:left="284"/>
                    <w:rPr>
                      <w:b/>
                      <w:sz w:val="20"/>
                      <w:szCs w:val="20"/>
                    </w:rPr>
                  </w:pPr>
                  <w:r w:rsidRPr="004C63F7">
                    <w:rPr>
                      <w:b/>
                      <w:sz w:val="20"/>
                      <w:szCs w:val="20"/>
                    </w:rPr>
                    <w:t>Salud Integral</w:t>
                  </w:r>
                </w:p>
                <w:p w:rsidR="00EB79AD" w:rsidRPr="004C63F7" w:rsidRDefault="00EB79AD" w:rsidP="00C340EE">
                  <w:pPr>
                    <w:pStyle w:val="Sinespaciado"/>
                    <w:numPr>
                      <w:ilvl w:val="0"/>
                      <w:numId w:val="3"/>
                    </w:numPr>
                    <w:ind w:left="284"/>
                    <w:rPr>
                      <w:b/>
                      <w:sz w:val="20"/>
                      <w:szCs w:val="20"/>
                    </w:rPr>
                  </w:pPr>
                  <w:r w:rsidRPr="004C63F7">
                    <w:rPr>
                      <w:b/>
                      <w:sz w:val="20"/>
                      <w:szCs w:val="20"/>
                    </w:rPr>
                    <w:t>Atención integral y cultura democrática, participativa e incluyente</w:t>
                  </w:r>
                </w:p>
                <w:p w:rsidR="00EB79AD" w:rsidRPr="004C63F7" w:rsidRDefault="00EB79AD" w:rsidP="00C340EE">
                  <w:pPr>
                    <w:pStyle w:val="Sinespaciado"/>
                    <w:numPr>
                      <w:ilvl w:val="0"/>
                      <w:numId w:val="3"/>
                    </w:numPr>
                    <w:ind w:left="284"/>
                    <w:rPr>
                      <w:b/>
                      <w:sz w:val="20"/>
                      <w:szCs w:val="20"/>
                    </w:rPr>
                  </w:pPr>
                  <w:r w:rsidRPr="004C63F7">
                    <w:rPr>
                      <w:b/>
                      <w:sz w:val="20"/>
                      <w:szCs w:val="20"/>
                    </w:rPr>
                    <w:t>Observatorio Social</w:t>
                  </w:r>
                </w:p>
                <w:p w:rsidR="00EB79AD" w:rsidRPr="004C63F7" w:rsidRDefault="00EB79AD" w:rsidP="00C340EE">
                  <w:pPr>
                    <w:pStyle w:val="Sinespaciado"/>
                    <w:numPr>
                      <w:ilvl w:val="0"/>
                      <w:numId w:val="3"/>
                    </w:numPr>
                    <w:ind w:left="284"/>
                    <w:rPr>
                      <w:b/>
                      <w:sz w:val="20"/>
                      <w:szCs w:val="20"/>
                    </w:rPr>
                  </w:pPr>
                  <w:r w:rsidRPr="004C63F7">
                    <w:rPr>
                      <w:b/>
                      <w:sz w:val="20"/>
                      <w:szCs w:val="20"/>
                    </w:rPr>
                    <w:t>Gestión estratégica</w:t>
                  </w:r>
                </w:p>
              </w:txbxContent>
            </v:textbox>
          </v:roundrect>
        </w:pict>
      </w:r>
      <w:r>
        <w:rPr>
          <w:rFonts w:asciiTheme="minorHAnsi" w:hAnsiTheme="minorHAnsi" w:cs="Arial"/>
          <w:noProof/>
          <w:lang w:val="es-CO" w:eastAsia="es-CO"/>
        </w:rPr>
        <w:pict>
          <v:shapetype id="_x0000_t93" coordsize="21600,21600" o:spt="93" adj="16200,5400" path="m@0,l@0@1,3375@1,3375@2@0@2@0,21600,21600,10800xem1350@1l1350@2,2700@2,2700@1xem0@1l0@2,675@2,675@1xe">
            <v:stroke joinstyle="miter"/>
            <v:formulas>
              <v:f eqn="val #0"/>
              <v:f eqn="val #1"/>
              <v:f eqn="sum height 0 #1"/>
              <v:f eqn="sum 10800 0 #1"/>
              <v:f eqn="sum width 0 #0"/>
              <v:f eqn="prod @4 @3 10800"/>
              <v:f eqn="sum width 0 @5"/>
            </v:formulas>
            <v:path o:connecttype="custom" o:connectlocs="@0,0;0,10800;@0,21600;21600,10800" o:connectangles="270,180,90,0" textboxrect="3375,@1,@6,@2"/>
            <v:handles>
              <v:h position="#0,#1" xrange="3375,21600" yrange="0,10800"/>
            </v:handles>
          </v:shapetype>
          <v:shape id="AutoShape 79" o:spid="_x0000_s1088" type="#_x0000_t93" style="position:absolute;margin-left:433.3pt;margin-top:416.85pt;width:31pt;height:41.05pt;z-index:2517422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" fillcolor="#95b3d7" strokecolor="#95b3d7" strokeweight="1pt">
            <v:fill color2="#dbe5f1" angle="135" focus="50%" type="gradient"/>
            <v:shadow on="t" color="#243f60" opacity=".5" offset="1pt"/>
          </v:shape>
        </w:pict>
      </w:r>
      <w:r>
        <w:rPr>
          <w:rFonts w:asciiTheme="minorHAnsi" w:hAnsiTheme="minorHAnsi" w:cs="Arial"/>
          <w:noProof/>
          <w:lang w:val="es-CO" w:eastAsia="es-CO"/>
        </w:rPr>
        <w:pict>
          <v:shape id="AutoShape 77" o:spid="_x0000_s1087" type="#_x0000_t93" style="position:absolute;margin-left:433.3pt;margin-top:323.2pt;width:31pt;height:41.05pt;z-index:2517401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" fillcolor="#95b3d7" strokecolor="#95b3d7" strokeweight="1pt">
            <v:fill color2="#dbe5f1" angle="135" focus="50%" type="gradient"/>
            <v:shadow on="t" color="#243f60" opacity=".5" offset="1pt"/>
          </v:shape>
        </w:pict>
      </w:r>
      <w:r>
        <w:rPr>
          <w:rFonts w:asciiTheme="minorHAnsi" w:hAnsiTheme="minorHAnsi" w:cs="Arial"/>
          <w:noProof/>
          <w:lang w:val="es-CO" w:eastAsia="es-CO"/>
        </w:rPr>
        <w:pict>
          <v:shape id="AutoShape 76" o:spid="_x0000_s1086" type="#_x0000_t93" style="position:absolute;margin-left:433.3pt;margin-top:169.7pt;width:31pt;height:41.1pt;z-index:2517391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" fillcolor="#95b3d7" strokecolor="#95b3d7" strokeweight="1pt">
            <v:fill color2="#dbe5f1" angle="135" focus="50%" type="gradient"/>
            <v:shadow on="t" color="#243f60" opacity=".5" offset="1pt"/>
          </v:shape>
        </w:pict>
      </w:r>
      <w:r>
        <w:rPr>
          <w:rFonts w:asciiTheme="minorHAnsi" w:hAnsiTheme="minorHAnsi" w:cs="Arial"/>
          <w:noProof/>
          <w:lang w:val="es-CO" w:eastAsia="es-CO"/>
        </w:rPr>
        <w:pict>
          <v:roundrect id="AutoShape 74" o:spid="_x0000_s1033" style="position:absolute;margin-left:-44.55pt;margin-top:220.6pt;width:122.3pt;height:152.65pt;z-index:25173708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" fillcolor="#95b3d7" strokecolor="#95b3d7" strokeweight="1pt">
            <v:fill color2="#dbe5f1" angle="135" focus="50%" type="gradient"/>
            <v:shadow on="t" color="#243f60" opacity=".5" offset="1pt"/>
            <v:textbox>
              <w:txbxContent>
                <w:p w:rsidR="00EB79AD" w:rsidRPr="004C63F7" w:rsidRDefault="00EB79AD" w:rsidP="00C340EE">
                  <w:pPr>
                    <w:pStyle w:val="Sinespaciado"/>
                    <w:ind w:left="284"/>
                    <w:jc w:val="center"/>
                    <w:rPr>
                      <w:b/>
                      <w:sz w:val="20"/>
                      <w:szCs w:val="20"/>
                    </w:rPr>
                  </w:pPr>
                  <w:r>
                    <w:rPr>
                      <w:b/>
                      <w:sz w:val="20"/>
                      <w:szCs w:val="20"/>
                      <w:lang w:val="es-CO"/>
                    </w:rPr>
                    <w:t>Realizar aportes en el desarrollo social, económico, competitivo, científico tecnológico y financiero de los participantes en las alianzas estratégicas enmarcadas dentro del respeto y la ética</w:t>
                  </w:r>
                </w:p>
              </w:txbxContent>
            </v:textbox>
          </v:roundrect>
        </w:pict>
      </w:r>
      <w:r>
        <w:rPr>
          <w:rFonts w:asciiTheme="minorHAnsi" w:hAnsiTheme="minorHAnsi" w:cs="Arial"/>
          <w:noProof/>
          <w:lang w:val="es-CO" w:eastAsia="es-CO"/>
        </w:rPr>
        <w:pict>
          <v:rect id="Rectangle 73" o:spid="_x0000_s1034" style="position:absolute;margin-left:-30.15pt;margin-top:14.75pt;width:231.85pt;height:24.05pt;z-index:2517360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" fillcolor="#9bbb59 [3206]" strokecolor="#f2f2f2 [3041]" strokeweight="3pt">
            <v:shadow on="t" color="#4e6128 [1606]" opacity=".5" offset="1pt"/>
            <v:textbox>
              <w:txbxContent>
                <w:p w:rsidR="00EB79AD" w:rsidRPr="002B224E" w:rsidRDefault="00EB79AD" w:rsidP="00C340EE">
                  <w:pPr>
                    <w:jc w:val="center"/>
                    <w:rPr>
                      <w:b/>
                      <w:lang w:val="es-CO"/>
                    </w:rPr>
                  </w:pPr>
                  <w:r w:rsidRPr="002B224E">
                    <w:rPr>
                      <w:b/>
                      <w:lang w:val="es-CO"/>
                    </w:rPr>
                    <w:t xml:space="preserve">Nivel </w:t>
                  </w:r>
                  <w:r>
                    <w:rPr>
                      <w:b/>
                      <w:lang w:val="es-CO"/>
                    </w:rPr>
                    <w:t>estratégico</w:t>
                  </w:r>
                </w:p>
              </w:txbxContent>
            </v:textbox>
          </v:rect>
        </w:pict>
      </w:r>
      <w:r>
        <w:rPr>
          <w:rFonts w:asciiTheme="minorHAnsi" w:hAnsiTheme="minorHAnsi" w:cs="Arial"/>
          <w:noProof/>
          <w:lang w:val="es-CO" w:eastAsia="es-CO"/>
        </w:rPr>
        <w:pict>
          <v:rect id="Rectangle 72" o:spid="_x0000_s1035" style="position:absolute;margin-left:229.35pt;margin-top:15.35pt;width:174.65pt;height:24.05pt;z-index:2517350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" fillcolor="#9bbb59 [3206]" strokecolor="#f2f2f2 [3041]" strokeweight="3pt">
            <v:shadow on="t" color="#4e6128 [1606]" opacity=".5" offset="1pt"/>
            <v:textbox>
              <w:txbxContent>
                <w:p w:rsidR="00EB79AD" w:rsidRPr="002B224E" w:rsidRDefault="00EB79AD" w:rsidP="00C340EE">
                  <w:pPr>
                    <w:jc w:val="center"/>
                    <w:rPr>
                      <w:b/>
                      <w:lang w:val="es-CO"/>
                    </w:rPr>
                  </w:pPr>
                  <w:r w:rsidRPr="002B224E">
                    <w:rPr>
                      <w:b/>
                      <w:lang w:val="es-CO"/>
                    </w:rPr>
                    <w:t xml:space="preserve">Nivel </w:t>
                  </w:r>
                  <w:r>
                    <w:rPr>
                      <w:b/>
                      <w:lang w:val="es-CO"/>
                    </w:rPr>
                    <w:t>táctico</w:t>
                  </w:r>
                </w:p>
              </w:txbxContent>
            </v:textbox>
          </v:rect>
        </w:pict>
      </w:r>
      <w:r>
        <w:rPr>
          <w:rFonts w:asciiTheme="minorHAnsi" w:hAnsiTheme="minorHAnsi" w:cs="Arial"/>
          <w:noProof/>
          <w:lang w:val="es-CO" w:eastAsia="es-CO"/>
        </w:rPr>
        <w:pict>
          <v:rect id="Rectangle 71" o:spid="_x0000_s1036" style="position:absolute;margin-left:474.2pt;margin-top:16.6pt;width:174.7pt;height:24.05pt;z-index:2517340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" fillcolor="#9bbb59 [3206]" strokecolor="#f2f2f2 [3041]" strokeweight="3pt">
            <v:shadow on="t" color="#4e6128 [1606]" opacity=".5" offset="1pt"/>
            <v:textbox>
              <w:txbxContent>
                <w:p w:rsidR="00EB79AD" w:rsidRPr="002B224E" w:rsidRDefault="00EB79AD" w:rsidP="00C340EE">
                  <w:pPr>
                    <w:jc w:val="center"/>
                    <w:rPr>
                      <w:b/>
                      <w:lang w:val="es-CO"/>
                    </w:rPr>
                  </w:pPr>
                  <w:r w:rsidRPr="002B224E">
                    <w:rPr>
                      <w:b/>
                      <w:lang w:val="es-CO"/>
                    </w:rPr>
                    <w:t>Nivel operativo</w:t>
                  </w:r>
                </w:p>
              </w:txbxContent>
            </v:textbox>
          </v:rect>
        </w:pict>
      </w:r>
      <w:r>
        <w:rPr>
          <w:rFonts w:asciiTheme="minorHAnsi" w:hAnsiTheme="minorHAnsi" w:cs="Arial"/>
          <w:noProof/>
          <w:lang w:val="es-CO" w:eastAsia="es-CO"/>
        </w:rPr>
        <w:pict>
          <v:roundrect id="AutoShape 70" o:spid="_x0000_s1037" style="position:absolute;margin-left:-30.05pt;margin-top:59.5pt;width:79.45pt;height:22.35pt;z-index:25173299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" strokecolor="#4f81bd" strokeweight="2.5pt">
            <v:shadow color="#868686"/>
            <v:textbox>
              <w:txbxContent>
                <w:p w:rsidR="00EB79AD" w:rsidRPr="002B224E" w:rsidRDefault="00EB79AD" w:rsidP="00C340EE">
                  <w:pPr>
                    <w:jc w:val="center"/>
                    <w:rPr>
                      <w:b/>
                      <w:lang w:val="es-CO"/>
                    </w:rPr>
                  </w:pPr>
                  <w:r>
                    <w:rPr>
                      <w:b/>
                      <w:lang w:val="es-CO"/>
                    </w:rPr>
                    <w:t>Fines</w:t>
                  </w:r>
                </w:p>
              </w:txbxContent>
            </v:textbox>
          </v:roundrect>
        </w:pict>
      </w:r>
      <w:r>
        <w:rPr>
          <w:rFonts w:asciiTheme="minorHAnsi" w:hAnsiTheme="minorHAnsi" w:cs="Arial"/>
          <w:noProof/>
          <w:lang w:val="es-CO" w:eastAsia="es-CO"/>
        </w:rPr>
        <w:pict>
          <v:roundrect id="AutoShape 69" o:spid="_x0000_s1038" style="position:absolute;margin-left:475.3pt;margin-top:60.1pt;width:174.65pt;height:22.35pt;z-index:25173196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" strokecolor="#4f81bd" strokeweight="2.5pt">
            <v:shadow color="#868686"/>
            <v:textbox>
              <w:txbxContent>
                <w:p w:rsidR="00EB79AD" w:rsidRPr="002B224E" w:rsidRDefault="00EB79AD" w:rsidP="00C340EE">
                  <w:pPr>
                    <w:jc w:val="center"/>
                    <w:rPr>
                      <w:b/>
                      <w:lang w:val="es-CO"/>
                    </w:rPr>
                  </w:pPr>
                  <w:r>
                    <w:rPr>
                      <w:b/>
                      <w:lang w:val="es-CO"/>
                    </w:rPr>
                    <w:t>Proyectos</w:t>
                  </w:r>
                </w:p>
              </w:txbxContent>
            </v:textbox>
          </v:roundrect>
        </w:pict>
      </w:r>
      <w:r>
        <w:rPr>
          <w:rFonts w:asciiTheme="minorHAnsi" w:hAnsiTheme="minorHAnsi" w:cs="Arial"/>
          <w:noProof/>
          <w:lang w:val="es-CO" w:eastAsia="es-CO"/>
        </w:rPr>
        <w:pict>
          <v:roundrect id="AutoShape 68" o:spid="_x0000_s1039" style="position:absolute;margin-left:216.65pt;margin-top:392.35pt;width:213.35pt;height:89.35pt;z-index:25173094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" fillcolor="#95b3d7" strokecolor="#95b3d7" strokeweight="1pt">
            <v:fill color2="#dbe5f1" angle="135" focus="50%" type="gradient"/>
            <v:shadow on="t" color="#243f60" opacity=".5" offset="1pt"/>
            <v:textbox>
              <w:txbxContent>
                <w:p w:rsidR="00EB79AD" w:rsidRPr="004C63F7" w:rsidRDefault="00EB79AD" w:rsidP="00C340EE">
                  <w:pPr>
                    <w:pStyle w:val="Sinespaciado"/>
                    <w:numPr>
                      <w:ilvl w:val="0"/>
                      <w:numId w:val="3"/>
                    </w:numPr>
                    <w:ind w:left="284"/>
                    <w:rPr>
                      <w:b/>
                      <w:sz w:val="20"/>
                      <w:szCs w:val="20"/>
                    </w:rPr>
                  </w:pPr>
                  <w:r w:rsidRPr="004C63F7">
                    <w:rPr>
                      <w:b/>
                      <w:sz w:val="20"/>
                      <w:szCs w:val="20"/>
                    </w:rPr>
                    <w:t>Formación integral</w:t>
                  </w:r>
                </w:p>
                <w:p w:rsidR="00EB79AD" w:rsidRPr="004C63F7" w:rsidRDefault="00EB79AD" w:rsidP="00C340EE">
                  <w:pPr>
                    <w:pStyle w:val="Sinespaciado"/>
                    <w:numPr>
                      <w:ilvl w:val="0"/>
                      <w:numId w:val="3"/>
                    </w:numPr>
                    <w:ind w:left="284"/>
                    <w:rPr>
                      <w:b/>
                      <w:sz w:val="20"/>
                      <w:szCs w:val="20"/>
                    </w:rPr>
                  </w:pPr>
                  <w:r w:rsidRPr="004C63F7">
                    <w:rPr>
                      <w:b/>
                      <w:sz w:val="20"/>
                      <w:szCs w:val="20"/>
                    </w:rPr>
                    <w:t>Salud Integral</w:t>
                  </w:r>
                </w:p>
                <w:p w:rsidR="00EB79AD" w:rsidRPr="004C63F7" w:rsidRDefault="00EB79AD" w:rsidP="00C340EE">
                  <w:pPr>
                    <w:pStyle w:val="Sinespaciado"/>
                    <w:numPr>
                      <w:ilvl w:val="0"/>
                      <w:numId w:val="3"/>
                    </w:numPr>
                    <w:ind w:left="284"/>
                    <w:rPr>
                      <w:b/>
                      <w:sz w:val="20"/>
                      <w:szCs w:val="20"/>
                    </w:rPr>
                  </w:pPr>
                  <w:r w:rsidRPr="004C63F7">
                    <w:rPr>
                      <w:b/>
                      <w:sz w:val="20"/>
                      <w:szCs w:val="20"/>
                    </w:rPr>
                    <w:t>Atención integral y cultura democrática, participativa e incluyente</w:t>
                  </w:r>
                </w:p>
                <w:p w:rsidR="00EB79AD" w:rsidRPr="004C63F7" w:rsidRDefault="00EB79AD" w:rsidP="00C340EE">
                  <w:pPr>
                    <w:pStyle w:val="Sinespaciado"/>
                    <w:numPr>
                      <w:ilvl w:val="0"/>
                      <w:numId w:val="3"/>
                    </w:numPr>
                    <w:ind w:left="284"/>
                    <w:rPr>
                      <w:b/>
                      <w:sz w:val="20"/>
                      <w:szCs w:val="20"/>
                    </w:rPr>
                  </w:pPr>
                  <w:r w:rsidRPr="004C63F7">
                    <w:rPr>
                      <w:b/>
                      <w:sz w:val="20"/>
                      <w:szCs w:val="20"/>
                    </w:rPr>
                    <w:t>Observatorio Social</w:t>
                  </w:r>
                </w:p>
                <w:p w:rsidR="00EB79AD" w:rsidRPr="004C63F7" w:rsidRDefault="00EB79AD" w:rsidP="00C340EE">
                  <w:pPr>
                    <w:pStyle w:val="Sinespaciado"/>
                    <w:numPr>
                      <w:ilvl w:val="0"/>
                      <w:numId w:val="3"/>
                    </w:numPr>
                    <w:ind w:left="284"/>
                    <w:rPr>
                      <w:b/>
                      <w:sz w:val="20"/>
                      <w:szCs w:val="20"/>
                    </w:rPr>
                  </w:pPr>
                  <w:r w:rsidRPr="004C63F7">
                    <w:rPr>
                      <w:b/>
                      <w:sz w:val="20"/>
                      <w:szCs w:val="20"/>
                    </w:rPr>
                    <w:t>Gestión estratégica</w:t>
                  </w:r>
                </w:p>
              </w:txbxContent>
            </v:textbox>
          </v:roundrect>
        </w:pict>
      </w:r>
      <w:r>
        <w:rPr>
          <w:rFonts w:asciiTheme="minorHAnsi" w:hAnsiTheme="minorHAnsi" w:cs="Arial"/>
          <w:noProof/>
          <w:lang w:val="es-CO" w:eastAsia="es-CO"/>
        </w:rPr>
        <w:pict>
          <v:shape id="AutoShape 67" o:spid="_x0000_s1085" type="#_x0000_t93" style="position:absolute;margin-left:177.05pt;margin-top:416.85pt;width:33.6pt;height:41.05pt;z-index:2517299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" fillcolor="#95b3d7" strokecolor="#95b3d7" strokeweight="1pt">
            <v:fill color2="#dbe5f1" angle="135" focus="50%" type="gradient"/>
            <v:shadow on="t" color="#243f60" opacity=".5" offset="1pt"/>
          </v:shape>
        </w:pict>
      </w:r>
      <w:r>
        <w:rPr>
          <w:rFonts w:asciiTheme="minorHAnsi" w:hAnsiTheme="minorHAnsi" w:cs="Arial"/>
          <w:noProof/>
          <w:lang w:val="es-CO" w:eastAsia="es-CO"/>
        </w:rPr>
        <w:pict>
          <v:roundrect id="AutoShape 66" o:spid="_x0000_s1040" style="position:absolute;margin-left:88.5pt;margin-top:419pt;width:82.9pt;height:39.6pt;z-index:25172889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" fillcolor="#95b3d7" strokecolor="#95b3d7" strokeweight="1pt">
            <v:fill color2="#dbe5f1" angle="135" focus="50%" type="gradient"/>
            <v:shadow on="t" color="#243f60" opacity=".5" offset="1pt"/>
            <v:textbox>
              <w:txbxContent>
                <w:p w:rsidR="00EB79AD" w:rsidRPr="004C63F7" w:rsidRDefault="00EB79AD" w:rsidP="00C340EE">
                  <w:pPr>
                    <w:spacing w:after="0"/>
                    <w:jc w:val="center"/>
                    <w:rPr>
                      <w:b/>
                      <w:sz w:val="20"/>
                      <w:szCs w:val="20"/>
                    </w:rPr>
                  </w:pPr>
                  <w:r w:rsidRPr="004C63F7">
                    <w:rPr>
                      <w:b/>
                      <w:sz w:val="20"/>
                      <w:szCs w:val="20"/>
                    </w:rPr>
                    <w:t>Bienestar Institucional</w:t>
                  </w:r>
                </w:p>
              </w:txbxContent>
            </v:textbox>
          </v:roundrect>
        </w:pict>
      </w:r>
      <w:r>
        <w:rPr>
          <w:rFonts w:asciiTheme="minorHAnsi" w:hAnsiTheme="minorHAnsi" w:cs="Arial"/>
          <w:noProof/>
          <w:lang w:val="es-CO" w:eastAsia="es-CO"/>
        </w:rPr>
        <w:pict>
          <v:shape id="AutoShape 64" o:spid="_x0000_s1084" type="#_x0000_t93" style="position:absolute;margin-left:179.5pt;margin-top:323.2pt;width:33.5pt;height:41.05pt;z-index:2517268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" fillcolor="#95b3d7" strokecolor="#95b3d7" strokeweight="1pt">
            <v:fill color2="#dbe5f1" angle="135" focus="50%" type="gradient"/>
            <v:shadow on="t" color="#243f60" opacity=".5" offset="1pt"/>
          </v:shape>
        </w:pict>
      </w:r>
      <w:r>
        <w:rPr>
          <w:rFonts w:asciiTheme="minorHAnsi" w:hAnsiTheme="minorHAnsi" w:cs="Arial"/>
          <w:noProof/>
          <w:lang w:val="es-CO" w:eastAsia="es-CO"/>
        </w:rPr>
        <w:pict>
          <v:roundrect id="AutoShape 63" o:spid="_x0000_s1041" style="position:absolute;margin-left:85.15pt;margin-top:317.4pt;width:90pt;height:49pt;z-index:25172582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" fillcolor="#95b3d7" strokecolor="#95b3d7" strokeweight="1pt">
            <v:fill color2="#dbe5f1" angle="135" focus="50%" type="gradient"/>
            <v:shadow on="t" color="#243f60" opacity=".5" offset="1pt"/>
            <v:textbox>
              <w:txbxContent>
                <w:p w:rsidR="00EB79AD" w:rsidRPr="004C63F7" w:rsidRDefault="00EB79AD" w:rsidP="00C340EE">
                  <w:pPr>
                    <w:spacing w:after="0"/>
                    <w:jc w:val="center"/>
                    <w:rPr>
                      <w:b/>
                      <w:sz w:val="20"/>
                      <w:szCs w:val="20"/>
                    </w:rPr>
                  </w:pPr>
                  <w:r w:rsidRPr="004C63F7">
                    <w:rPr>
                      <w:b/>
                      <w:sz w:val="20"/>
                      <w:szCs w:val="20"/>
                    </w:rPr>
                    <w:t>Cobertura con calidad de la oferta educativa</w:t>
                  </w:r>
                </w:p>
              </w:txbxContent>
            </v:textbox>
          </v:roundrect>
        </w:pict>
      </w:r>
      <w:r>
        <w:rPr>
          <w:rFonts w:asciiTheme="minorHAnsi" w:hAnsiTheme="minorHAnsi" w:cs="Arial"/>
          <w:noProof/>
          <w:lang w:val="es-CO" w:eastAsia="es-CO"/>
        </w:rPr>
        <w:pict>
          <v:roundrect id="AutoShape 62" o:spid="_x0000_s1042" style="position:absolute;margin-left:229.35pt;margin-top:59.5pt;width:174.65pt;height:22.35pt;z-index:25172480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" strokecolor="#4f81bd" strokeweight="2.5pt">
            <v:shadow color="#868686"/>
            <v:textbox>
              <w:txbxContent>
                <w:p w:rsidR="00EB79AD" w:rsidRPr="000A4A89" w:rsidRDefault="00EB79AD" w:rsidP="00C340EE">
                  <w:pPr>
                    <w:jc w:val="center"/>
                    <w:rPr>
                      <w:b/>
                    </w:rPr>
                  </w:pPr>
                  <w:r>
                    <w:rPr>
                      <w:b/>
                    </w:rPr>
                    <w:t>Componentes</w:t>
                  </w:r>
                </w:p>
              </w:txbxContent>
            </v:textbox>
          </v:roundrect>
        </w:pict>
      </w:r>
      <w:r>
        <w:rPr>
          <w:rFonts w:asciiTheme="minorHAnsi" w:hAnsiTheme="minorHAnsi" w:cs="Arial"/>
          <w:noProof/>
          <w:lang w:val="es-CO" w:eastAsia="es-CO"/>
        </w:rPr>
        <w:pict>
          <v:roundrect id="AutoShape 61" o:spid="_x0000_s1043" style="position:absolute;margin-left:87.25pt;margin-top:59.5pt;width:116.95pt;height:22.35pt;z-index:25172377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" strokecolor="#4f81bd" strokeweight="2.5pt">
            <v:shadow color="#868686"/>
            <v:textbox>
              <w:txbxContent>
                <w:p w:rsidR="00EB79AD" w:rsidRPr="000A4A89" w:rsidRDefault="00EB79AD" w:rsidP="00C340EE">
                  <w:pPr>
                    <w:jc w:val="center"/>
                    <w:rPr>
                      <w:b/>
                    </w:rPr>
                  </w:pPr>
                  <w:r w:rsidRPr="000A4A89">
                    <w:rPr>
                      <w:b/>
                    </w:rPr>
                    <w:t>Objetivo Institucional</w:t>
                  </w:r>
                </w:p>
              </w:txbxContent>
            </v:textbox>
          </v:roundrect>
        </w:pict>
      </w:r>
      <w:r>
        <w:rPr>
          <w:rFonts w:asciiTheme="minorHAnsi" w:hAnsiTheme="minorHAnsi" w:cs="Arial"/>
          <w:noProof/>
          <w:lang w:val="es-CO" w:eastAsia="es-CO"/>
        </w:rPr>
        <w:pict>
          <v:roundrect id="AutoShape 60" o:spid="_x0000_s1044" style="position:absolute;margin-left:218.15pt;margin-top:93pt;width:211.85pt;height:201pt;z-index:25172275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" fillcolor="#95b3d7" strokecolor="#95b3d7" strokeweight="1pt">
            <v:fill color2="#dbe5f1" angle="135" focus="50%" type="gradient"/>
            <v:shadow on="t" color="#243f60" opacity=".5" offset="1pt"/>
            <v:textbox>
              <w:txbxContent>
                <w:p w:rsidR="00EB79AD" w:rsidRPr="004C63F7" w:rsidRDefault="00EB79AD" w:rsidP="00C340EE">
                  <w:pPr>
                    <w:pStyle w:val="Sinespaciado"/>
                    <w:numPr>
                      <w:ilvl w:val="0"/>
                      <w:numId w:val="1"/>
                    </w:numPr>
                    <w:ind w:left="284"/>
                    <w:rPr>
                      <w:b/>
                      <w:sz w:val="20"/>
                      <w:szCs w:val="20"/>
                    </w:rPr>
                  </w:pPr>
                  <w:r w:rsidRPr="004C63F7">
                    <w:rPr>
                      <w:b/>
                      <w:sz w:val="20"/>
                      <w:szCs w:val="20"/>
                    </w:rPr>
                    <w:t>Gestión estratégica del campus</w:t>
                  </w:r>
                </w:p>
                <w:p w:rsidR="00EB79AD" w:rsidRPr="004C63F7" w:rsidRDefault="00EB79AD" w:rsidP="00C340EE">
                  <w:pPr>
                    <w:pStyle w:val="Sinespaciado"/>
                    <w:numPr>
                      <w:ilvl w:val="0"/>
                      <w:numId w:val="1"/>
                    </w:numPr>
                    <w:ind w:left="284"/>
                    <w:rPr>
                      <w:b/>
                      <w:sz w:val="20"/>
                      <w:szCs w:val="20"/>
                    </w:rPr>
                  </w:pPr>
                  <w:r w:rsidRPr="004C63F7">
                    <w:rPr>
                      <w:b/>
                      <w:sz w:val="20"/>
                      <w:szCs w:val="20"/>
                    </w:rPr>
                    <w:t>Gestión y sostenibilidad ambiental</w:t>
                  </w:r>
                </w:p>
                <w:p w:rsidR="00EB79AD" w:rsidRPr="004C63F7" w:rsidRDefault="00EB79AD" w:rsidP="00C340EE">
                  <w:pPr>
                    <w:pStyle w:val="Sinespaciado"/>
                    <w:numPr>
                      <w:ilvl w:val="0"/>
                      <w:numId w:val="1"/>
                    </w:numPr>
                    <w:ind w:left="284"/>
                    <w:rPr>
                      <w:b/>
                      <w:sz w:val="20"/>
                      <w:szCs w:val="20"/>
                    </w:rPr>
                  </w:pPr>
                  <w:r w:rsidRPr="004C63F7">
                    <w:rPr>
                      <w:b/>
                      <w:sz w:val="20"/>
                      <w:szCs w:val="20"/>
                    </w:rPr>
                    <w:t>Gestión de las sedes alternas</w:t>
                  </w:r>
                </w:p>
                <w:p w:rsidR="00EB79AD" w:rsidRPr="004C63F7" w:rsidRDefault="00EB79AD" w:rsidP="00C340EE">
                  <w:pPr>
                    <w:pStyle w:val="Sinespaciado"/>
                    <w:numPr>
                      <w:ilvl w:val="0"/>
                      <w:numId w:val="1"/>
                    </w:numPr>
                    <w:ind w:left="284"/>
                    <w:rPr>
                      <w:b/>
                      <w:sz w:val="20"/>
                      <w:szCs w:val="20"/>
                    </w:rPr>
                  </w:pPr>
                  <w:r w:rsidRPr="004C63F7">
                    <w:rPr>
                      <w:b/>
                      <w:sz w:val="20"/>
                      <w:szCs w:val="20"/>
                    </w:rPr>
                    <w:t>Sostenibilidad de la infraestructura física</w:t>
                  </w:r>
                </w:p>
                <w:p w:rsidR="00EB79AD" w:rsidRPr="004C63F7" w:rsidRDefault="00EB79AD" w:rsidP="00C340EE">
                  <w:pPr>
                    <w:pStyle w:val="Sinespaciado"/>
                    <w:numPr>
                      <w:ilvl w:val="0"/>
                      <w:numId w:val="1"/>
                    </w:numPr>
                    <w:ind w:left="284"/>
                    <w:rPr>
                      <w:b/>
                      <w:sz w:val="20"/>
                      <w:szCs w:val="20"/>
                    </w:rPr>
                  </w:pPr>
                  <w:r w:rsidRPr="004C63F7">
                    <w:rPr>
                      <w:b/>
                      <w:sz w:val="20"/>
                      <w:szCs w:val="20"/>
                    </w:rPr>
                    <w:t>Sistemas de información</w:t>
                  </w:r>
                </w:p>
                <w:p w:rsidR="00EB79AD" w:rsidRPr="004C63F7" w:rsidRDefault="00EB79AD" w:rsidP="00C340EE">
                  <w:pPr>
                    <w:pStyle w:val="Sinespaciado"/>
                    <w:numPr>
                      <w:ilvl w:val="0"/>
                      <w:numId w:val="1"/>
                    </w:numPr>
                    <w:ind w:left="284"/>
                    <w:rPr>
                      <w:b/>
                      <w:sz w:val="20"/>
                      <w:szCs w:val="20"/>
                    </w:rPr>
                  </w:pPr>
                  <w:r w:rsidRPr="004C63F7">
                    <w:rPr>
                      <w:b/>
                      <w:sz w:val="20"/>
                      <w:szCs w:val="20"/>
                    </w:rPr>
                    <w:t>Automatización de los recursos físicos</w:t>
                  </w:r>
                </w:p>
                <w:p w:rsidR="00EB79AD" w:rsidRPr="004C63F7" w:rsidRDefault="00EB79AD" w:rsidP="00C340EE">
                  <w:pPr>
                    <w:pStyle w:val="Sinespaciado"/>
                    <w:numPr>
                      <w:ilvl w:val="0"/>
                      <w:numId w:val="1"/>
                    </w:numPr>
                    <w:ind w:left="284"/>
                    <w:rPr>
                      <w:b/>
                      <w:sz w:val="20"/>
                      <w:szCs w:val="20"/>
                    </w:rPr>
                  </w:pPr>
                  <w:r w:rsidRPr="004C63F7">
                    <w:rPr>
                      <w:b/>
                      <w:sz w:val="20"/>
                      <w:szCs w:val="20"/>
                    </w:rPr>
                    <w:t>Sostenibilidad de hardware y software</w:t>
                  </w:r>
                </w:p>
                <w:p w:rsidR="00EB79AD" w:rsidRPr="004C63F7" w:rsidRDefault="00EB79AD" w:rsidP="00C340EE">
                  <w:pPr>
                    <w:pStyle w:val="Sinespaciado"/>
                    <w:numPr>
                      <w:ilvl w:val="0"/>
                      <w:numId w:val="1"/>
                    </w:numPr>
                    <w:ind w:left="284"/>
                    <w:rPr>
                      <w:b/>
                      <w:sz w:val="20"/>
                      <w:szCs w:val="20"/>
                    </w:rPr>
                  </w:pPr>
                  <w:r w:rsidRPr="004C63F7">
                    <w:rPr>
                      <w:b/>
                      <w:sz w:val="20"/>
                      <w:szCs w:val="20"/>
                    </w:rPr>
                    <w:t>Sistemas de comunicación</w:t>
                  </w:r>
                </w:p>
                <w:p w:rsidR="00EB79AD" w:rsidRPr="004C63F7" w:rsidRDefault="00EB79AD" w:rsidP="00C340EE">
                  <w:pPr>
                    <w:pStyle w:val="Sinespaciado"/>
                    <w:numPr>
                      <w:ilvl w:val="0"/>
                      <w:numId w:val="1"/>
                    </w:numPr>
                    <w:ind w:left="284"/>
                    <w:rPr>
                      <w:b/>
                      <w:sz w:val="20"/>
                      <w:szCs w:val="20"/>
                    </w:rPr>
                  </w:pPr>
                  <w:r w:rsidRPr="004C63F7">
                    <w:rPr>
                      <w:b/>
                      <w:sz w:val="20"/>
                      <w:szCs w:val="20"/>
                    </w:rPr>
                    <w:t>Procesos de gestión humana</w:t>
                  </w:r>
                </w:p>
                <w:p w:rsidR="00EB79AD" w:rsidRPr="004C63F7" w:rsidRDefault="00EB79AD" w:rsidP="00C340EE">
                  <w:pPr>
                    <w:pStyle w:val="Sinespaciado"/>
                    <w:numPr>
                      <w:ilvl w:val="0"/>
                      <w:numId w:val="1"/>
                    </w:numPr>
                    <w:ind w:left="284"/>
                    <w:rPr>
                      <w:b/>
                      <w:sz w:val="20"/>
                      <w:szCs w:val="20"/>
                    </w:rPr>
                  </w:pPr>
                  <w:r w:rsidRPr="004C63F7">
                    <w:rPr>
                      <w:b/>
                      <w:sz w:val="20"/>
                      <w:szCs w:val="20"/>
                    </w:rPr>
                    <w:t>Cultura organizacional</w:t>
                  </w:r>
                </w:p>
                <w:p w:rsidR="00EB79AD" w:rsidRPr="004C63F7" w:rsidRDefault="00EB79AD" w:rsidP="00C340EE">
                  <w:pPr>
                    <w:pStyle w:val="Sinespaciado"/>
                    <w:numPr>
                      <w:ilvl w:val="0"/>
                      <w:numId w:val="1"/>
                    </w:numPr>
                    <w:ind w:left="284"/>
                    <w:rPr>
                      <w:b/>
                      <w:sz w:val="20"/>
                      <w:szCs w:val="20"/>
                    </w:rPr>
                  </w:pPr>
                  <w:r w:rsidRPr="004C63F7">
                    <w:rPr>
                      <w:b/>
                      <w:sz w:val="20"/>
                      <w:szCs w:val="20"/>
                    </w:rPr>
                    <w:t>Estructura organizacional</w:t>
                  </w:r>
                </w:p>
                <w:p w:rsidR="00EB79AD" w:rsidRPr="004C63F7" w:rsidRDefault="00EB79AD" w:rsidP="00C340EE">
                  <w:pPr>
                    <w:pStyle w:val="Sinespaciado"/>
                    <w:numPr>
                      <w:ilvl w:val="0"/>
                      <w:numId w:val="1"/>
                    </w:numPr>
                    <w:ind w:left="284"/>
                    <w:rPr>
                      <w:b/>
                      <w:sz w:val="20"/>
                      <w:szCs w:val="20"/>
                    </w:rPr>
                  </w:pPr>
                  <w:r w:rsidRPr="004C63F7">
                    <w:rPr>
                      <w:b/>
                      <w:sz w:val="20"/>
                      <w:szCs w:val="20"/>
                    </w:rPr>
                    <w:t>Gestión de procesos</w:t>
                  </w:r>
                </w:p>
                <w:p w:rsidR="00EB79AD" w:rsidRPr="004C63F7" w:rsidRDefault="00EB79AD" w:rsidP="00C340EE">
                  <w:pPr>
                    <w:pStyle w:val="Sinespaciado"/>
                    <w:numPr>
                      <w:ilvl w:val="0"/>
                      <w:numId w:val="1"/>
                    </w:numPr>
                    <w:ind w:left="284"/>
                    <w:rPr>
                      <w:b/>
                      <w:sz w:val="20"/>
                      <w:szCs w:val="20"/>
                    </w:rPr>
                  </w:pPr>
                  <w:r w:rsidRPr="004C63F7">
                    <w:rPr>
                      <w:b/>
                      <w:sz w:val="20"/>
                      <w:szCs w:val="20"/>
                    </w:rPr>
                    <w:t>Optimización de ingresos</w:t>
                  </w:r>
                </w:p>
                <w:p w:rsidR="00EB79AD" w:rsidRPr="004C63F7" w:rsidRDefault="00EB79AD" w:rsidP="00C340EE">
                  <w:pPr>
                    <w:pStyle w:val="Sinespaciado"/>
                    <w:numPr>
                      <w:ilvl w:val="0"/>
                      <w:numId w:val="1"/>
                    </w:numPr>
                    <w:ind w:left="284"/>
                    <w:rPr>
                      <w:b/>
                      <w:sz w:val="20"/>
                      <w:szCs w:val="20"/>
                    </w:rPr>
                  </w:pPr>
                  <w:r w:rsidRPr="004C63F7">
                    <w:rPr>
                      <w:b/>
                      <w:sz w:val="20"/>
                      <w:szCs w:val="20"/>
                    </w:rPr>
                    <w:t>Nuevas líneas de financiamiento</w:t>
                  </w:r>
                </w:p>
                <w:p w:rsidR="00EB79AD" w:rsidRPr="004C63F7" w:rsidRDefault="00EB79AD" w:rsidP="00C340EE">
                  <w:pPr>
                    <w:pStyle w:val="Sinespaciado"/>
                    <w:numPr>
                      <w:ilvl w:val="0"/>
                      <w:numId w:val="1"/>
                    </w:numPr>
                    <w:ind w:left="284"/>
                    <w:rPr>
                      <w:b/>
                      <w:sz w:val="20"/>
                      <w:szCs w:val="20"/>
                    </w:rPr>
                  </w:pPr>
                  <w:r w:rsidRPr="004C63F7">
                    <w:rPr>
                      <w:b/>
                      <w:sz w:val="20"/>
                      <w:szCs w:val="20"/>
                    </w:rPr>
                    <w:t>Racionalización del uso de los recursos</w:t>
                  </w:r>
                </w:p>
              </w:txbxContent>
            </v:textbox>
          </v:roundrect>
        </w:pict>
      </w:r>
      <w:r>
        <w:rPr>
          <w:rFonts w:asciiTheme="minorHAnsi" w:hAnsiTheme="minorHAnsi" w:cs="Arial"/>
          <w:noProof/>
          <w:lang w:val="es-CO" w:eastAsia="es-CO"/>
        </w:rPr>
        <w:pict>
          <v:shape id="AutoShape 59" o:spid="_x0000_s1083" type="#_x0000_t93" style="position:absolute;margin-left:182.5pt;margin-top:174.05pt;width:31pt;height:41.05pt;z-index:251721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" fillcolor="#95b3d7" strokecolor="#95b3d7" strokeweight="1pt">
            <v:fill color2="#dbe5f1" angle="135" focus="50%" type="gradient"/>
            <v:shadow on="t" color="#243f60" opacity=".5" offset="1pt"/>
          </v:shape>
        </w:pict>
      </w:r>
      <w:r>
        <w:rPr>
          <w:rFonts w:asciiTheme="minorHAnsi" w:hAnsiTheme="minorHAnsi" w:cs="Arial"/>
          <w:noProof/>
          <w:lang w:val="es-CO" w:eastAsia="es-CO"/>
        </w:rPr>
        <w:pict>
          <v:roundrect id="AutoShape 58" o:spid="_x0000_s1045" style="position:absolute;margin-left:87.25pt;margin-top:176.2pt;width:89.15pt;height:34.6pt;z-index:25172070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" fillcolor="#95b3d7" strokecolor="#95b3d7" strokeweight="1pt">
            <v:fill color2="#dbe5f1" angle="135" focus="50%" type="gradient"/>
            <v:shadow on="t" color="#243f60" opacity=".5" offset="1pt"/>
            <v:textbox>
              <w:txbxContent>
                <w:p w:rsidR="00EB79AD" w:rsidRPr="004C63F7" w:rsidRDefault="00EB79AD" w:rsidP="00C340EE">
                  <w:pPr>
                    <w:spacing w:after="0"/>
                    <w:jc w:val="center"/>
                    <w:rPr>
                      <w:b/>
                      <w:sz w:val="20"/>
                      <w:szCs w:val="20"/>
                    </w:rPr>
                  </w:pPr>
                  <w:r w:rsidRPr="004C63F7">
                    <w:rPr>
                      <w:b/>
                      <w:sz w:val="20"/>
                      <w:szCs w:val="20"/>
                    </w:rPr>
                    <w:t>Desarrollo Institucional</w:t>
                  </w:r>
                </w:p>
              </w:txbxContent>
            </v:textbox>
          </v:roundrect>
        </w:pict>
      </w:r>
      <w:r w:rsidR="00C340EE" w:rsidRPr="00535E30">
        <w:rPr>
          <w:rFonts w:asciiTheme="minorHAnsi" w:hAnsiTheme="minorHAnsi" w:cs="Arial"/>
          <w:highlight w:val="yellow"/>
        </w:rPr>
        <w:br w:type="page"/>
      </w:r>
    </w:p>
    <w:p w:rsidR="00C340EE" w:rsidRPr="00535E30" w:rsidRDefault="00C340EE" w:rsidP="00F80905">
      <w:pPr>
        <w:pStyle w:val="Ttulo2"/>
        <w:numPr>
          <w:ilvl w:val="1"/>
          <w:numId w:val="7"/>
        </w:numPr>
        <w:spacing w:line="276" w:lineRule="auto"/>
        <w:sectPr w:rsidR="00C340EE" w:rsidRPr="00535E30" w:rsidSect="001251B4">
          <w:pgSz w:w="15840" w:h="12240" w:orient="landscape" w:code="1"/>
          <w:pgMar w:top="1701" w:right="1701" w:bottom="1701" w:left="1701" w:header="720" w:footer="720" w:gutter="0"/>
          <w:cols w:space="720"/>
          <w:docGrid w:linePitch="360"/>
        </w:sectPr>
      </w:pPr>
    </w:p>
    <w:p w:rsidR="00C340EE" w:rsidRPr="00535E30" w:rsidRDefault="00794A82" w:rsidP="00C0346D">
      <w:pPr>
        <w:pStyle w:val="Prrafodelista"/>
        <w:numPr>
          <w:ilvl w:val="1"/>
          <w:numId w:val="21"/>
        </w:numPr>
        <w:spacing w:line="276" w:lineRule="auto"/>
        <w:outlineLvl w:val="1"/>
        <w:rPr>
          <w:b/>
          <w:sz w:val="32"/>
        </w:rPr>
      </w:pPr>
      <w:bookmarkStart w:id="47" w:name="_Toc354671313"/>
      <w:r w:rsidRPr="00535E30">
        <w:rPr>
          <w:b/>
          <w:sz w:val="32"/>
        </w:rPr>
        <w:lastRenderedPageBreak/>
        <w:t>LA UNIVERSIDAD, EL CONTROL SOCIAL Y LA RENDICIÓN DE CUENTAS A LA CIUDADANÍA</w:t>
      </w:r>
      <w:bookmarkEnd w:id="47"/>
    </w:p>
    <w:p w:rsidR="003D7E89" w:rsidRPr="00535E30" w:rsidRDefault="003D7E89" w:rsidP="00F80905">
      <w:pPr>
        <w:pStyle w:val="Prrafodelista"/>
        <w:spacing w:after="0" w:line="276" w:lineRule="auto"/>
        <w:ind w:left="0"/>
        <w:rPr>
          <w:rFonts w:cs="Arial"/>
          <w:b/>
        </w:rPr>
      </w:pPr>
    </w:p>
    <w:p w:rsidR="003D7E89" w:rsidRPr="00535E30" w:rsidRDefault="003D7E89" w:rsidP="00F80905">
      <w:pPr>
        <w:spacing w:line="276" w:lineRule="auto"/>
        <w:rPr>
          <w:rFonts w:asciiTheme="minorHAnsi" w:hAnsiTheme="minorHAnsi" w:cs="Arial"/>
        </w:rPr>
      </w:pPr>
      <w:r w:rsidRPr="00535E30">
        <w:rPr>
          <w:rFonts w:asciiTheme="minorHAnsi" w:hAnsiTheme="minorHAnsi" w:cs="Arial"/>
        </w:rPr>
        <w:t xml:space="preserve">La universidad está desarrollando proyectos que no solo son de interés institucional, sino también de interés regional; la participación de la comunidad en el ejercicio de seguimiento, realización de recomendaciones y generación de ideas, dinamiza el alcance de los resultados e impactos y la emergencia de nuevas proyecciones. </w:t>
      </w:r>
    </w:p>
    <w:p w:rsidR="003D7E89" w:rsidRPr="00535E30" w:rsidRDefault="003D7E89" w:rsidP="00F80905">
      <w:pPr>
        <w:spacing w:line="276" w:lineRule="auto"/>
        <w:rPr>
          <w:rFonts w:asciiTheme="minorHAnsi" w:hAnsiTheme="minorHAnsi" w:cs="Arial"/>
        </w:rPr>
      </w:pPr>
      <w:r w:rsidRPr="00535E30">
        <w:rPr>
          <w:rFonts w:asciiTheme="minorHAnsi" w:hAnsiTheme="minorHAnsi" w:cs="Arial"/>
        </w:rPr>
        <w:t>El sistema de Rendición de Cuentas a la Ciudadanía, se conforma por:</w:t>
      </w:r>
    </w:p>
    <w:p w:rsidR="003D7E89" w:rsidRPr="00535E30" w:rsidRDefault="003D7E89" w:rsidP="00F80905">
      <w:pPr>
        <w:pStyle w:val="Prrafodelista"/>
        <w:numPr>
          <w:ilvl w:val="0"/>
          <w:numId w:val="9"/>
        </w:numPr>
        <w:spacing w:line="276" w:lineRule="auto"/>
        <w:ind w:left="284" w:hanging="284"/>
        <w:rPr>
          <w:rFonts w:cs="Arial"/>
        </w:rPr>
      </w:pPr>
      <w:r w:rsidRPr="00535E30">
        <w:rPr>
          <w:rFonts w:cs="Arial"/>
          <w:b/>
        </w:rPr>
        <w:t>La Audiencia Pública de Rendición de Cuentas a la Ciudadanía</w:t>
      </w:r>
      <w:r w:rsidRPr="00535E30">
        <w:rPr>
          <w:rFonts w:cs="Arial"/>
        </w:rPr>
        <w:t>,</w:t>
      </w:r>
      <w:r w:rsidRPr="00535E30">
        <w:rPr>
          <w:rFonts w:cs="Arial"/>
          <w:b/>
        </w:rPr>
        <w:t xml:space="preserve"> </w:t>
      </w:r>
      <w:r w:rsidRPr="00535E30">
        <w:rPr>
          <w:rFonts w:cs="Arial"/>
        </w:rPr>
        <w:t>un evento de carácter público y de libre asistencia que se realiza una vez al año, y donde el Rector expone los resultados de la Universidad durante la vigencia anterior.</w:t>
      </w:r>
    </w:p>
    <w:p w:rsidR="003D7E89" w:rsidRPr="00535E30" w:rsidRDefault="003D7E89" w:rsidP="00F80905">
      <w:pPr>
        <w:pStyle w:val="Prrafodelista"/>
        <w:spacing w:line="276" w:lineRule="auto"/>
        <w:rPr>
          <w:rFonts w:cs="Arial"/>
        </w:rPr>
      </w:pPr>
    </w:p>
    <w:p w:rsidR="003D7E89" w:rsidRPr="00535E30" w:rsidRDefault="003D7E89" w:rsidP="00F80905">
      <w:pPr>
        <w:pStyle w:val="Prrafodelista"/>
        <w:numPr>
          <w:ilvl w:val="0"/>
          <w:numId w:val="9"/>
        </w:numPr>
        <w:spacing w:line="276" w:lineRule="auto"/>
        <w:ind w:left="284" w:hanging="284"/>
        <w:rPr>
          <w:rFonts w:cs="Arial"/>
        </w:rPr>
      </w:pPr>
      <w:r w:rsidRPr="00535E30">
        <w:rPr>
          <w:rFonts w:cs="Arial"/>
          <w:b/>
        </w:rPr>
        <w:t>El Sistema de Peticiones, Quejas y Reclamos</w:t>
      </w:r>
      <w:r w:rsidRPr="00535E30">
        <w:rPr>
          <w:rFonts w:cs="Arial"/>
        </w:rPr>
        <w:t xml:space="preserve">, es una serie de herramientas que le permite a cualquier ciudadano solicitar a la Universidad retroalimentación con respecto a un requerimiento ya sea petición, queja y/o reclamo. Estas pueden tramitarse a través de la página Web, por correo electrónico, vía telefónica o personalmente. </w:t>
      </w:r>
    </w:p>
    <w:p w:rsidR="003D7E89" w:rsidRPr="00535E30" w:rsidRDefault="003D7E89" w:rsidP="00F80905">
      <w:pPr>
        <w:pStyle w:val="Prrafodelista"/>
        <w:spacing w:line="276" w:lineRule="auto"/>
        <w:rPr>
          <w:rFonts w:cs="Arial"/>
        </w:rPr>
      </w:pPr>
    </w:p>
    <w:p w:rsidR="003D7E89" w:rsidRPr="00535E30" w:rsidRDefault="003D7E89" w:rsidP="00F80905">
      <w:pPr>
        <w:pStyle w:val="Prrafodelista"/>
        <w:numPr>
          <w:ilvl w:val="0"/>
          <w:numId w:val="9"/>
        </w:numPr>
        <w:spacing w:line="276" w:lineRule="auto"/>
        <w:ind w:left="284" w:hanging="284"/>
        <w:rPr>
          <w:rFonts w:cs="Arial"/>
        </w:rPr>
      </w:pPr>
      <w:r w:rsidRPr="00535E30">
        <w:rPr>
          <w:rFonts w:cs="Arial"/>
          <w:b/>
        </w:rPr>
        <w:t>El Control Social</w:t>
      </w:r>
      <w:r w:rsidRPr="00535E30">
        <w:rPr>
          <w:rFonts w:cs="Arial"/>
        </w:rPr>
        <w:t>, se conforma por una serie de mecanismos que permiten al ciudadano informarse acerca de los avances del Plan de Desarrollo Institucional en los tres niveles de gestión, y mediante el sistema de peticiones, quejas y reclamos solicitar al responsable aclaración acerca del avance en el nivel de ejecución del plan. Su objetivo es propiciar un espacio que garantice la interlocución directa de la Universidad con los diferentes actores de la sociedad y de esta manera retroalimentar su gestión para el mejoramiento continuo.</w:t>
      </w:r>
    </w:p>
    <w:p w:rsidR="003D7E89" w:rsidRPr="00535E30" w:rsidRDefault="003D7E89" w:rsidP="00F80905">
      <w:pPr>
        <w:spacing w:line="276" w:lineRule="auto"/>
        <w:rPr>
          <w:rFonts w:asciiTheme="minorHAnsi" w:hAnsiTheme="minorHAnsi" w:cs="Arial"/>
        </w:rPr>
      </w:pPr>
      <w:r w:rsidRPr="00535E30">
        <w:rPr>
          <w:rFonts w:asciiTheme="minorHAnsi" w:hAnsiTheme="minorHAnsi" w:cs="Arial"/>
        </w:rPr>
        <w:t>Estos mecanismos facilitan el ejercicio de ética y responsabilidad social por parte de la comunidad,  generan aprendizajes y dinamizan la gestión en torno a los retos planteados.</w:t>
      </w:r>
    </w:p>
    <w:p w:rsidR="003D7E89" w:rsidRPr="00535E30" w:rsidRDefault="000374B4" w:rsidP="00F80905">
      <w:pPr>
        <w:spacing w:line="276" w:lineRule="auto"/>
        <w:jc w:val="center"/>
        <w:rPr>
          <w:rFonts w:asciiTheme="minorHAnsi" w:hAnsiTheme="minorHAnsi" w:cs="Arial"/>
          <w:b/>
        </w:rPr>
      </w:pPr>
      <w:r>
        <w:rPr>
          <w:rFonts w:ascii="Arial" w:hAnsi="Arial" w:cs="Arial"/>
        </w:rPr>
        <w:t xml:space="preserve">•  </w:t>
      </w:r>
      <w:r w:rsidR="003D7E89" w:rsidRPr="00535E30">
        <w:rPr>
          <w:rFonts w:asciiTheme="minorHAnsi" w:hAnsiTheme="minorHAnsi" w:cs="Arial"/>
          <w:b/>
          <w:color w:val="000000" w:themeColor="text1"/>
        </w:rPr>
        <w:t>Sistema de Rendición de Cuentas a la ciudadanía</w:t>
      </w:r>
      <w:r w:rsidRPr="000374B4">
        <w:rPr>
          <w:rFonts w:ascii="Arial" w:hAnsi="Arial" w:cs="Arial"/>
        </w:rPr>
        <w:t xml:space="preserve"> </w:t>
      </w:r>
      <w:r>
        <w:rPr>
          <w:rFonts w:ascii="Arial" w:hAnsi="Arial" w:cs="Arial"/>
        </w:rPr>
        <w:t>•</w:t>
      </w:r>
    </w:p>
    <w:p w:rsidR="003D7E89" w:rsidRPr="00535E30" w:rsidRDefault="003D7E89" w:rsidP="00F80905">
      <w:pPr>
        <w:spacing w:line="276" w:lineRule="auto"/>
        <w:jc w:val="center"/>
        <w:rPr>
          <w:rFonts w:asciiTheme="minorHAnsi" w:hAnsiTheme="minorHAnsi" w:cs="Arial"/>
        </w:rPr>
      </w:pPr>
      <w:r w:rsidRPr="00535E30">
        <w:rPr>
          <w:rFonts w:asciiTheme="minorHAnsi" w:hAnsiTheme="minorHAnsi" w:cs="Arial"/>
          <w:noProof/>
          <w:lang w:val="es-CO" w:eastAsia="es-CO"/>
        </w:rPr>
        <w:drawing>
          <wp:inline distT="0" distB="0" distL="0" distR="0">
            <wp:extent cx="2392680" cy="2024659"/>
            <wp:effectExtent l="0" t="0" r="7620" b="0"/>
            <wp:docPr id="1" name="46 Imagen" descr="Sistema_Redencion_Cuentas_2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stema_Redencion_Cuentas_2011.jpg"/>
                    <pic:cNvPicPr/>
                  </pic:nvPicPr>
                  <pic:blipFill>
                    <a:blip r:embed="rId21" cstate="print"/>
                    <a:stretch>
                      <a:fillRect/>
                    </a:stretch>
                  </pic:blipFill>
                  <pic:spPr>
                    <a:xfrm>
                      <a:off x="0" y="0"/>
                      <a:ext cx="2402361" cy="2032851"/>
                    </a:xfrm>
                    <a:prstGeom prst="rect">
                      <a:avLst/>
                    </a:prstGeom>
                  </pic:spPr>
                </pic:pic>
              </a:graphicData>
            </a:graphic>
          </wp:inline>
        </w:drawing>
      </w:r>
    </w:p>
    <w:p w:rsidR="003D7E89" w:rsidRPr="00535E30" w:rsidRDefault="003D7E89" w:rsidP="00F80905">
      <w:pPr>
        <w:spacing w:line="276" w:lineRule="auto"/>
        <w:rPr>
          <w:rFonts w:asciiTheme="minorHAnsi" w:hAnsiTheme="minorHAnsi" w:cs="Arial"/>
        </w:rPr>
      </w:pPr>
      <w:r w:rsidRPr="00535E30">
        <w:rPr>
          <w:rFonts w:asciiTheme="minorHAnsi" w:hAnsiTheme="minorHAnsi" w:cs="Arial"/>
        </w:rPr>
        <w:lastRenderedPageBreak/>
        <w:t>Para mayor información se puede acceder a las siguientes direcciones,</w:t>
      </w:r>
      <w:r w:rsidR="00230510" w:rsidRPr="00535E30">
        <w:rPr>
          <w:rFonts w:asciiTheme="minorHAnsi" w:hAnsiTheme="minorHAnsi" w:cs="Arial"/>
        </w:rPr>
        <w:t xml:space="preserve"> las cuales están relacionadas:</w:t>
      </w:r>
    </w:p>
    <w:p w:rsidR="00C340EE" w:rsidRPr="00535E30" w:rsidRDefault="00C340EE" w:rsidP="00F80905">
      <w:pPr>
        <w:spacing w:line="276" w:lineRule="auto"/>
        <w:rPr>
          <w:rFonts w:asciiTheme="minorHAnsi" w:hAnsiTheme="minorHAnsi" w:cs="Arial"/>
        </w:rPr>
      </w:pPr>
    </w:p>
    <w:p w:rsidR="003D7E89" w:rsidRPr="00535E30" w:rsidRDefault="003D7E89" w:rsidP="00F80905">
      <w:pPr>
        <w:pStyle w:val="Prrafodelista"/>
        <w:numPr>
          <w:ilvl w:val="0"/>
          <w:numId w:val="8"/>
        </w:numPr>
        <w:spacing w:line="276" w:lineRule="auto"/>
        <w:rPr>
          <w:rFonts w:cs="Arial"/>
          <w:b/>
        </w:rPr>
      </w:pPr>
      <w:r w:rsidRPr="00535E30">
        <w:rPr>
          <w:rFonts w:cs="Arial"/>
          <w:b/>
        </w:rPr>
        <w:t xml:space="preserve">Audiencia pública: </w:t>
      </w:r>
    </w:p>
    <w:p w:rsidR="003D7E89" w:rsidRPr="00535E30" w:rsidRDefault="000E4B39" w:rsidP="00F80905">
      <w:pPr>
        <w:pStyle w:val="Prrafodelista"/>
        <w:spacing w:line="276" w:lineRule="auto"/>
        <w:rPr>
          <w:rFonts w:cs="Arial"/>
          <w:b/>
        </w:rPr>
      </w:pPr>
      <w:hyperlink r:id="rId22" w:history="1">
        <w:r w:rsidR="003D7E89" w:rsidRPr="00535E30">
          <w:rPr>
            <w:rStyle w:val="Hipervnculo"/>
            <w:rFonts w:cs="Arial"/>
            <w:b/>
          </w:rPr>
          <w:t>http://www.utp.edu.co/audienciapublica/</w:t>
        </w:r>
      </w:hyperlink>
      <w:r w:rsidR="003D7E89" w:rsidRPr="00535E30">
        <w:rPr>
          <w:rFonts w:cs="Arial"/>
          <w:b/>
        </w:rPr>
        <w:t xml:space="preserve"> </w:t>
      </w:r>
    </w:p>
    <w:p w:rsidR="003D7E89" w:rsidRPr="00535E30" w:rsidRDefault="003D7E89" w:rsidP="00F80905">
      <w:pPr>
        <w:pStyle w:val="Prrafodelista"/>
        <w:spacing w:line="276" w:lineRule="auto"/>
        <w:rPr>
          <w:rFonts w:cs="Arial"/>
        </w:rPr>
      </w:pPr>
    </w:p>
    <w:p w:rsidR="003D7E89" w:rsidRPr="00535E30" w:rsidRDefault="003D7E89" w:rsidP="00F80905">
      <w:pPr>
        <w:pStyle w:val="Prrafodelista"/>
        <w:numPr>
          <w:ilvl w:val="0"/>
          <w:numId w:val="8"/>
        </w:numPr>
        <w:spacing w:line="276" w:lineRule="auto"/>
        <w:rPr>
          <w:rFonts w:cs="Arial"/>
          <w:b/>
        </w:rPr>
      </w:pPr>
      <w:r w:rsidRPr="00535E30">
        <w:rPr>
          <w:rFonts w:cs="Arial"/>
          <w:b/>
        </w:rPr>
        <w:t xml:space="preserve">Peticiones, quejas y reclamos: </w:t>
      </w:r>
    </w:p>
    <w:p w:rsidR="003D7E89" w:rsidRPr="00535E30" w:rsidRDefault="000E4B39" w:rsidP="00F80905">
      <w:pPr>
        <w:pStyle w:val="Prrafodelista"/>
        <w:spacing w:line="276" w:lineRule="auto"/>
        <w:rPr>
          <w:rFonts w:cs="Arial"/>
          <w:b/>
        </w:rPr>
      </w:pPr>
      <w:hyperlink r:id="rId23" w:history="1">
        <w:r w:rsidR="003D7E89" w:rsidRPr="00535E30">
          <w:rPr>
            <w:rStyle w:val="Hipervnculo"/>
            <w:rFonts w:cs="Arial"/>
            <w:b/>
          </w:rPr>
          <w:t>http://www.utp.edu.co/quejasyreclamos/</w:t>
        </w:r>
      </w:hyperlink>
      <w:r w:rsidR="003D7E89" w:rsidRPr="00535E30">
        <w:rPr>
          <w:rFonts w:cs="Arial"/>
          <w:b/>
        </w:rPr>
        <w:t xml:space="preserve"> </w:t>
      </w:r>
    </w:p>
    <w:p w:rsidR="003D7E89" w:rsidRPr="00535E30" w:rsidRDefault="003D7E89" w:rsidP="00F80905">
      <w:pPr>
        <w:pStyle w:val="Prrafodelista"/>
        <w:spacing w:line="276" w:lineRule="auto"/>
        <w:rPr>
          <w:rFonts w:cs="Arial"/>
        </w:rPr>
      </w:pPr>
    </w:p>
    <w:p w:rsidR="003D7E89" w:rsidRPr="00535E30" w:rsidRDefault="003D7E89" w:rsidP="00F80905">
      <w:pPr>
        <w:pStyle w:val="Prrafodelista"/>
        <w:numPr>
          <w:ilvl w:val="0"/>
          <w:numId w:val="8"/>
        </w:numPr>
        <w:spacing w:line="276" w:lineRule="auto"/>
        <w:rPr>
          <w:rFonts w:cs="Arial"/>
          <w:b/>
        </w:rPr>
      </w:pPr>
      <w:r w:rsidRPr="00535E30">
        <w:rPr>
          <w:rFonts w:cs="Arial"/>
          <w:b/>
        </w:rPr>
        <w:t xml:space="preserve">Control social: </w:t>
      </w:r>
    </w:p>
    <w:p w:rsidR="003D7E89" w:rsidRPr="00535E30" w:rsidRDefault="000E4B39" w:rsidP="00F80905">
      <w:pPr>
        <w:pStyle w:val="Prrafodelista"/>
        <w:spacing w:line="276" w:lineRule="auto"/>
        <w:rPr>
          <w:rFonts w:cs="Arial"/>
          <w:b/>
        </w:rPr>
      </w:pPr>
      <w:hyperlink r:id="rId24" w:history="1">
        <w:r w:rsidR="003D7E89" w:rsidRPr="00535E30">
          <w:rPr>
            <w:rStyle w:val="Hipervnculo"/>
            <w:rFonts w:cs="Arial"/>
            <w:b/>
          </w:rPr>
          <w:t>http://www.utp.edu.co/control-social/inicio.html</w:t>
        </w:r>
      </w:hyperlink>
      <w:r w:rsidR="003D7E89" w:rsidRPr="00535E30">
        <w:rPr>
          <w:rFonts w:cs="Arial"/>
          <w:b/>
        </w:rPr>
        <w:t xml:space="preserve"> </w:t>
      </w:r>
    </w:p>
    <w:p w:rsidR="003D7E89" w:rsidRPr="00535E30" w:rsidRDefault="003D7E89" w:rsidP="00F80905">
      <w:pPr>
        <w:pStyle w:val="Prrafodelista"/>
        <w:spacing w:line="276" w:lineRule="auto"/>
        <w:rPr>
          <w:rFonts w:cs="Arial"/>
          <w:highlight w:val="yellow"/>
        </w:rPr>
      </w:pPr>
    </w:p>
    <w:p w:rsidR="003D7E89" w:rsidRPr="00535E30" w:rsidRDefault="003D7E89" w:rsidP="00F80905">
      <w:pPr>
        <w:pStyle w:val="Prrafodelista"/>
        <w:numPr>
          <w:ilvl w:val="0"/>
          <w:numId w:val="8"/>
        </w:numPr>
        <w:spacing w:line="276" w:lineRule="auto"/>
        <w:rPr>
          <w:rFonts w:cs="Arial"/>
          <w:b/>
        </w:rPr>
      </w:pPr>
      <w:r w:rsidRPr="00535E30">
        <w:rPr>
          <w:rFonts w:cs="Arial"/>
          <w:b/>
        </w:rPr>
        <w:t xml:space="preserve">Plan de desarrollo institucional: </w:t>
      </w:r>
    </w:p>
    <w:p w:rsidR="0058638F" w:rsidRPr="00535E30" w:rsidRDefault="000E4B39" w:rsidP="00F80905">
      <w:pPr>
        <w:pStyle w:val="Prrafodelista"/>
        <w:spacing w:line="276" w:lineRule="auto"/>
        <w:rPr>
          <w:rStyle w:val="Hipervnculo"/>
          <w:rFonts w:cs="Arial"/>
          <w:b/>
        </w:rPr>
      </w:pPr>
      <w:hyperlink r:id="rId25" w:history="1">
        <w:r w:rsidR="003D7E89" w:rsidRPr="00535E30">
          <w:rPr>
            <w:rStyle w:val="Hipervnculo"/>
            <w:rFonts w:cs="Arial"/>
            <w:b/>
          </w:rPr>
          <w:t>http://www.utp.edu.co/pdi/</w:t>
        </w:r>
      </w:hyperlink>
    </w:p>
    <w:p w:rsidR="000D4EFE" w:rsidRPr="00535E30" w:rsidRDefault="000D4EFE" w:rsidP="00F80905">
      <w:pPr>
        <w:spacing w:after="200" w:line="276" w:lineRule="auto"/>
        <w:jc w:val="left"/>
        <w:rPr>
          <w:rStyle w:val="Hipervnculo"/>
          <w:rFonts w:asciiTheme="minorHAnsi" w:eastAsiaTheme="minorEastAsia" w:hAnsiTheme="minorHAnsi" w:cs="Arial"/>
          <w:b/>
          <w:lang w:val="es-CO" w:bidi="en-US"/>
        </w:rPr>
      </w:pPr>
      <w:r w:rsidRPr="00535E30">
        <w:rPr>
          <w:rStyle w:val="Hipervnculo"/>
          <w:rFonts w:asciiTheme="minorHAnsi" w:hAnsiTheme="minorHAnsi" w:cs="Arial"/>
          <w:b/>
        </w:rPr>
        <w:br w:type="page"/>
      </w:r>
    </w:p>
    <w:p w:rsidR="00D6418B" w:rsidRPr="00794A82" w:rsidRDefault="00794A82" w:rsidP="00C0346D">
      <w:pPr>
        <w:pStyle w:val="Ttulo2"/>
        <w:numPr>
          <w:ilvl w:val="1"/>
          <w:numId w:val="21"/>
        </w:numPr>
        <w:spacing w:line="276" w:lineRule="auto"/>
      </w:pPr>
      <w:bookmarkStart w:id="48" w:name="_Toc320298342"/>
      <w:bookmarkStart w:id="49" w:name="_Toc347392841"/>
      <w:bookmarkStart w:id="50" w:name="_Toc354671314"/>
      <w:r w:rsidRPr="00794A82">
        <w:rPr>
          <w:caps w:val="0"/>
        </w:rPr>
        <w:lastRenderedPageBreak/>
        <w:t>METODOLOGÍA DE MEDICIÓN</w:t>
      </w:r>
      <w:bookmarkEnd w:id="48"/>
      <w:bookmarkEnd w:id="49"/>
      <w:bookmarkEnd w:id="50"/>
    </w:p>
    <w:p w:rsidR="00D6418B" w:rsidRPr="00535E30" w:rsidRDefault="00D6418B" w:rsidP="00F80905">
      <w:pPr>
        <w:spacing w:after="0" w:line="276" w:lineRule="auto"/>
        <w:rPr>
          <w:rFonts w:asciiTheme="minorHAnsi" w:hAnsiTheme="minorHAnsi" w:cs="Arial"/>
        </w:rPr>
      </w:pPr>
    </w:p>
    <w:p w:rsidR="000D4EFE" w:rsidRPr="00535E30" w:rsidRDefault="000D4EFE" w:rsidP="00F80905">
      <w:pPr>
        <w:spacing w:after="0" w:line="276" w:lineRule="auto"/>
        <w:rPr>
          <w:rFonts w:asciiTheme="minorHAnsi" w:hAnsiTheme="minorHAnsi" w:cs="Arial"/>
        </w:rPr>
      </w:pPr>
    </w:p>
    <w:p w:rsidR="00D6418B" w:rsidRDefault="00D6418B" w:rsidP="00F80905">
      <w:pPr>
        <w:spacing w:line="276" w:lineRule="auto"/>
        <w:rPr>
          <w:rFonts w:asciiTheme="minorHAnsi" w:hAnsiTheme="minorHAnsi" w:cs="Arial"/>
        </w:rPr>
      </w:pPr>
      <w:r w:rsidRPr="00535E30">
        <w:rPr>
          <w:rFonts w:asciiTheme="minorHAnsi" w:hAnsiTheme="minorHAnsi" w:cs="Arial"/>
        </w:rPr>
        <w:t>La medición de los resultados alcanzados de manera cuantitativa se realiza mediante la siguiente metodología:</w:t>
      </w:r>
    </w:p>
    <w:p w:rsidR="008C15CD" w:rsidRPr="00535E30" w:rsidRDefault="008C15CD" w:rsidP="00F80905">
      <w:pPr>
        <w:spacing w:line="276" w:lineRule="auto"/>
        <w:rPr>
          <w:rFonts w:asciiTheme="minorHAnsi" w:hAnsiTheme="minorHAnsi" w:cs="Arial"/>
        </w:rPr>
      </w:pPr>
    </w:p>
    <w:p w:rsidR="00D6418B" w:rsidRPr="00535E30" w:rsidRDefault="00D6418B" w:rsidP="00F80905">
      <w:pPr>
        <w:pStyle w:val="Prrafodelista"/>
        <w:numPr>
          <w:ilvl w:val="0"/>
          <w:numId w:val="8"/>
        </w:numPr>
        <w:spacing w:line="276" w:lineRule="auto"/>
        <w:rPr>
          <w:rFonts w:cs="Arial"/>
        </w:rPr>
      </w:pPr>
      <w:r w:rsidRPr="00535E30">
        <w:rPr>
          <w:rFonts w:cs="Arial"/>
        </w:rPr>
        <w:t>Los miembros del Comité Técnico del Plan de Desarrollo asignaron un peso porcentual a cada objetivo. Así mismo, cada red de trabajo de los diferentes objetivos institucionales ponderó los componentes correspondientes y a nivel de proyectos, se utilizó el mismo ponderador o peso establecido en los objetivos.</w:t>
      </w:r>
    </w:p>
    <w:p w:rsidR="00D6418B" w:rsidRDefault="00D6418B" w:rsidP="00F80905">
      <w:pPr>
        <w:pStyle w:val="Prrafodelista"/>
        <w:spacing w:line="276" w:lineRule="auto"/>
        <w:rPr>
          <w:rFonts w:cs="Arial"/>
        </w:rPr>
      </w:pPr>
    </w:p>
    <w:tbl>
      <w:tblPr>
        <w:tblW w:w="5540" w:type="dxa"/>
        <w:jc w:val="center"/>
        <w:tblInd w:w="55" w:type="dxa"/>
        <w:tblCellMar>
          <w:left w:w="70" w:type="dxa"/>
          <w:right w:w="70" w:type="dxa"/>
        </w:tblCellMar>
        <w:tblLook w:val="04A0" w:firstRow="1" w:lastRow="0" w:firstColumn="1" w:lastColumn="0" w:noHBand="0" w:noVBand="1"/>
      </w:tblPr>
      <w:tblGrid>
        <w:gridCol w:w="4120"/>
        <w:gridCol w:w="1420"/>
      </w:tblGrid>
      <w:tr w:rsidR="008C15CD" w:rsidRPr="008C15CD" w:rsidTr="008C15CD">
        <w:trPr>
          <w:trHeight w:val="307"/>
          <w:jc w:val="center"/>
        </w:trPr>
        <w:tc>
          <w:tcPr>
            <w:tcW w:w="4120" w:type="dxa"/>
            <w:tcBorders>
              <w:top w:val="single" w:sz="8" w:space="0" w:color="auto"/>
              <w:left w:val="single" w:sz="8" w:space="0" w:color="auto"/>
              <w:bottom w:val="single" w:sz="4" w:space="0" w:color="auto"/>
              <w:right w:val="single" w:sz="4" w:space="0" w:color="auto"/>
            </w:tcBorders>
            <w:shd w:val="clear" w:color="000000" w:fill="B8CCE4"/>
            <w:vAlign w:val="center"/>
            <w:hideMark/>
          </w:tcPr>
          <w:p w:rsidR="008C15CD" w:rsidRPr="008C15CD" w:rsidRDefault="008C15CD" w:rsidP="008C15CD">
            <w:pPr>
              <w:spacing w:after="0"/>
              <w:jc w:val="center"/>
              <w:rPr>
                <w:rFonts w:eastAsia="Times New Roman" w:cs="Arial"/>
                <w:b/>
                <w:bCs/>
                <w:color w:val="000000"/>
                <w:lang w:val="es-CO" w:eastAsia="es-CO"/>
              </w:rPr>
            </w:pPr>
            <w:r w:rsidRPr="008C15CD">
              <w:rPr>
                <w:rFonts w:eastAsia="Times New Roman" w:cs="Arial"/>
                <w:b/>
                <w:bCs/>
                <w:color w:val="000000"/>
                <w:lang w:val="es-CO" w:eastAsia="es-CO"/>
              </w:rPr>
              <w:t>Objetivo Institucional</w:t>
            </w:r>
          </w:p>
        </w:tc>
        <w:tc>
          <w:tcPr>
            <w:tcW w:w="1420" w:type="dxa"/>
            <w:tcBorders>
              <w:top w:val="single" w:sz="8" w:space="0" w:color="auto"/>
              <w:left w:val="nil"/>
              <w:bottom w:val="single" w:sz="4" w:space="0" w:color="auto"/>
              <w:right w:val="single" w:sz="4" w:space="0" w:color="auto"/>
            </w:tcBorders>
            <w:shd w:val="clear" w:color="000000" w:fill="B8CCE4"/>
            <w:vAlign w:val="center"/>
            <w:hideMark/>
          </w:tcPr>
          <w:p w:rsidR="008C15CD" w:rsidRPr="008C15CD" w:rsidRDefault="008C15CD" w:rsidP="008C15CD">
            <w:pPr>
              <w:spacing w:after="0"/>
              <w:jc w:val="center"/>
              <w:rPr>
                <w:rFonts w:eastAsia="Times New Roman" w:cs="Arial"/>
                <w:b/>
                <w:bCs/>
                <w:color w:val="000000"/>
                <w:lang w:val="es-CO" w:eastAsia="es-CO"/>
              </w:rPr>
            </w:pPr>
            <w:r w:rsidRPr="008C15CD">
              <w:rPr>
                <w:rFonts w:eastAsia="Times New Roman" w:cs="Arial"/>
                <w:b/>
                <w:bCs/>
                <w:color w:val="000000"/>
                <w:lang w:val="es-CO" w:eastAsia="es-CO"/>
              </w:rPr>
              <w:t>Ponderador de objetivo</w:t>
            </w:r>
          </w:p>
        </w:tc>
      </w:tr>
      <w:tr w:rsidR="008C15CD" w:rsidRPr="008C15CD" w:rsidTr="008C15CD">
        <w:trPr>
          <w:trHeight w:val="300"/>
          <w:jc w:val="center"/>
        </w:trPr>
        <w:tc>
          <w:tcPr>
            <w:tcW w:w="4120" w:type="dxa"/>
            <w:tcBorders>
              <w:top w:val="nil"/>
              <w:left w:val="single" w:sz="8" w:space="0" w:color="auto"/>
              <w:bottom w:val="single" w:sz="4" w:space="0" w:color="auto"/>
              <w:right w:val="single" w:sz="4" w:space="0" w:color="auto"/>
            </w:tcBorders>
            <w:shd w:val="clear" w:color="auto" w:fill="auto"/>
            <w:vAlign w:val="center"/>
            <w:hideMark/>
          </w:tcPr>
          <w:p w:rsidR="008C15CD" w:rsidRPr="008C15CD" w:rsidRDefault="008C15CD" w:rsidP="008C15CD">
            <w:pPr>
              <w:spacing w:after="0"/>
              <w:jc w:val="left"/>
              <w:rPr>
                <w:rFonts w:eastAsia="Times New Roman" w:cs="Arial"/>
                <w:color w:val="000000"/>
                <w:lang w:val="es-CO" w:eastAsia="es-CO"/>
              </w:rPr>
            </w:pPr>
            <w:r w:rsidRPr="008C15CD">
              <w:rPr>
                <w:rFonts w:eastAsia="Times New Roman" w:cs="Arial"/>
                <w:color w:val="000000"/>
                <w:lang w:val="es-CO" w:eastAsia="es-CO"/>
              </w:rPr>
              <w:t>Desarrollo institucional</w:t>
            </w:r>
          </w:p>
        </w:tc>
        <w:tc>
          <w:tcPr>
            <w:tcW w:w="1420" w:type="dxa"/>
            <w:tcBorders>
              <w:top w:val="nil"/>
              <w:left w:val="nil"/>
              <w:bottom w:val="single" w:sz="4" w:space="0" w:color="auto"/>
              <w:right w:val="single" w:sz="4" w:space="0" w:color="auto"/>
            </w:tcBorders>
            <w:shd w:val="clear" w:color="auto" w:fill="auto"/>
            <w:noWrap/>
            <w:vAlign w:val="center"/>
            <w:hideMark/>
          </w:tcPr>
          <w:p w:rsidR="008C15CD" w:rsidRPr="008C15CD" w:rsidRDefault="008C15CD" w:rsidP="008C15CD">
            <w:pPr>
              <w:spacing w:after="0"/>
              <w:jc w:val="center"/>
              <w:rPr>
                <w:rFonts w:eastAsia="Times New Roman" w:cs="Arial"/>
                <w:color w:val="000000"/>
                <w:lang w:val="es-CO" w:eastAsia="es-CO"/>
              </w:rPr>
            </w:pPr>
            <w:r w:rsidRPr="008C15CD">
              <w:rPr>
                <w:rFonts w:eastAsia="Times New Roman" w:cs="Arial"/>
                <w:color w:val="000000"/>
                <w:lang w:val="es-CO" w:eastAsia="es-CO"/>
              </w:rPr>
              <w:t>12,10%</w:t>
            </w:r>
          </w:p>
        </w:tc>
      </w:tr>
      <w:tr w:rsidR="008C15CD" w:rsidRPr="008C15CD" w:rsidTr="008C15CD">
        <w:trPr>
          <w:trHeight w:val="300"/>
          <w:jc w:val="center"/>
        </w:trPr>
        <w:tc>
          <w:tcPr>
            <w:tcW w:w="4120" w:type="dxa"/>
            <w:tcBorders>
              <w:top w:val="nil"/>
              <w:left w:val="single" w:sz="8" w:space="0" w:color="auto"/>
              <w:bottom w:val="single" w:sz="4" w:space="0" w:color="auto"/>
              <w:right w:val="single" w:sz="4" w:space="0" w:color="auto"/>
            </w:tcBorders>
            <w:shd w:val="clear" w:color="auto" w:fill="auto"/>
            <w:vAlign w:val="center"/>
            <w:hideMark/>
          </w:tcPr>
          <w:p w:rsidR="008C15CD" w:rsidRPr="008C15CD" w:rsidRDefault="008C15CD" w:rsidP="008C15CD">
            <w:pPr>
              <w:spacing w:after="0"/>
              <w:jc w:val="left"/>
              <w:rPr>
                <w:rFonts w:eastAsia="Times New Roman" w:cs="Arial"/>
                <w:color w:val="000000"/>
                <w:lang w:val="es-CO" w:eastAsia="es-CO"/>
              </w:rPr>
            </w:pPr>
            <w:r w:rsidRPr="008C15CD">
              <w:rPr>
                <w:rFonts w:eastAsia="Times New Roman" w:cs="Arial"/>
                <w:color w:val="000000"/>
                <w:lang w:val="es-CO" w:eastAsia="es-CO"/>
              </w:rPr>
              <w:t>Cobertura con calidad</w:t>
            </w:r>
          </w:p>
        </w:tc>
        <w:tc>
          <w:tcPr>
            <w:tcW w:w="1420" w:type="dxa"/>
            <w:tcBorders>
              <w:top w:val="nil"/>
              <w:left w:val="nil"/>
              <w:bottom w:val="single" w:sz="4" w:space="0" w:color="auto"/>
              <w:right w:val="single" w:sz="4" w:space="0" w:color="auto"/>
            </w:tcBorders>
            <w:shd w:val="clear" w:color="auto" w:fill="auto"/>
            <w:vAlign w:val="center"/>
            <w:hideMark/>
          </w:tcPr>
          <w:p w:rsidR="008C15CD" w:rsidRPr="008C15CD" w:rsidRDefault="008C15CD" w:rsidP="008C15CD">
            <w:pPr>
              <w:spacing w:after="0"/>
              <w:jc w:val="center"/>
              <w:rPr>
                <w:rFonts w:eastAsia="Times New Roman" w:cs="Arial"/>
                <w:color w:val="000000"/>
                <w:lang w:val="es-CO" w:eastAsia="es-CO"/>
              </w:rPr>
            </w:pPr>
            <w:r w:rsidRPr="008C15CD">
              <w:rPr>
                <w:rFonts w:eastAsia="Times New Roman" w:cs="Arial"/>
                <w:color w:val="000000"/>
                <w:lang w:val="es-CO" w:eastAsia="es-CO"/>
              </w:rPr>
              <w:t>20,50%</w:t>
            </w:r>
          </w:p>
        </w:tc>
      </w:tr>
      <w:tr w:rsidR="008C15CD" w:rsidRPr="008C15CD" w:rsidTr="008C15CD">
        <w:trPr>
          <w:trHeight w:val="300"/>
          <w:jc w:val="center"/>
        </w:trPr>
        <w:tc>
          <w:tcPr>
            <w:tcW w:w="4120" w:type="dxa"/>
            <w:tcBorders>
              <w:top w:val="nil"/>
              <w:left w:val="single" w:sz="8" w:space="0" w:color="auto"/>
              <w:bottom w:val="single" w:sz="4" w:space="0" w:color="auto"/>
              <w:right w:val="single" w:sz="4" w:space="0" w:color="auto"/>
            </w:tcBorders>
            <w:shd w:val="clear" w:color="auto" w:fill="auto"/>
            <w:vAlign w:val="center"/>
            <w:hideMark/>
          </w:tcPr>
          <w:p w:rsidR="008C15CD" w:rsidRPr="008C15CD" w:rsidRDefault="008C15CD" w:rsidP="008C15CD">
            <w:pPr>
              <w:spacing w:after="0"/>
              <w:jc w:val="left"/>
              <w:rPr>
                <w:rFonts w:eastAsia="Times New Roman" w:cs="Arial"/>
                <w:color w:val="000000"/>
                <w:lang w:val="es-CO" w:eastAsia="es-CO"/>
              </w:rPr>
            </w:pPr>
            <w:r w:rsidRPr="008C15CD">
              <w:rPr>
                <w:rFonts w:eastAsia="Times New Roman" w:cs="Arial"/>
                <w:color w:val="000000"/>
                <w:lang w:val="es-CO" w:eastAsia="es-CO"/>
              </w:rPr>
              <w:t>Bienestar institucional</w:t>
            </w:r>
          </w:p>
        </w:tc>
        <w:tc>
          <w:tcPr>
            <w:tcW w:w="1420" w:type="dxa"/>
            <w:tcBorders>
              <w:top w:val="nil"/>
              <w:left w:val="nil"/>
              <w:bottom w:val="single" w:sz="4" w:space="0" w:color="auto"/>
              <w:right w:val="single" w:sz="4" w:space="0" w:color="auto"/>
            </w:tcBorders>
            <w:shd w:val="clear" w:color="auto" w:fill="auto"/>
            <w:vAlign w:val="center"/>
            <w:hideMark/>
          </w:tcPr>
          <w:p w:rsidR="008C15CD" w:rsidRPr="008C15CD" w:rsidRDefault="008C15CD" w:rsidP="008C15CD">
            <w:pPr>
              <w:spacing w:after="0"/>
              <w:jc w:val="center"/>
              <w:rPr>
                <w:rFonts w:eastAsia="Times New Roman" w:cs="Arial"/>
                <w:color w:val="000000"/>
                <w:lang w:val="es-CO" w:eastAsia="es-CO"/>
              </w:rPr>
            </w:pPr>
            <w:r w:rsidRPr="008C15CD">
              <w:rPr>
                <w:rFonts w:eastAsia="Times New Roman" w:cs="Arial"/>
                <w:color w:val="000000"/>
                <w:lang w:val="es-CO" w:eastAsia="es-CO"/>
              </w:rPr>
              <w:t>11,90%</w:t>
            </w:r>
          </w:p>
        </w:tc>
      </w:tr>
      <w:tr w:rsidR="008C15CD" w:rsidRPr="008C15CD" w:rsidTr="008C15CD">
        <w:trPr>
          <w:trHeight w:val="300"/>
          <w:jc w:val="center"/>
        </w:trPr>
        <w:tc>
          <w:tcPr>
            <w:tcW w:w="4120" w:type="dxa"/>
            <w:tcBorders>
              <w:top w:val="nil"/>
              <w:left w:val="single" w:sz="8" w:space="0" w:color="auto"/>
              <w:bottom w:val="single" w:sz="4" w:space="0" w:color="auto"/>
              <w:right w:val="single" w:sz="4" w:space="0" w:color="auto"/>
            </w:tcBorders>
            <w:shd w:val="clear" w:color="auto" w:fill="auto"/>
            <w:vAlign w:val="center"/>
            <w:hideMark/>
          </w:tcPr>
          <w:p w:rsidR="008C15CD" w:rsidRPr="008C15CD" w:rsidRDefault="008C15CD" w:rsidP="008C15CD">
            <w:pPr>
              <w:spacing w:after="0"/>
              <w:jc w:val="left"/>
              <w:rPr>
                <w:rFonts w:eastAsia="Times New Roman" w:cs="Arial"/>
                <w:color w:val="000000"/>
                <w:lang w:val="es-CO" w:eastAsia="es-CO"/>
              </w:rPr>
            </w:pPr>
            <w:r w:rsidRPr="008C15CD">
              <w:rPr>
                <w:rFonts w:eastAsia="Times New Roman" w:cs="Arial"/>
                <w:color w:val="000000"/>
                <w:lang w:val="es-CO" w:eastAsia="es-CO"/>
              </w:rPr>
              <w:t>Investigación, innovación y extensión</w:t>
            </w:r>
          </w:p>
        </w:tc>
        <w:tc>
          <w:tcPr>
            <w:tcW w:w="1420" w:type="dxa"/>
            <w:tcBorders>
              <w:top w:val="nil"/>
              <w:left w:val="nil"/>
              <w:bottom w:val="single" w:sz="4" w:space="0" w:color="auto"/>
              <w:right w:val="single" w:sz="4" w:space="0" w:color="auto"/>
            </w:tcBorders>
            <w:shd w:val="clear" w:color="auto" w:fill="auto"/>
            <w:vAlign w:val="center"/>
            <w:hideMark/>
          </w:tcPr>
          <w:p w:rsidR="008C15CD" w:rsidRPr="008C15CD" w:rsidRDefault="008C15CD" w:rsidP="008C15CD">
            <w:pPr>
              <w:spacing w:after="0"/>
              <w:jc w:val="center"/>
              <w:rPr>
                <w:rFonts w:eastAsia="Times New Roman" w:cs="Arial"/>
                <w:color w:val="000000"/>
                <w:lang w:val="es-CO" w:eastAsia="es-CO"/>
              </w:rPr>
            </w:pPr>
            <w:r w:rsidRPr="008C15CD">
              <w:rPr>
                <w:rFonts w:eastAsia="Times New Roman" w:cs="Arial"/>
                <w:color w:val="000000"/>
                <w:lang w:val="es-CO" w:eastAsia="es-CO"/>
              </w:rPr>
              <w:t>23,30%</w:t>
            </w:r>
          </w:p>
        </w:tc>
      </w:tr>
      <w:tr w:rsidR="008C15CD" w:rsidRPr="008C15CD" w:rsidTr="008C15CD">
        <w:trPr>
          <w:trHeight w:val="300"/>
          <w:jc w:val="center"/>
        </w:trPr>
        <w:tc>
          <w:tcPr>
            <w:tcW w:w="4120" w:type="dxa"/>
            <w:tcBorders>
              <w:top w:val="nil"/>
              <w:left w:val="single" w:sz="8" w:space="0" w:color="auto"/>
              <w:bottom w:val="single" w:sz="4" w:space="0" w:color="auto"/>
              <w:right w:val="single" w:sz="4" w:space="0" w:color="auto"/>
            </w:tcBorders>
            <w:shd w:val="clear" w:color="auto" w:fill="auto"/>
            <w:vAlign w:val="center"/>
            <w:hideMark/>
          </w:tcPr>
          <w:p w:rsidR="008C15CD" w:rsidRPr="008C15CD" w:rsidRDefault="008C15CD" w:rsidP="008C15CD">
            <w:pPr>
              <w:spacing w:after="0"/>
              <w:jc w:val="left"/>
              <w:rPr>
                <w:rFonts w:eastAsia="Times New Roman" w:cs="Arial"/>
                <w:color w:val="000000"/>
                <w:lang w:val="es-CO" w:eastAsia="es-CO"/>
              </w:rPr>
            </w:pPr>
            <w:r w:rsidRPr="008C15CD">
              <w:rPr>
                <w:rFonts w:eastAsia="Times New Roman" w:cs="Arial"/>
                <w:color w:val="000000"/>
                <w:lang w:val="es-CO" w:eastAsia="es-CO"/>
              </w:rPr>
              <w:t>Internacionalización</w:t>
            </w:r>
          </w:p>
        </w:tc>
        <w:tc>
          <w:tcPr>
            <w:tcW w:w="1420" w:type="dxa"/>
            <w:tcBorders>
              <w:top w:val="nil"/>
              <w:left w:val="nil"/>
              <w:bottom w:val="single" w:sz="4" w:space="0" w:color="auto"/>
              <w:right w:val="single" w:sz="4" w:space="0" w:color="auto"/>
            </w:tcBorders>
            <w:shd w:val="clear" w:color="auto" w:fill="auto"/>
            <w:vAlign w:val="center"/>
            <w:hideMark/>
          </w:tcPr>
          <w:p w:rsidR="008C15CD" w:rsidRPr="008C15CD" w:rsidRDefault="008C15CD" w:rsidP="008C15CD">
            <w:pPr>
              <w:spacing w:after="0"/>
              <w:jc w:val="center"/>
              <w:rPr>
                <w:rFonts w:eastAsia="Times New Roman" w:cs="Arial"/>
                <w:color w:val="000000"/>
                <w:lang w:val="es-CO" w:eastAsia="es-CO"/>
              </w:rPr>
            </w:pPr>
            <w:r w:rsidRPr="008C15CD">
              <w:rPr>
                <w:rFonts w:eastAsia="Times New Roman" w:cs="Arial"/>
                <w:color w:val="000000"/>
                <w:lang w:val="es-CO" w:eastAsia="es-CO"/>
              </w:rPr>
              <w:t>10,60%</w:t>
            </w:r>
          </w:p>
        </w:tc>
      </w:tr>
      <w:tr w:rsidR="008C15CD" w:rsidRPr="008C15CD" w:rsidTr="008C15CD">
        <w:trPr>
          <w:trHeight w:val="300"/>
          <w:jc w:val="center"/>
        </w:trPr>
        <w:tc>
          <w:tcPr>
            <w:tcW w:w="4120" w:type="dxa"/>
            <w:tcBorders>
              <w:top w:val="nil"/>
              <w:left w:val="single" w:sz="8" w:space="0" w:color="auto"/>
              <w:bottom w:val="single" w:sz="4" w:space="0" w:color="auto"/>
              <w:right w:val="single" w:sz="4" w:space="0" w:color="auto"/>
            </w:tcBorders>
            <w:shd w:val="clear" w:color="auto" w:fill="auto"/>
            <w:vAlign w:val="center"/>
            <w:hideMark/>
          </w:tcPr>
          <w:p w:rsidR="008C15CD" w:rsidRPr="008C15CD" w:rsidRDefault="008C15CD" w:rsidP="008C15CD">
            <w:pPr>
              <w:spacing w:after="0"/>
              <w:jc w:val="left"/>
              <w:rPr>
                <w:rFonts w:eastAsia="Times New Roman" w:cs="Arial"/>
                <w:color w:val="000000"/>
                <w:lang w:val="es-CO" w:eastAsia="es-CO"/>
              </w:rPr>
            </w:pPr>
            <w:r w:rsidRPr="008C15CD">
              <w:rPr>
                <w:rFonts w:eastAsia="Times New Roman" w:cs="Arial"/>
                <w:color w:val="000000"/>
                <w:lang w:val="es-CO" w:eastAsia="es-CO"/>
              </w:rPr>
              <w:t>Impacto regional</w:t>
            </w:r>
          </w:p>
        </w:tc>
        <w:tc>
          <w:tcPr>
            <w:tcW w:w="1420" w:type="dxa"/>
            <w:tcBorders>
              <w:top w:val="nil"/>
              <w:left w:val="nil"/>
              <w:bottom w:val="single" w:sz="4" w:space="0" w:color="auto"/>
              <w:right w:val="single" w:sz="4" w:space="0" w:color="auto"/>
            </w:tcBorders>
            <w:shd w:val="clear" w:color="auto" w:fill="auto"/>
            <w:vAlign w:val="center"/>
            <w:hideMark/>
          </w:tcPr>
          <w:p w:rsidR="008C15CD" w:rsidRPr="008C15CD" w:rsidRDefault="008C15CD" w:rsidP="008C15CD">
            <w:pPr>
              <w:spacing w:after="0"/>
              <w:jc w:val="center"/>
              <w:rPr>
                <w:rFonts w:eastAsia="Times New Roman" w:cs="Arial"/>
                <w:color w:val="000000"/>
                <w:lang w:val="es-CO" w:eastAsia="es-CO"/>
              </w:rPr>
            </w:pPr>
            <w:r w:rsidRPr="008C15CD">
              <w:rPr>
                <w:rFonts w:eastAsia="Times New Roman" w:cs="Arial"/>
                <w:color w:val="000000"/>
                <w:lang w:val="es-CO" w:eastAsia="es-CO"/>
              </w:rPr>
              <w:t>11,30%</w:t>
            </w:r>
          </w:p>
        </w:tc>
      </w:tr>
      <w:tr w:rsidR="008C15CD" w:rsidRPr="008C15CD" w:rsidTr="008C15CD">
        <w:trPr>
          <w:trHeight w:val="300"/>
          <w:jc w:val="center"/>
        </w:trPr>
        <w:tc>
          <w:tcPr>
            <w:tcW w:w="4120" w:type="dxa"/>
            <w:tcBorders>
              <w:top w:val="nil"/>
              <w:left w:val="single" w:sz="8" w:space="0" w:color="auto"/>
              <w:bottom w:val="single" w:sz="4" w:space="0" w:color="auto"/>
              <w:right w:val="single" w:sz="4" w:space="0" w:color="auto"/>
            </w:tcBorders>
            <w:shd w:val="clear" w:color="auto" w:fill="auto"/>
            <w:vAlign w:val="center"/>
            <w:hideMark/>
          </w:tcPr>
          <w:p w:rsidR="008C15CD" w:rsidRPr="008C15CD" w:rsidRDefault="008C15CD" w:rsidP="008C15CD">
            <w:pPr>
              <w:spacing w:after="0"/>
              <w:jc w:val="left"/>
              <w:rPr>
                <w:rFonts w:eastAsia="Times New Roman" w:cs="Arial"/>
                <w:color w:val="000000"/>
                <w:lang w:val="es-CO" w:eastAsia="es-CO"/>
              </w:rPr>
            </w:pPr>
            <w:r w:rsidRPr="008C15CD">
              <w:rPr>
                <w:rFonts w:eastAsia="Times New Roman" w:cs="Arial"/>
                <w:color w:val="000000"/>
                <w:lang w:val="es-CO" w:eastAsia="es-CO"/>
              </w:rPr>
              <w:t>Alianzas estratégicas</w:t>
            </w:r>
          </w:p>
        </w:tc>
        <w:tc>
          <w:tcPr>
            <w:tcW w:w="1420" w:type="dxa"/>
            <w:tcBorders>
              <w:top w:val="nil"/>
              <w:left w:val="nil"/>
              <w:bottom w:val="single" w:sz="4" w:space="0" w:color="auto"/>
              <w:right w:val="single" w:sz="4" w:space="0" w:color="auto"/>
            </w:tcBorders>
            <w:shd w:val="clear" w:color="auto" w:fill="auto"/>
            <w:vAlign w:val="center"/>
            <w:hideMark/>
          </w:tcPr>
          <w:p w:rsidR="008C15CD" w:rsidRPr="008C15CD" w:rsidRDefault="008C15CD" w:rsidP="008C15CD">
            <w:pPr>
              <w:spacing w:after="0"/>
              <w:jc w:val="center"/>
              <w:rPr>
                <w:rFonts w:eastAsia="Times New Roman" w:cs="Arial"/>
                <w:color w:val="000000"/>
                <w:lang w:val="es-CO" w:eastAsia="es-CO"/>
              </w:rPr>
            </w:pPr>
            <w:r w:rsidRPr="008C15CD">
              <w:rPr>
                <w:rFonts w:eastAsia="Times New Roman" w:cs="Arial"/>
                <w:color w:val="000000"/>
                <w:lang w:val="es-CO" w:eastAsia="es-CO"/>
              </w:rPr>
              <w:t>10,30%</w:t>
            </w:r>
          </w:p>
        </w:tc>
      </w:tr>
    </w:tbl>
    <w:p w:rsidR="008C15CD" w:rsidRPr="008C15CD" w:rsidRDefault="008C15CD" w:rsidP="008C15CD">
      <w:pPr>
        <w:spacing w:line="276" w:lineRule="auto"/>
        <w:rPr>
          <w:rFonts w:cs="Arial"/>
        </w:rPr>
      </w:pPr>
    </w:p>
    <w:p w:rsidR="00D6418B" w:rsidRPr="00535E30" w:rsidRDefault="00D6418B" w:rsidP="00F80905">
      <w:pPr>
        <w:pStyle w:val="Prrafodelista"/>
        <w:numPr>
          <w:ilvl w:val="0"/>
          <w:numId w:val="8"/>
        </w:numPr>
        <w:spacing w:line="276" w:lineRule="auto"/>
        <w:rPr>
          <w:rFonts w:cs="Arial"/>
        </w:rPr>
      </w:pPr>
      <w:r w:rsidRPr="00535E30">
        <w:rPr>
          <w:rFonts w:cs="Arial"/>
        </w:rPr>
        <w:t>Los porcentajes de ponderación, se contrastan con la medición de los indicadores correspondientes, consolidando los resultados en los tres niveles del plan de desarrollo.</w:t>
      </w:r>
    </w:p>
    <w:p w:rsidR="00D6418B" w:rsidRPr="00535E30" w:rsidRDefault="00D6418B" w:rsidP="00F80905">
      <w:pPr>
        <w:spacing w:line="276" w:lineRule="auto"/>
        <w:rPr>
          <w:rFonts w:asciiTheme="minorHAnsi" w:hAnsiTheme="minorHAnsi" w:cs="Arial"/>
        </w:rPr>
      </w:pPr>
      <w:r w:rsidRPr="00535E30">
        <w:rPr>
          <w:rFonts w:asciiTheme="minorHAnsi" w:hAnsiTheme="minorHAnsi" w:cs="Arial"/>
        </w:rPr>
        <w:t>Es de tener en cuenta que el porcentaje máximo a alcanzar en el cumplimiento de las metas es del 100%; a aquellas metas que superan este porcentaje, se realiza análisis y justificación pero el porcentaje adicional no se tiene en cuenta en la medición con el fin de establecer mayor objetividad al resultado consolidado.</w:t>
      </w:r>
    </w:p>
    <w:p w:rsidR="00D6418B" w:rsidRPr="00535E30" w:rsidRDefault="00D6418B" w:rsidP="00F80905">
      <w:pPr>
        <w:pStyle w:val="Prrafodelista"/>
        <w:spacing w:line="276" w:lineRule="auto"/>
        <w:rPr>
          <w:rStyle w:val="Hipervnculo"/>
          <w:rFonts w:cs="Arial"/>
          <w:b/>
        </w:rPr>
      </w:pPr>
    </w:p>
    <w:p w:rsidR="00CB3461" w:rsidRPr="00535E30" w:rsidRDefault="00CB3461" w:rsidP="00F80905">
      <w:pPr>
        <w:spacing w:after="200" w:line="276" w:lineRule="auto"/>
        <w:jc w:val="left"/>
        <w:rPr>
          <w:rFonts w:asciiTheme="minorHAnsi" w:eastAsiaTheme="minorEastAsia" w:hAnsiTheme="minorHAnsi" w:cs="Arial"/>
          <w:b/>
          <w:color w:val="0000FF"/>
          <w:u w:val="single"/>
          <w:lang w:val="es-CO" w:bidi="en-US"/>
        </w:rPr>
      </w:pPr>
      <w:r w:rsidRPr="00535E30">
        <w:rPr>
          <w:rFonts w:asciiTheme="minorHAnsi" w:hAnsiTheme="minorHAnsi" w:cs="Arial"/>
          <w:b/>
          <w:color w:val="0000FF"/>
          <w:u w:val="single"/>
        </w:rPr>
        <w:br w:type="page"/>
      </w:r>
    </w:p>
    <w:p w:rsidR="00540666" w:rsidRDefault="00B4461B" w:rsidP="00C0346D">
      <w:pPr>
        <w:pStyle w:val="Ttulo1"/>
        <w:numPr>
          <w:ilvl w:val="0"/>
          <w:numId w:val="21"/>
        </w:numPr>
        <w:spacing w:line="276" w:lineRule="auto"/>
      </w:pPr>
      <w:bookmarkStart w:id="51" w:name="_Toc304826935"/>
      <w:bookmarkStart w:id="52" w:name="_Toc347392842"/>
      <w:bookmarkStart w:id="53" w:name="_Toc354671315"/>
      <w:r>
        <w:lastRenderedPageBreak/>
        <w:t>RESULTADOS</w:t>
      </w:r>
      <w:r w:rsidR="00B963FC" w:rsidRPr="00535E30">
        <w:t xml:space="preserve"> GENERALES DE</w:t>
      </w:r>
      <w:r w:rsidR="00417044">
        <w:t xml:space="preserve">L </w:t>
      </w:r>
      <w:bookmarkEnd w:id="51"/>
      <w:bookmarkEnd w:id="52"/>
      <w:r w:rsidR="00417044">
        <w:t>PLAN DE DESARROLLO INSTITUCIONAL</w:t>
      </w:r>
      <w:bookmarkEnd w:id="53"/>
    </w:p>
    <w:p w:rsidR="00540666" w:rsidRDefault="00540666" w:rsidP="00540666"/>
    <w:p w:rsidR="00CF3463" w:rsidRPr="00CB60D7" w:rsidRDefault="00417044" w:rsidP="00417044">
      <w:r w:rsidRPr="008A4A11">
        <w:t xml:space="preserve">El Plan de Desarrollo Institucional de la UTP tiene </w:t>
      </w:r>
      <w:r w:rsidRPr="00417044">
        <w:rPr>
          <w:b/>
        </w:rPr>
        <w:t>7</w:t>
      </w:r>
      <w:r w:rsidRPr="008A4A11">
        <w:t xml:space="preserve"> objetivos institucionales, plantea orientar sus acciones para incidir en la transformación de la agenda del desarrollo, a través de los cuales cuentan con grupos de trabajo y gestión que facilitan el desarrollo de sus acciones en cumplimiento de los retos planteados.</w:t>
      </w:r>
    </w:p>
    <w:p w:rsidR="00CF3463" w:rsidRPr="00CB60D7" w:rsidRDefault="00CF3463" w:rsidP="00F80905">
      <w:pPr>
        <w:spacing w:after="0" w:line="276" w:lineRule="auto"/>
        <w:rPr>
          <w:rFonts w:asciiTheme="minorHAnsi" w:hAnsiTheme="minorHAnsi" w:cs="Arial"/>
        </w:rPr>
      </w:pPr>
    </w:p>
    <w:p w:rsidR="00475419" w:rsidRDefault="00475419" w:rsidP="00F80905">
      <w:pPr>
        <w:spacing w:after="0" w:line="276" w:lineRule="auto"/>
        <w:jc w:val="center"/>
        <w:rPr>
          <w:rFonts w:asciiTheme="minorHAnsi" w:hAnsiTheme="minorHAnsi" w:cs="Arial"/>
          <w:noProof/>
          <w:lang w:val="es-CO" w:eastAsia="es-CO"/>
        </w:rPr>
      </w:pPr>
      <w:r>
        <w:rPr>
          <w:noProof/>
          <w:lang w:val="es-CO" w:eastAsia="es-CO"/>
        </w:rPr>
        <w:drawing>
          <wp:inline distT="0" distB="0" distL="0" distR="0">
            <wp:extent cx="5048250" cy="5043489"/>
            <wp:effectExtent l="0" t="0" r="0" b="5080"/>
            <wp:docPr id="22532" name="Gráfico 22532"/>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475419" w:rsidRDefault="00475419">
      <w:pPr>
        <w:spacing w:after="200" w:line="276" w:lineRule="auto"/>
        <w:jc w:val="left"/>
        <w:rPr>
          <w:rFonts w:asciiTheme="minorHAnsi" w:hAnsiTheme="minorHAnsi" w:cs="Arial"/>
          <w:noProof/>
          <w:lang w:val="es-CO" w:eastAsia="es-CO"/>
        </w:rPr>
      </w:pPr>
      <w:r>
        <w:rPr>
          <w:rFonts w:asciiTheme="minorHAnsi" w:hAnsiTheme="minorHAnsi" w:cs="Arial"/>
          <w:noProof/>
          <w:lang w:val="es-CO" w:eastAsia="es-CO"/>
        </w:rPr>
        <w:br w:type="page"/>
      </w:r>
    </w:p>
    <w:tbl>
      <w:tblPr>
        <w:tblW w:w="8680" w:type="dxa"/>
        <w:tblInd w:w="55" w:type="dxa"/>
        <w:tblCellMar>
          <w:left w:w="70" w:type="dxa"/>
          <w:right w:w="70" w:type="dxa"/>
        </w:tblCellMar>
        <w:tblLook w:val="04A0" w:firstRow="1" w:lastRow="0" w:firstColumn="1" w:lastColumn="0" w:noHBand="0" w:noVBand="1"/>
      </w:tblPr>
      <w:tblGrid>
        <w:gridCol w:w="4120"/>
        <w:gridCol w:w="1420"/>
        <w:gridCol w:w="1420"/>
        <w:gridCol w:w="1720"/>
      </w:tblGrid>
      <w:tr w:rsidR="00475419" w:rsidRPr="00475419" w:rsidTr="00475419">
        <w:trPr>
          <w:trHeight w:val="900"/>
        </w:trPr>
        <w:tc>
          <w:tcPr>
            <w:tcW w:w="4120" w:type="dxa"/>
            <w:tcBorders>
              <w:top w:val="single" w:sz="8" w:space="0" w:color="auto"/>
              <w:left w:val="single" w:sz="8" w:space="0" w:color="auto"/>
              <w:bottom w:val="single" w:sz="4" w:space="0" w:color="auto"/>
              <w:right w:val="single" w:sz="4" w:space="0" w:color="auto"/>
            </w:tcBorders>
            <w:shd w:val="clear" w:color="000000" w:fill="B8CCE4"/>
            <w:vAlign w:val="center"/>
            <w:hideMark/>
          </w:tcPr>
          <w:p w:rsidR="00475419" w:rsidRPr="00475419" w:rsidRDefault="00475419" w:rsidP="00475419">
            <w:pPr>
              <w:spacing w:after="0"/>
              <w:jc w:val="center"/>
              <w:rPr>
                <w:rFonts w:eastAsia="Times New Roman" w:cs="Arial"/>
                <w:b/>
                <w:bCs/>
                <w:color w:val="000000"/>
                <w:lang w:val="es-CO" w:eastAsia="es-CO"/>
              </w:rPr>
            </w:pPr>
            <w:r w:rsidRPr="00475419">
              <w:rPr>
                <w:rFonts w:eastAsia="Times New Roman" w:cs="Arial"/>
                <w:b/>
                <w:bCs/>
                <w:color w:val="000000"/>
                <w:lang w:val="es-CO" w:eastAsia="es-CO"/>
              </w:rPr>
              <w:lastRenderedPageBreak/>
              <w:t>Objetivo Institucional</w:t>
            </w:r>
          </w:p>
        </w:tc>
        <w:tc>
          <w:tcPr>
            <w:tcW w:w="1420" w:type="dxa"/>
            <w:tcBorders>
              <w:top w:val="single" w:sz="8" w:space="0" w:color="auto"/>
              <w:left w:val="nil"/>
              <w:bottom w:val="single" w:sz="4" w:space="0" w:color="auto"/>
              <w:right w:val="single" w:sz="4" w:space="0" w:color="auto"/>
            </w:tcBorders>
            <w:shd w:val="clear" w:color="000000" w:fill="B8CCE4"/>
            <w:vAlign w:val="center"/>
            <w:hideMark/>
          </w:tcPr>
          <w:p w:rsidR="00475419" w:rsidRPr="00475419" w:rsidRDefault="00475419" w:rsidP="00475419">
            <w:pPr>
              <w:spacing w:after="0"/>
              <w:jc w:val="center"/>
              <w:rPr>
                <w:rFonts w:eastAsia="Times New Roman" w:cs="Arial"/>
                <w:b/>
                <w:bCs/>
                <w:color w:val="000000"/>
                <w:lang w:val="es-CO" w:eastAsia="es-CO"/>
              </w:rPr>
            </w:pPr>
            <w:r w:rsidRPr="00475419">
              <w:rPr>
                <w:rFonts w:eastAsia="Times New Roman" w:cs="Arial"/>
                <w:b/>
                <w:bCs/>
                <w:color w:val="000000"/>
                <w:lang w:val="es-CO" w:eastAsia="es-CO"/>
              </w:rPr>
              <w:t>Resultado a Nivel de Propósitos</w:t>
            </w:r>
          </w:p>
        </w:tc>
        <w:tc>
          <w:tcPr>
            <w:tcW w:w="1420" w:type="dxa"/>
            <w:tcBorders>
              <w:top w:val="single" w:sz="8" w:space="0" w:color="auto"/>
              <w:left w:val="nil"/>
              <w:bottom w:val="single" w:sz="4" w:space="0" w:color="auto"/>
              <w:right w:val="single" w:sz="4" w:space="0" w:color="auto"/>
            </w:tcBorders>
            <w:shd w:val="clear" w:color="000000" w:fill="B8CCE4"/>
            <w:vAlign w:val="center"/>
            <w:hideMark/>
          </w:tcPr>
          <w:p w:rsidR="00475419" w:rsidRPr="00475419" w:rsidRDefault="00475419" w:rsidP="00475419">
            <w:pPr>
              <w:spacing w:after="0"/>
              <w:jc w:val="center"/>
              <w:rPr>
                <w:rFonts w:eastAsia="Times New Roman" w:cs="Arial"/>
                <w:b/>
                <w:bCs/>
                <w:color w:val="000000"/>
                <w:lang w:val="es-CO" w:eastAsia="es-CO"/>
              </w:rPr>
            </w:pPr>
            <w:r w:rsidRPr="00475419">
              <w:rPr>
                <w:rFonts w:eastAsia="Times New Roman" w:cs="Arial"/>
                <w:b/>
                <w:bCs/>
                <w:color w:val="000000"/>
                <w:lang w:val="es-CO" w:eastAsia="es-CO"/>
              </w:rPr>
              <w:t>Resultado a Nivel de Componentes</w:t>
            </w:r>
          </w:p>
        </w:tc>
        <w:tc>
          <w:tcPr>
            <w:tcW w:w="1720" w:type="dxa"/>
            <w:tcBorders>
              <w:top w:val="single" w:sz="8" w:space="0" w:color="auto"/>
              <w:left w:val="nil"/>
              <w:bottom w:val="single" w:sz="4" w:space="0" w:color="auto"/>
              <w:right w:val="single" w:sz="8" w:space="0" w:color="auto"/>
            </w:tcBorders>
            <w:shd w:val="clear" w:color="000000" w:fill="B8CCE4"/>
            <w:vAlign w:val="center"/>
            <w:hideMark/>
          </w:tcPr>
          <w:p w:rsidR="00475419" w:rsidRPr="00475419" w:rsidRDefault="00475419" w:rsidP="00475419">
            <w:pPr>
              <w:spacing w:after="0"/>
              <w:jc w:val="center"/>
              <w:rPr>
                <w:rFonts w:eastAsia="Times New Roman" w:cs="Arial"/>
                <w:b/>
                <w:bCs/>
                <w:color w:val="000000"/>
                <w:lang w:val="es-CO" w:eastAsia="es-CO"/>
              </w:rPr>
            </w:pPr>
            <w:r w:rsidRPr="00475419">
              <w:rPr>
                <w:rFonts w:eastAsia="Times New Roman" w:cs="Arial"/>
                <w:b/>
                <w:bCs/>
                <w:color w:val="000000"/>
                <w:lang w:val="es-CO" w:eastAsia="es-CO"/>
              </w:rPr>
              <w:t>Resultado a Nivel de Proyectos</w:t>
            </w:r>
          </w:p>
        </w:tc>
      </w:tr>
      <w:tr w:rsidR="00475419" w:rsidRPr="00475419" w:rsidTr="00475419">
        <w:trPr>
          <w:trHeight w:val="300"/>
        </w:trPr>
        <w:tc>
          <w:tcPr>
            <w:tcW w:w="4120" w:type="dxa"/>
            <w:tcBorders>
              <w:top w:val="nil"/>
              <w:left w:val="single" w:sz="8" w:space="0" w:color="auto"/>
              <w:bottom w:val="single" w:sz="4" w:space="0" w:color="auto"/>
              <w:right w:val="single" w:sz="4" w:space="0" w:color="auto"/>
            </w:tcBorders>
            <w:shd w:val="clear" w:color="auto" w:fill="auto"/>
            <w:vAlign w:val="center"/>
            <w:hideMark/>
          </w:tcPr>
          <w:p w:rsidR="00475419" w:rsidRPr="00475419" w:rsidRDefault="00475419" w:rsidP="00475419">
            <w:pPr>
              <w:spacing w:after="0"/>
              <w:jc w:val="left"/>
              <w:rPr>
                <w:rFonts w:eastAsia="Times New Roman" w:cs="Arial"/>
                <w:color w:val="000000"/>
                <w:lang w:val="es-CO" w:eastAsia="es-CO"/>
              </w:rPr>
            </w:pPr>
            <w:r w:rsidRPr="00475419">
              <w:rPr>
                <w:rFonts w:eastAsia="Times New Roman" w:cs="Arial"/>
                <w:color w:val="000000"/>
                <w:lang w:val="es-CO" w:eastAsia="es-CO"/>
              </w:rPr>
              <w:t>Desarrollo institucional</w:t>
            </w:r>
          </w:p>
        </w:tc>
        <w:tc>
          <w:tcPr>
            <w:tcW w:w="1420" w:type="dxa"/>
            <w:tcBorders>
              <w:top w:val="nil"/>
              <w:left w:val="nil"/>
              <w:bottom w:val="single" w:sz="4" w:space="0" w:color="auto"/>
              <w:right w:val="single" w:sz="4" w:space="0" w:color="auto"/>
            </w:tcBorders>
            <w:shd w:val="clear" w:color="auto" w:fill="auto"/>
            <w:vAlign w:val="center"/>
            <w:hideMark/>
          </w:tcPr>
          <w:p w:rsidR="00475419" w:rsidRPr="00475419" w:rsidRDefault="00475419" w:rsidP="00475419">
            <w:pPr>
              <w:spacing w:after="0"/>
              <w:jc w:val="center"/>
              <w:rPr>
                <w:rFonts w:eastAsia="Times New Roman" w:cs="Arial"/>
                <w:color w:val="000000"/>
                <w:lang w:val="es-CO" w:eastAsia="es-CO"/>
              </w:rPr>
            </w:pPr>
            <w:r w:rsidRPr="00475419">
              <w:rPr>
                <w:rFonts w:eastAsia="Times New Roman" w:cs="Arial"/>
                <w:color w:val="000000"/>
                <w:lang w:val="es-CO" w:eastAsia="es-CO"/>
              </w:rPr>
              <w:t>98,23%</w:t>
            </w:r>
          </w:p>
        </w:tc>
        <w:tc>
          <w:tcPr>
            <w:tcW w:w="1420" w:type="dxa"/>
            <w:tcBorders>
              <w:top w:val="nil"/>
              <w:left w:val="nil"/>
              <w:bottom w:val="single" w:sz="4" w:space="0" w:color="auto"/>
              <w:right w:val="single" w:sz="4" w:space="0" w:color="auto"/>
            </w:tcBorders>
            <w:shd w:val="clear" w:color="auto" w:fill="auto"/>
            <w:noWrap/>
            <w:vAlign w:val="center"/>
            <w:hideMark/>
          </w:tcPr>
          <w:p w:rsidR="00475419" w:rsidRPr="00475419" w:rsidRDefault="00475419" w:rsidP="00475419">
            <w:pPr>
              <w:spacing w:after="0"/>
              <w:jc w:val="center"/>
              <w:rPr>
                <w:rFonts w:eastAsia="Times New Roman" w:cs="Arial"/>
                <w:color w:val="000000"/>
                <w:lang w:val="es-CO" w:eastAsia="es-CO"/>
              </w:rPr>
            </w:pPr>
            <w:r w:rsidRPr="00475419">
              <w:rPr>
                <w:rFonts w:eastAsia="Times New Roman" w:cs="Arial"/>
                <w:color w:val="000000"/>
                <w:lang w:val="es-CO" w:eastAsia="es-CO"/>
              </w:rPr>
              <w:t>94,80%</w:t>
            </w:r>
          </w:p>
        </w:tc>
        <w:tc>
          <w:tcPr>
            <w:tcW w:w="1720" w:type="dxa"/>
            <w:tcBorders>
              <w:top w:val="nil"/>
              <w:left w:val="nil"/>
              <w:bottom w:val="single" w:sz="4" w:space="0" w:color="auto"/>
              <w:right w:val="single" w:sz="8" w:space="0" w:color="auto"/>
            </w:tcBorders>
            <w:shd w:val="clear" w:color="auto" w:fill="auto"/>
            <w:vAlign w:val="center"/>
            <w:hideMark/>
          </w:tcPr>
          <w:p w:rsidR="00475419" w:rsidRPr="00475419" w:rsidRDefault="00475419" w:rsidP="00475419">
            <w:pPr>
              <w:spacing w:after="0"/>
              <w:jc w:val="center"/>
              <w:rPr>
                <w:rFonts w:eastAsia="Times New Roman" w:cs="Arial"/>
                <w:color w:val="000000"/>
                <w:lang w:val="es-CO" w:eastAsia="es-CO"/>
              </w:rPr>
            </w:pPr>
            <w:r w:rsidRPr="00475419">
              <w:rPr>
                <w:rFonts w:eastAsia="Times New Roman" w:cs="Arial"/>
                <w:color w:val="000000"/>
                <w:lang w:val="es-CO" w:eastAsia="es-CO"/>
              </w:rPr>
              <w:t>92,20%</w:t>
            </w:r>
          </w:p>
        </w:tc>
      </w:tr>
      <w:tr w:rsidR="00475419" w:rsidRPr="00475419" w:rsidTr="00475419">
        <w:trPr>
          <w:trHeight w:val="300"/>
        </w:trPr>
        <w:tc>
          <w:tcPr>
            <w:tcW w:w="4120" w:type="dxa"/>
            <w:tcBorders>
              <w:top w:val="nil"/>
              <w:left w:val="single" w:sz="8" w:space="0" w:color="auto"/>
              <w:bottom w:val="single" w:sz="4" w:space="0" w:color="auto"/>
              <w:right w:val="single" w:sz="4" w:space="0" w:color="auto"/>
            </w:tcBorders>
            <w:shd w:val="clear" w:color="auto" w:fill="auto"/>
            <w:vAlign w:val="center"/>
            <w:hideMark/>
          </w:tcPr>
          <w:p w:rsidR="00475419" w:rsidRPr="00475419" w:rsidRDefault="00475419" w:rsidP="00475419">
            <w:pPr>
              <w:spacing w:after="0"/>
              <w:jc w:val="left"/>
              <w:rPr>
                <w:rFonts w:eastAsia="Times New Roman" w:cs="Arial"/>
                <w:color w:val="000000"/>
                <w:lang w:val="es-CO" w:eastAsia="es-CO"/>
              </w:rPr>
            </w:pPr>
            <w:r w:rsidRPr="00475419">
              <w:rPr>
                <w:rFonts w:eastAsia="Times New Roman" w:cs="Arial"/>
                <w:color w:val="000000"/>
                <w:lang w:val="es-CO" w:eastAsia="es-CO"/>
              </w:rPr>
              <w:t>Cobertura con calidad</w:t>
            </w:r>
          </w:p>
        </w:tc>
        <w:tc>
          <w:tcPr>
            <w:tcW w:w="1420" w:type="dxa"/>
            <w:tcBorders>
              <w:top w:val="nil"/>
              <w:left w:val="nil"/>
              <w:bottom w:val="single" w:sz="4" w:space="0" w:color="auto"/>
              <w:right w:val="single" w:sz="4" w:space="0" w:color="auto"/>
            </w:tcBorders>
            <w:shd w:val="clear" w:color="auto" w:fill="auto"/>
            <w:vAlign w:val="center"/>
            <w:hideMark/>
          </w:tcPr>
          <w:p w:rsidR="00475419" w:rsidRPr="00475419" w:rsidRDefault="00475419" w:rsidP="00475419">
            <w:pPr>
              <w:spacing w:after="0"/>
              <w:jc w:val="center"/>
              <w:rPr>
                <w:rFonts w:eastAsia="Times New Roman" w:cs="Arial"/>
                <w:color w:val="000000"/>
                <w:lang w:val="es-CO" w:eastAsia="es-CO"/>
              </w:rPr>
            </w:pPr>
            <w:r w:rsidRPr="00475419">
              <w:rPr>
                <w:rFonts w:eastAsia="Times New Roman" w:cs="Arial"/>
                <w:color w:val="000000"/>
                <w:lang w:val="es-CO" w:eastAsia="es-CO"/>
              </w:rPr>
              <w:t>95,93%</w:t>
            </w:r>
          </w:p>
        </w:tc>
        <w:tc>
          <w:tcPr>
            <w:tcW w:w="1420" w:type="dxa"/>
            <w:tcBorders>
              <w:top w:val="nil"/>
              <w:left w:val="nil"/>
              <w:bottom w:val="single" w:sz="4" w:space="0" w:color="auto"/>
              <w:right w:val="single" w:sz="4" w:space="0" w:color="auto"/>
            </w:tcBorders>
            <w:shd w:val="clear" w:color="auto" w:fill="auto"/>
            <w:noWrap/>
            <w:vAlign w:val="center"/>
            <w:hideMark/>
          </w:tcPr>
          <w:p w:rsidR="00475419" w:rsidRPr="00475419" w:rsidRDefault="00475419" w:rsidP="00475419">
            <w:pPr>
              <w:spacing w:after="0"/>
              <w:jc w:val="center"/>
              <w:rPr>
                <w:rFonts w:eastAsia="Times New Roman" w:cs="Arial"/>
                <w:color w:val="000000"/>
                <w:lang w:val="es-CO" w:eastAsia="es-CO"/>
              </w:rPr>
            </w:pPr>
            <w:r w:rsidRPr="00475419">
              <w:rPr>
                <w:rFonts w:eastAsia="Times New Roman" w:cs="Arial"/>
                <w:color w:val="000000"/>
                <w:lang w:val="es-CO" w:eastAsia="es-CO"/>
              </w:rPr>
              <w:t>95,93%</w:t>
            </w:r>
          </w:p>
        </w:tc>
        <w:tc>
          <w:tcPr>
            <w:tcW w:w="1720" w:type="dxa"/>
            <w:tcBorders>
              <w:top w:val="nil"/>
              <w:left w:val="nil"/>
              <w:bottom w:val="single" w:sz="4" w:space="0" w:color="auto"/>
              <w:right w:val="single" w:sz="8" w:space="0" w:color="auto"/>
            </w:tcBorders>
            <w:shd w:val="clear" w:color="auto" w:fill="auto"/>
            <w:vAlign w:val="center"/>
            <w:hideMark/>
          </w:tcPr>
          <w:p w:rsidR="00475419" w:rsidRPr="00475419" w:rsidRDefault="00475419" w:rsidP="00475419">
            <w:pPr>
              <w:spacing w:after="0"/>
              <w:jc w:val="center"/>
              <w:rPr>
                <w:rFonts w:eastAsia="Times New Roman" w:cs="Arial"/>
                <w:color w:val="000000"/>
                <w:lang w:val="es-CO" w:eastAsia="es-CO"/>
              </w:rPr>
            </w:pPr>
            <w:r w:rsidRPr="00475419">
              <w:rPr>
                <w:rFonts w:eastAsia="Times New Roman" w:cs="Arial"/>
                <w:color w:val="000000"/>
                <w:lang w:val="es-CO" w:eastAsia="es-CO"/>
              </w:rPr>
              <w:t>96,84%</w:t>
            </w:r>
          </w:p>
        </w:tc>
      </w:tr>
      <w:tr w:rsidR="00475419" w:rsidRPr="00475419" w:rsidTr="00475419">
        <w:trPr>
          <w:trHeight w:val="300"/>
        </w:trPr>
        <w:tc>
          <w:tcPr>
            <w:tcW w:w="4120" w:type="dxa"/>
            <w:tcBorders>
              <w:top w:val="nil"/>
              <w:left w:val="single" w:sz="8" w:space="0" w:color="auto"/>
              <w:bottom w:val="single" w:sz="4" w:space="0" w:color="auto"/>
              <w:right w:val="single" w:sz="4" w:space="0" w:color="auto"/>
            </w:tcBorders>
            <w:shd w:val="clear" w:color="auto" w:fill="auto"/>
            <w:vAlign w:val="center"/>
            <w:hideMark/>
          </w:tcPr>
          <w:p w:rsidR="00475419" w:rsidRPr="00475419" w:rsidRDefault="00475419" w:rsidP="00475419">
            <w:pPr>
              <w:spacing w:after="0"/>
              <w:jc w:val="left"/>
              <w:rPr>
                <w:rFonts w:eastAsia="Times New Roman" w:cs="Arial"/>
                <w:color w:val="000000"/>
                <w:lang w:val="es-CO" w:eastAsia="es-CO"/>
              </w:rPr>
            </w:pPr>
            <w:r w:rsidRPr="00475419">
              <w:rPr>
                <w:rFonts w:eastAsia="Times New Roman" w:cs="Arial"/>
                <w:color w:val="000000"/>
                <w:lang w:val="es-CO" w:eastAsia="es-CO"/>
              </w:rPr>
              <w:t>Bienestar institucional</w:t>
            </w:r>
          </w:p>
        </w:tc>
        <w:tc>
          <w:tcPr>
            <w:tcW w:w="1420" w:type="dxa"/>
            <w:tcBorders>
              <w:top w:val="nil"/>
              <w:left w:val="nil"/>
              <w:bottom w:val="single" w:sz="4" w:space="0" w:color="auto"/>
              <w:right w:val="single" w:sz="4" w:space="0" w:color="auto"/>
            </w:tcBorders>
            <w:shd w:val="clear" w:color="auto" w:fill="auto"/>
            <w:vAlign w:val="center"/>
            <w:hideMark/>
          </w:tcPr>
          <w:p w:rsidR="00475419" w:rsidRPr="00475419" w:rsidRDefault="00475419" w:rsidP="00475419">
            <w:pPr>
              <w:spacing w:after="0"/>
              <w:jc w:val="center"/>
              <w:rPr>
                <w:rFonts w:eastAsia="Times New Roman" w:cs="Arial"/>
                <w:color w:val="000000"/>
                <w:lang w:val="es-CO" w:eastAsia="es-CO"/>
              </w:rPr>
            </w:pPr>
            <w:r w:rsidRPr="00475419">
              <w:rPr>
                <w:rFonts w:eastAsia="Times New Roman" w:cs="Arial"/>
                <w:color w:val="000000"/>
                <w:lang w:val="es-CO" w:eastAsia="es-CO"/>
              </w:rPr>
              <w:t>100,00%</w:t>
            </w:r>
          </w:p>
        </w:tc>
        <w:tc>
          <w:tcPr>
            <w:tcW w:w="1420" w:type="dxa"/>
            <w:tcBorders>
              <w:top w:val="nil"/>
              <w:left w:val="nil"/>
              <w:bottom w:val="single" w:sz="4" w:space="0" w:color="auto"/>
              <w:right w:val="single" w:sz="4" w:space="0" w:color="auto"/>
            </w:tcBorders>
            <w:shd w:val="clear" w:color="auto" w:fill="auto"/>
            <w:noWrap/>
            <w:vAlign w:val="center"/>
            <w:hideMark/>
          </w:tcPr>
          <w:p w:rsidR="00475419" w:rsidRPr="00475419" w:rsidRDefault="00475419" w:rsidP="00475419">
            <w:pPr>
              <w:spacing w:after="0"/>
              <w:jc w:val="center"/>
              <w:rPr>
                <w:rFonts w:eastAsia="Times New Roman" w:cs="Arial"/>
                <w:color w:val="000000"/>
                <w:lang w:val="es-CO" w:eastAsia="es-CO"/>
              </w:rPr>
            </w:pPr>
            <w:r w:rsidRPr="00475419">
              <w:rPr>
                <w:rFonts w:eastAsia="Times New Roman" w:cs="Arial"/>
                <w:color w:val="000000"/>
                <w:lang w:val="es-CO" w:eastAsia="es-CO"/>
              </w:rPr>
              <w:t>96,84%</w:t>
            </w:r>
          </w:p>
        </w:tc>
        <w:tc>
          <w:tcPr>
            <w:tcW w:w="1720" w:type="dxa"/>
            <w:tcBorders>
              <w:top w:val="nil"/>
              <w:left w:val="nil"/>
              <w:bottom w:val="single" w:sz="4" w:space="0" w:color="auto"/>
              <w:right w:val="single" w:sz="8" w:space="0" w:color="auto"/>
            </w:tcBorders>
            <w:shd w:val="clear" w:color="auto" w:fill="auto"/>
            <w:vAlign w:val="center"/>
            <w:hideMark/>
          </w:tcPr>
          <w:p w:rsidR="00475419" w:rsidRPr="00475419" w:rsidRDefault="00475419" w:rsidP="00475419">
            <w:pPr>
              <w:spacing w:after="0"/>
              <w:jc w:val="center"/>
              <w:rPr>
                <w:rFonts w:eastAsia="Times New Roman" w:cs="Arial"/>
                <w:color w:val="000000"/>
                <w:lang w:val="es-CO" w:eastAsia="es-CO"/>
              </w:rPr>
            </w:pPr>
            <w:r w:rsidRPr="00475419">
              <w:rPr>
                <w:rFonts w:eastAsia="Times New Roman" w:cs="Arial"/>
                <w:color w:val="000000"/>
                <w:lang w:val="es-CO" w:eastAsia="es-CO"/>
              </w:rPr>
              <w:t>93,46%</w:t>
            </w:r>
          </w:p>
        </w:tc>
      </w:tr>
      <w:tr w:rsidR="00475419" w:rsidRPr="00475419" w:rsidTr="00475419">
        <w:trPr>
          <w:trHeight w:val="300"/>
        </w:trPr>
        <w:tc>
          <w:tcPr>
            <w:tcW w:w="4120" w:type="dxa"/>
            <w:tcBorders>
              <w:top w:val="nil"/>
              <w:left w:val="single" w:sz="8" w:space="0" w:color="auto"/>
              <w:bottom w:val="single" w:sz="4" w:space="0" w:color="auto"/>
              <w:right w:val="single" w:sz="4" w:space="0" w:color="auto"/>
            </w:tcBorders>
            <w:shd w:val="clear" w:color="auto" w:fill="auto"/>
            <w:vAlign w:val="center"/>
            <w:hideMark/>
          </w:tcPr>
          <w:p w:rsidR="00475419" w:rsidRPr="00475419" w:rsidRDefault="00475419" w:rsidP="00475419">
            <w:pPr>
              <w:spacing w:after="0"/>
              <w:jc w:val="left"/>
              <w:rPr>
                <w:rFonts w:eastAsia="Times New Roman" w:cs="Arial"/>
                <w:color w:val="000000"/>
                <w:lang w:val="es-CO" w:eastAsia="es-CO"/>
              </w:rPr>
            </w:pPr>
            <w:r w:rsidRPr="00475419">
              <w:rPr>
                <w:rFonts w:eastAsia="Times New Roman" w:cs="Arial"/>
                <w:color w:val="000000"/>
                <w:lang w:val="es-CO" w:eastAsia="es-CO"/>
              </w:rPr>
              <w:t>Investigación, innovación y extensión</w:t>
            </w:r>
          </w:p>
        </w:tc>
        <w:tc>
          <w:tcPr>
            <w:tcW w:w="1420" w:type="dxa"/>
            <w:tcBorders>
              <w:top w:val="nil"/>
              <w:left w:val="nil"/>
              <w:bottom w:val="single" w:sz="4" w:space="0" w:color="auto"/>
              <w:right w:val="single" w:sz="4" w:space="0" w:color="auto"/>
            </w:tcBorders>
            <w:shd w:val="clear" w:color="auto" w:fill="auto"/>
            <w:vAlign w:val="center"/>
            <w:hideMark/>
          </w:tcPr>
          <w:p w:rsidR="00475419" w:rsidRPr="00475419" w:rsidRDefault="00475419" w:rsidP="00475419">
            <w:pPr>
              <w:spacing w:after="0"/>
              <w:jc w:val="center"/>
              <w:rPr>
                <w:rFonts w:eastAsia="Times New Roman" w:cs="Arial"/>
                <w:color w:val="000000"/>
                <w:lang w:val="es-CO" w:eastAsia="es-CO"/>
              </w:rPr>
            </w:pPr>
            <w:r w:rsidRPr="00475419">
              <w:rPr>
                <w:rFonts w:eastAsia="Times New Roman" w:cs="Arial"/>
                <w:color w:val="000000"/>
                <w:lang w:val="es-CO" w:eastAsia="es-CO"/>
              </w:rPr>
              <w:t>86,57%</w:t>
            </w:r>
          </w:p>
        </w:tc>
        <w:tc>
          <w:tcPr>
            <w:tcW w:w="1420" w:type="dxa"/>
            <w:tcBorders>
              <w:top w:val="nil"/>
              <w:left w:val="nil"/>
              <w:bottom w:val="single" w:sz="4" w:space="0" w:color="auto"/>
              <w:right w:val="single" w:sz="4" w:space="0" w:color="auto"/>
            </w:tcBorders>
            <w:shd w:val="clear" w:color="auto" w:fill="auto"/>
            <w:noWrap/>
            <w:vAlign w:val="center"/>
            <w:hideMark/>
          </w:tcPr>
          <w:p w:rsidR="00475419" w:rsidRPr="00475419" w:rsidRDefault="00475419" w:rsidP="00475419">
            <w:pPr>
              <w:spacing w:after="0"/>
              <w:jc w:val="center"/>
              <w:rPr>
                <w:rFonts w:eastAsia="Times New Roman" w:cs="Arial"/>
                <w:color w:val="000000"/>
                <w:lang w:val="es-CO" w:eastAsia="es-CO"/>
              </w:rPr>
            </w:pPr>
            <w:r w:rsidRPr="00475419">
              <w:rPr>
                <w:rFonts w:eastAsia="Times New Roman" w:cs="Arial"/>
                <w:color w:val="000000"/>
                <w:lang w:val="es-CO" w:eastAsia="es-CO"/>
              </w:rPr>
              <w:t>87,66%</w:t>
            </w:r>
          </w:p>
        </w:tc>
        <w:tc>
          <w:tcPr>
            <w:tcW w:w="1720" w:type="dxa"/>
            <w:tcBorders>
              <w:top w:val="nil"/>
              <w:left w:val="nil"/>
              <w:bottom w:val="single" w:sz="4" w:space="0" w:color="auto"/>
              <w:right w:val="single" w:sz="8" w:space="0" w:color="auto"/>
            </w:tcBorders>
            <w:shd w:val="clear" w:color="auto" w:fill="auto"/>
            <w:vAlign w:val="center"/>
            <w:hideMark/>
          </w:tcPr>
          <w:p w:rsidR="00475419" w:rsidRPr="00475419" w:rsidRDefault="00475419" w:rsidP="00475419">
            <w:pPr>
              <w:spacing w:after="0"/>
              <w:jc w:val="center"/>
              <w:rPr>
                <w:rFonts w:eastAsia="Times New Roman" w:cs="Arial"/>
                <w:color w:val="000000"/>
                <w:lang w:val="es-CO" w:eastAsia="es-CO"/>
              </w:rPr>
            </w:pPr>
            <w:r w:rsidRPr="00475419">
              <w:rPr>
                <w:rFonts w:eastAsia="Times New Roman" w:cs="Arial"/>
                <w:color w:val="000000"/>
                <w:lang w:val="es-CO" w:eastAsia="es-CO"/>
              </w:rPr>
              <w:t>88,83%</w:t>
            </w:r>
          </w:p>
        </w:tc>
      </w:tr>
      <w:tr w:rsidR="00475419" w:rsidRPr="00475419" w:rsidTr="00475419">
        <w:trPr>
          <w:trHeight w:val="300"/>
        </w:trPr>
        <w:tc>
          <w:tcPr>
            <w:tcW w:w="4120" w:type="dxa"/>
            <w:tcBorders>
              <w:top w:val="nil"/>
              <w:left w:val="single" w:sz="8" w:space="0" w:color="auto"/>
              <w:bottom w:val="single" w:sz="4" w:space="0" w:color="auto"/>
              <w:right w:val="single" w:sz="4" w:space="0" w:color="auto"/>
            </w:tcBorders>
            <w:shd w:val="clear" w:color="auto" w:fill="auto"/>
            <w:vAlign w:val="center"/>
            <w:hideMark/>
          </w:tcPr>
          <w:p w:rsidR="00475419" w:rsidRPr="00475419" w:rsidRDefault="00475419" w:rsidP="00475419">
            <w:pPr>
              <w:spacing w:after="0"/>
              <w:jc w:val="left"/>
              <w:rPr>
                <w:rFonts w:eastAsia="Times New Roman" w:cs="Arial"/>
                <w:color w:val="000000"/>
                <w:lang w:val="es-CO" w:eastAsia="es-CO"/>
              </w:rPr>
            </w:pPr>
            <w:r w:rsidRPr="00475419">
              <w:rPr>
                <w:rFonts w:eastAsia="Times New Roman" w:cs="Arial"/>
                <w:color w:val="000000"/>
                <w:lang w:val="es-CO" w:eastAsia="es-CO"/>
              </w:rPr>
              <w:t>Internacionalización</w:t>
            </w:r>
          </w:p>
        </w:tc>
        <w:tc>
          <w:tcPr>
            <w:tcW w:w="1420" w:type="dxa"/>
            <w:tcBorders>
              <w:top w:val="nil"/>
              <w:left w:val="nil"/>
              <w:bottom w:val="single" w:sz="4" w:space="0" w:color="auto"/>
              <w:right w:val="single" w:sz="4" w:space="0" w:color="auto"/>
            </w:tcBorders>
            <w:shd w:val="clear" w:color="auto" w:fill="auto"/>
            <w:vAlign w:val="center"/>
            <w:hideMark/>
          </w:tcPr>
          <w:p w:rsidR="00475419" w:rsidRPr="00475419" w:rsidRDefault="00475419" w:rsidP="00475419">
            <w:pPr>
              <w:spacing w:after="0"/>
              <w:jc w:val="center"/>
              <w:rPr>
                <w:rFonts w:eastAsia="Times New Roman" w:cs="Arial"/>
                <w:color w:val="000000"/>
                <w:lang w:val="es-CO" w:eastAsia="es-CO"/>
              </w:rPr>
            </w:pPr>
            <w:r w:rsidRPr="00475419">
              <w:rPr>
                <w:rFonts w:eastAsia="Times New Roman" w:cs="Arial"/>
                <w:color w:val="000000"/>
                <w:lang w:val="es-CO" w:eastAsia="es-CO"/>
              </w:rPr>
              <w:t>100,00%</w:t>
            </w:r>
          </w:p>
        </w:tc>
        <w:tc>
          <w:tcPr>
            <w:tcW w:w="1420" w:type="dxa"/>
            <w:tcBorders>
              <w:top w:val="nil"/>
              <w:left w:val="nil"/>
              <w:bottom w:val="single" w:sz="4" w:space="0" w:color="auto"/>
              <w:right w:val="single" w:sz="4" w:space="0" w:color="auto"/>
            </w:tcBorders>
            <w:shd w:val="clear" w:color="auto" w:fill="auto"/>
            <w:noWrap/>
            <w:vAlign w:val="center"/>
            <w:hideMark/>
          </w:tcPr>
          <w:p w:rsidR="00475419" w:rsidRPr="00475419" w:rsidRDefault="00475419" w:rsidP="00475419">
            <w:pPr>
              <w:spacing w:after="0"/>
              <w:jc w:val="center"/>
              <w:rPr>
                <w:rFonts w:eastAsia="Times New Roman" w:cs="Arial"/>
                <w:color w:val="000000"/>
                <w:lang w:val="es-CO" w:eastAsia="es-CO"/>
              </w:rPr>
            </w:pPr>
            <w:r w:rsidRPr="00475419">
              <w:rPr>
                <w:rFonts w:eastAsia="Times New Roman" w:cs="Arial"/>
                <w:color w:val="000000"/>
                <w:lang w:val="es-CO" w:eastAsia="es-CO"/>
              </w:rPr>
              <w:t>75,94%</w:t>
            </w:r>
          </w:p>
        </w:tc>
        <w:tc>
          <w:tcPr>
            <w:tcW w:w="1720" w:type="dxa"/>
            <w:tcBorders>
              <w:top w:val="nil"/>
              <w:left w:val="nil"/>
              <w:bottom w:val="single" w:sz="4" w:space="0" w:color="auto"/>
              <w:right w:val="single" w:sz="8" w:space="0" w:color="auto"/>
            </w:tcBorders>
            <w:shd w:val="clear" w:color="auto" w:fill="auto"/>
            <w:vAlign w:val="center"/>
            <w:hideMark/>
          </w:tcPr>
          <w:p w:rsidR="00475419" w:rsidRPr="00475419" w:rsidRDefault="00475419" w:rsidP="00475419">
            <w:pPr>
              <w:spacing w:after="0"/>
              <w:jc w:val="center"/>
              <w:rPr>
                <w:rFonts w:eastAsia="Times New Roman" w:cs="Arial"/>
                <w:color w:val="000000"/>
                <w:lang w:val="es-CO" w:eastAsia="es-CO"/>
              </w:rPr>
            </w:pPr>
            <w:r w:rsidRPr="00475419">
              <w:rPr>
                <w:rFonts w:eastAsia="Times New Roman" w:cs="Arial"/>
                <w:color w:val="000000"/>
                <w:lang w:val="es-CO" w:eastAsia="es-CO"/>
              </w:rPr>
              <w:t>99,94%</w:t>
            </w:r>
          </w:p>
        </w:tc>
      </w:tr>
      <w:tr w:rsidR="00475419" w:rsidRPr="00475419" w:rsidTr="00475419">
        <w:trPr>
          <w:trHeight w:val="300"/>
        </w:trPr>
        <w:tc>
          <w:tcPr>
            <w:tcW w:w="4120" w:type="dxa"/>
            <w:tcBorders>
              <w:top w:val="nil"/>
              <w:left w:val="single" w:sz="8" w:space="0" w:color="auto"/>
              <w:bottom w:val="single" w:sz="4" w:space="0" w:color="auto"/>
              <w:right w:val="single" w:sz="4" w:space="0" w:color="auto"/>
            </w:tcBorders>
            <w:shd w:val="clear" w:color="auto" w:fill="auto"/>
            <w:vAlign w:val="center"/>
            <w:hideMark/>
          </w:tcPr>
          <w:p w:rsidR="00475419" w:rsidRPr="00475419" w:rsidRDefault="00475419" w:rsidP="00475419">
            <w:pPr>
              <w:spacing w:after="0"/>
              <w:jc w:val="left"/>
              <w:rPr>
                <w:rFonts w:eastAsia="Times New Roman" w:cs="Arial"/>
                <w:color w:val="000000"/>
                <w:lang w:val="es-CO" w:eastAsia="es-CO"/>
              </w:rPr>
            </w:pPr>
            <w:r w:rsidRPr="00475419">
              <w:rPr>
                <w:rFonts w:eastAsia="Times New Roman" w:cs="Arial"/>
                <w:color w:val="000000"/>
                <w:lang w:val="es-CO" w:eastAsia="es-CO"/>
              </w:rPr>
              <w:t>Impacto regional</w:t>
            </w:r>
          </w:p>
        </w:tc>
        <w:tc>
          <w:tcPr>
            <w:tcW w:w="1420" w:type="dxa"/>
            <w:tcBorders>
              <w:top w:val="nil"/>
              <w:left w:val="nil"/>
              <w:bottom w:val="single" w:sz="4" w:space="0" w:color="auto"/>
              <w:right w:val="single" w:sz="4" w:space="0" w:color="auto"/>
            </w:tcBorders>
            <w:shd w:val="clear" w:color="auto" w:fill="auto"/>
            <w:vAlign w:val="center"/>
            <w:hideMark/>
          </w:tcPr>
          <w:p w:rsidR="00475419" w:rsidRPr="00475419" w:rsidRDefault="00475419" w:rsidP="00475419">
            <w:pPr>
              <w:spacing w:after="0"/>
              <w:jc w:val="center"/>
              <w:rPr>
                <w:rFonts w:eastAsia="Times New Roman" w:cs="Arial"/>
                <w:color w:val="000000"/>
                <w:lang w:val="es-CO" w:eastAsia="es-CO"/>
              </w:rPr>
            </w:pPr>
            <w:r w:rsidRPr="00475419">
              <w:rPr>
                <w:rFonts w:eastAsia="Times New Roman" w:cs="Arial"/>
                <w:color w:val="000000"/>
                <w:lang w:val="es-CO" w:eastAsia="es-CO"/>
              </w:rPr>
              <w:t>95,00%</w:t>
            </w:r>
          </w:p>
        </w:tc>
        <w:tc>
          <w:tcPr>
            <w:tcW w:w="1420" w:type="dxa"/>
            <w:tcBorders>
              <w:top w:val="nil"/>
              <w:left w:val="nil"/>
              <w:bottom w:val="single" w:sz="4" w:space="0" w:color="auto"/>
              <w:right w:val="single" w:sz="4" w:space="0" w:color="auto"/>
            </w:tcBorders>
            <w:shd w:val="clear" w:color="auto" w:fill="auto"/>
            <w:noWrap/>
            <w:vAlign w:val="center"/>
            <w:hideMark/>
          </w:tcPr>
          <w:p w:rsidR="00475419" w:rsidRPr="00475419" w:rsidRDefault="00475419" w:rsidP="00475419">
            <w:pPr>
              <w:spacing w:after="0"/>
              <w:jc w:val="center"/>
              <w:rPr>
                <w:rFonts w:eastAsia="Times New Roman" w:cs="Arial"/>
                <w:color w:val="000000"/>
                <w:lang w:val="es-CO" w:eastAsia="es-CO"/>
              </w:rPr>
            </w:pPr>
            <w:r w:rsidRPr="00475419">
              <w:rPr>
                <w:rFonts w:eastAsia="Times New Roman" w:cs="Arial"/>
                <w:color w:val="000000"/>
                <w:lang w:val="es-CO" w:eastAsia="es-CO"/>
              </w:rPr>
              <w:t>94,59%</w:t>
            </w:r>
          </w:p>
        </w:tc>
        <w:tc>
          <w:tcPr>
            <w:tcW w:w="1720" w:type="dxa"/>
            <w:tcBorders>
              <w:top w:val="nil"/>
              <w:left w:val="nil"/>
              <w:bottom w:val="single" w:sz="4" w:space="0" w:color="auto"/>
              <w:right w:val="single" w:sz="8" w:space="0" w:color="auto"/>
            </w:tcBorders>
            <w:shd w:val="clear" w:color="auto" w:fill="auto"/>
            <w:vAlign w:val="center"/>
            <w:hideMark/>
          </w:tcPr>
          <w:p w:rsidR="00475419" w:rsidRPr="00475419" w:rsidRDefault="00475419" w:rsidP="00475419">
            <w:pPr>
              <w:spacing w:after="0"/>
              <w:jc w:val="center"/>
              <w:rPr>
                <w:rFonts w:eastAsia="Times New Roman" w:cs="Arial"/>
                <w:color w:val="000000"/>
                <w:lang w:val="es-CO" w:eastAsia="es-CO"/>
              </w:rPr>
            </w:pPr>
            <w:r w:rsidRPr="00475419">
              <w:rPr>
                <w:rFonts w:eastAsia="Times New Roman" w:cs="Arial"/>
                <w:color w:val="000000"/>
                <w:lang w:val="es-CO" w:eastAsia="es-CO"/>
              </w:rPr>
              <w:t>98,48%</w:t>
            </w:r>
          </w:p>
        </w:tc>
      </w:tr>
      <w:tr w:rsidR="00475419" w:rsidRPr="00475419" w:rsidTr="00475419">
        <w:trPr>
          <w:trHeight w:val="300"/>
        </w:trPr>
        <w:tc>
          <w:tcPr>
            <w:tcW w:w="4120" w:type="dxa"/>
            <w:tcBorders>
              <w:top w:val="nil"/>
              <w:left w:val="single" w:sz="8" w:space="0" w:color="auto"/>
              <w:bottom w:val="single" w:sz="4" w:space="0" w:color="auto"/>
              <w:right w:val="single" w:sz="4" w:space="0" w:color="auto"/>
            </w:tcBorders>
            <w:shd w:val="clear" w:color="auto" w:fill="auto"/>
            <w:vAlign w:val="center"/>
            <w:hideMark/>
          </w:tcPr>
          <w:p w:rsidR="00475419" w:rsidRPr="00475419" w:rsidRDefault="00475419" w:rsidP="00475419">
            <w:pPr>
              <w:spacing w:after="0"/>
              <w:jc w:val="left"/>
              <w:rPr>
                <w:rFonts w:eastAsia="Times New Roman" w:cs="Arial"/>
                <w:color w:val="000000"/>
                <w:lang w:val="es-CO" w:eastAsia="es-CO"/>
              </w:rPr>
            </w:pPr>
            <w:r w:rsidRPr="00475419">
              <w:rPr>
                <w:rFonts w:eastAsia="Times New Roman" w:cs="Arial"/>
                <w:color w:val="000000"/>
                <w:lang w:val="es-CO" w:eastAsia="es-CO"/>
              </w:rPr>
              <w:t>Alianzas estratégicas</w:t>
            </w:r>
          </w:p>
        </w:tc>
        <w:tc>
          <w:tcPr>
            <w:tcW w:w="1420" w:type="dxa"/>
            <w:tcBorders>
              <w:top w:val="nil"/>
              <w:left w:val="nil"/>
              <w:bottom w:val="single" w:sz="4" w:space="0" w:color="auto"/>
              <w:right w:val="single" w:sz="4" w:space="0" w:color="auto"/>
            </w:tcBorders>
            <w:shd w:val="clear" w:color="auto" w:fill="auto"/>
            <w:vAlign w:val="center"/>
            <w:hideMark/>
          </w:tcPr>
          <w:p w:rsidR="00475419" w:rsidRPr="00475419" w:rsidRDefault="00475419" w:rsidP="00475419">
            <w:pPr>
              <w:spacing w:after="0"/>
              <w:jc w:val="center"/>
              <w:rPr>
                <w:rFonts w:eastAsia="Times New Roman" w:cs="Arial"/>
                <w:color w:val="000000"/>
                <w:lang w:val="es-CO" w:eastAsia="es-CO"/>
              </w:rPr>
            </w:pPr>
            <w:r w:rsidRPr="00475419">
              <w:rPr>
                <w:rFonts w:eastAsia="Times New Roman" w:cs="Arial"/>
                <w:color w:val="000000"/>
                <w:lang w:val="es-CO" w:eastAsia="es-CO"/>
              </w:rPr>
              <w:t>88,06%</w:t>
            </w:r>
          </w:p>
        </w:tc>
        <w:tc>
          <w:tcPr>
            <w:tcW w:w="1420" w:type="dxa"/>
            <w:tcBorders>
              <w:top w:val="nil"/>
              <w:left w:val="nil"/>
              <w:bottom w:val="single" w:sz="4" w:space="0" w:color="auto"/>
              <w:right w:val="single" w:sz="4" w:space="0" w:color="auto"/>
            </w:tcBorders>
            <w:shd w:val="clear" w:color="auto" w:fill="auto"/>
            <w:noWrap/>
            <w:vAlign w:val="center"/>
            <w:hideMark/>
          </w:tcPr>
          <w:p w:rsidR="00475419" w:rsidRPr="00475419" w:rsidRDefault="00475419" w:rsidP="00475419">
            <w:pPr>
              <w:spacing w:after="0"/>
              <w:jc w:val="center"/>
              <w:rPr>
                <w:rFonts w:eastAsia="Times New Roman" w:cs="Arial"/>
                <w:color w:val="000000"/>
                <w:lang w:val="es-CO" w:eastAsia="es-CO"/>
              </w:rPr>
            </w:pPr>
            <w:r w:rsidRPr="00475419">
              <w:rPr>
                <w:rFonts w:eastAsia="Times New Roman" w:cs="Arial"/>
                <w:color w:val="000000"/>
                <w:lang w:val="es-CO" w:eastAsia="es-CO"/>
              </w:rPr>
              <w:t>85,06%</w:t>
            </w:r>
          </w:p>
        </w:tc>
        <w:tc>
          <w:tcPr>
            <w:tcW w:w="1720" w:type="dxa"/>
            <w:tcBorders>
              <w:top w:val="nil"/>
              <w:left w:val="nil"/>
              <w:bottom w:val="single" w:sz="4" w:space="0" w:color="auto"/>
              <w:right w:val="single" w:sz="8" w:space="0" w:color="auto"/>
            </w:tcBorders>
            <w:shd w:val="clear" w:color="auto" w:fill="auto"/>
            <w:vAlign w:val="center"/>
            <w:hideMark/>
          </w:tcPr>
          <w:p w:rsidR="00475419" w:rsidRPr="00475419" w:rsidRDefault="00475419" w:rsidP="00475419">
            <w:pPr>
              <w:spacing w:after="0"/>
              <w:jc w:val="center"/>
              <w:rPr>
                <w:rFonts w:eastAsia="Times New Roman" w:cs="Arial"/>
                <w:color w:val="000000"/>
                <w:lang w:val="es-CO" w:eastAsia="es-CO"/>
              </w:rPr>
            </w:pPr>
            <w:r w:rsidRPr="00475419">
              <w:rPr>
                <w:rFonts w:eastAsia="Times New Roman" w:cs="Arial"/>
                <w:color w:val="000000"/>
                <w:lang w:val="es-CO" w:eastAsia="es-CO"/>
              </w:rPr>
              <w:t>98,98%</w:t>
            </w:r>
          </w:p>
        </w:tc>
      </w:tr>
      <w:tr w:rsidR="00475419" w:rsidRPr="00475419" w:rsidTr="00475419">
        <w:trPr>
          <w:trHeight w:val="315"/>
        </w:trPr>
        <w:tc>
          <w:tcPr>
            <w:tcW w:w="4120" w:type="dxa"/>
            <w:tcBorders>
              <w:top w:val="nil"/>
              <w:left w:val="single" w:sz="8" w:space="0" w:color="auto"/>
              <w:bottom w:val="single" w:sz="8" w:space="0" w:color="auto"/>
              <w:right w:val="single" w:sz="4" w:space="0" w:color="auto"/>
            </w:tcBorders>
            <w:shd w:val="clear" w:color="000000" w:fill="B8CCE4"/>
            <w:vAlign w:val="center"/>
            <w:hideMark/>
          </w:tcPr>
          <w:p w:rsidR="00475419" w:rsidRPr="00475419" w:rsidRDefault="00475419" w:rsidP="00475419">
            <w:pPr>
              <w:spacing w:after="0"/>
              <w:jc w:val="left"/>
              <w:rPr>
                <w:rFonts w:eastAsia="Times New Roman" w:cs="Arial"/>
                <w:b/>
                <w:bCs/>
                <w:color w:val="000000"/>
                <w:lang w:val="es-CO" w:eastAsia="es-CO"/>
              </w:rPr>
            </w:pPr>
            <w:r w:rsidRPr="00475419">
              <w:rPr>
                <w:rFonts w:eastAsia="Times New Roman" w:cs="Arial"/>
                <w:b/>
                <w:bCs/>
                <w:color w:val="000000"/>
                <w:lang w:val="es-CO" w:eastAsia="es-CO"/>
              </w:rPr>
              <w:t>Resultado 2012</w:t>
            </w:r>
          </w:p>
        </w:tc>
        <w:tc>
          <w:tcPr>
            <w:tcW w:w="1420" w:type="dxa"/>
            <w:tcBorders>
              <w:top w:val="nil"/>
              <w:left w:val="nil"/>
              <w:bottom w:val="single" w:sz="8" w:space="0" w:color="auto"/>
              <w:right w:val="single" w:sz="4" w:space="0" w:color="auto"/>
            </w:tcBorders>
            <w:shd w:val="clear" w:color="000000" w:fill="B8CCE4"/>
            <w:vAlign w:val="center"/>
            <w:hideMark/>
          </w:tcPr>
          <w:p w:rsidR="00475419" w:rsidRPr="00475419" w:rsidRDefault="00475419" w:rsidP="00475419">
            <w:pPr>
              <w:spacing w:after="0"/>
              <w:jc w:val="center"/>
              <w:rPr>
                <w:rFonts w:eastAsia="Times New Roman" w:cs="Arial"/>
                <w:b/>
                <w:bCs/>
                <w:color w:val="000000"/>
                <w:lang w:val="es-CO" w:eastAsia="es-CO"/>
              </w:rPr>
            </w:pPr>
            <w:r w:rsidRPr="00475419">
              <w:rPr>
                <w:rFonts w:eastAsia="Times New Roman" w:cs="Arial"/>
                <w:b/>
                <w:bCs/>
                <w:color w:val="000000"/>
                <w:lang w:val="es-CO" w:eastAsia="es-CO"/>
              </w:rPr>
              <w:t>94,03%</w:t>
            </w:r>
          </w:p>
        </w:tc>
        <w:tc>
          <w:tcPr>
            <w:tcW w:w="1420" w:type="dxa"/>
            <w:tcBorders>
              <w:top w:val="nil"/>
              <w:left w:val="nil"/>
              <w:bottom w:val="single" w:sz="8" w:space="0" w:color="auto"/>
              <w:right w:val="single" w:sz="4" w:space="0" w:color="auto"/>
            </w:tcBorders>
            <w:shd w:val="clear" w:color="000000" w:fill="B8CCE4"/>
            <w:vAlign w:val="center"/>
            <w:hideMark/>
          </w:tcPr>
          <w:p w:rsidR="00475419" w:rsidRPr="00475419" w:rsidRDefault="00475419" w:rsidP="00475419">
            <w:pPr>
              <w:spacing w:after="0"/>
              <w:jc w:val="center"/>
              <w:rPr>
                <w:rFonts w:eastAsia="Times New Roman" w:cs="Arial"/>
                <w:b/>
                <w:bCs/>
                <w:color w:val="000000"/>
                <w:lang w:val="es-CO" w:eastAsia="es-CO"/>
              </w:rPr>
            </w:pPr>
            <w:r w:rsidRPr="00475419">
              <w:rPr>
                <w:rFonts w:eastAsia="Times New Roman" w:cs="Arial"/>
                <w:b/>
                <w:bCs/>
                <w:color w:val="000000"/>
                <w:lang w:val="es-CO" w:eastAsia="es-CO"/>
              </w:rPr>
              <w:t>90,58%</w:t>
            </w:r>
          </w:p>
        </w:tc>
        <w:tc>
          <w:tcPr>
            <w:tcW w:w="1720" w:type="dxa"/>
            <w:tcBorders>
              <w:top w:val="nil"/>
              <w:left w:val="nil"/>
              <w:bottom w:val="single" w:sz="8" w:space="0" w:color="auto"/>
              <w:right w:val="single" w:sz="8" w:space="0" w:color="auto"/>
            </w:tcBorders>
            <w:shd w:val="clear" w:color="000000" w:fill="B8CCE4"/>
            <w:vAlign w:val="center"/>
            <w:hideMark/>
          </w:tcPr>
          <w:p w:rsidR="00475419" w:rsidRPr="00475419" w:rsidRDefault="00475419" w:rsidP="00475419">
            <w:pPr>
              <w:spacing w:after="0"/>
              <w:jc w:val="center"/>
              <w:rPr>
                <w:rFonts w:eastAsia="Times New Roman" w:cs="Arial"/>
                <w:b/>
                <w:bCs/>
                <w:color w:val="000000"/>
                <w:lang w:val="es-CO" w:eastAsia="es-CO"/>
              </w:rPr>
            </w:pPr>
            <w:r w:rsidRPr="00475419">
              <w:rPr>
                <w:rFonts w:eastAsia="Times New Roman" w:cs="Arial"/>
                <w:b/>
                <w:bCs/>
                <w:color w:val="000000"/>
                <w:lang w:val="es-CO" w:eastAsia="es-CO"/>
              </w:rPr>
              <w:t>94,74%</w:t>
            </w:r>
          </w:p>
        </w:tc>
      </w:tr>
    </w:tbl>
    <w:p w:rsidR="00475419" w:rsidRDefault="00475419" w:rsidP="00F80905">
      <w:pPr>
        <w:spacing w:after="0" w:line="276" w:lineRule="auto"/>
        <w:jc w:val="center"/>
        <w:rPr>
          <w:rFonts w:asciiTheme="minorHAnsi" w:hAnsiTheme="minorHAnsi" w:cs="Arial"/>
          <w:noProof/>
          <w:lang w:val="es-CO" w:eastAsia="es-CO"/>
        </w:rPr>
      </w:pPr>
      <w:r w:rsidRPr="00CB60D7">
        <w:rPr>
          <w:rFonts w:ascii="Arial" w:eastAsia="Times New Roman" w:hAnsi="Arial" w:cs="Arial"/>
          <w:b/>
          <w:sz w:val="20"/>
          <w:szCs w:val="20"/>
          <w:lang w:val="es-CO" w:eastAsia="es-CO"/>
        </w:rPr>
        <w:t>Fuente: SIGOB- Sistema de Gerencia del Plan de Desarrollo.</w:t>
      </w:r>
    </w:p>
    <w:p w:rsidR="00475419" w:rsidRPr="00CB60D7" w:rsidRDefault="00475419" w:rsidP="00F80905">
      <w:pPr>
        <w:spacing w:after="0" w:line="276" w:lineRule="auto"/>
        <w:jc w:val="center"/>
        <w:rPr>
          <w:rFonts w:asciiTheme="minorHAnsi" w:hAnsiTheme="minorHAnsi" w:cs="Arial"/>
          <w:noProof/>
          <w:lang w:val="es-CO" w:eastAsia="es-CO"/>
        </w:rPr>
      </w:pPr>
    </w:p>
    <w:p w:rsidR="00CF3463" w:rsidRPr="003D0496" w:rsidRDefault="00CF3463" w:rsidP="00F80905">
      <w:pPr>
        <w:spacing w:after="0" w:line="276" w:lineRule="auto"/>
        <w:rPr>
          <w:rFonts w:asciiTheme="minorHAnsi" w:hAnsiTheme="minorHAnsi" w:cs="Arial"/>
          <w:highlight w:val="yellow"/>
        </w:rPr>
      </w:pPr>
    </w:p>
    <w:p w:rsidR="00015FAA" w:rsidRDefault="00CF3463" w:rsidP="00B4461B">
      <w:pPr>
        <w:spacing w:after="200" w:line="276" w:lineRule="auto"/>
        <w:rPr>
          <w:rFonts w:asciiTheme="minorHAnsi" w:hAnsiTheme="minorHAnsi" w:cs="Arial"/>
        </w:rPr>
      </w:pPr>
      <w:r w:rsidRPr="004818A5">
        <w:rPr>
          <w:rFonts w:asciiTheme="minorHAnsi" w:hAnsiTheme="minorHAnsi" w:cs="Arial"/>
        </w:rPr>
        <w:t xml:space="preserve">En </w:t>
      </w:r>
      <w:r w:rsidR="00C02805">
        <w:rPr>
          <w:rFonts w:asciiTheme="minorHAnsi" w:hAnsiTheme="minorHAnsi" w:cs="Arial"/>
        </w:rPr>
        <w:t xml:space="preserve">el </w:t>
      </w:r>
      <w:r w:rsidRPr="004818A5">
        <w:rPr>
          <w:rFonts w:asciiTheme="minorHAnsi" w:hAnsiTheme="minorHAnsi" w:cs="Arial"/>
        </w:rPr>
        <w:t>nivel</w:t>
      </w:r>
      <w:r w:rsidR="00C02805">
        <w:rPr>
          <w:rFonts w:asciiTheme="minorHAnsi" w:hAnsiTheme="minorHAnsi" w:cs="Arial"/>
        </w:rPr>
        <w:t xml:space="preserve"> de Propósitos</w:t>
      </w:r>
      <w:r w:rsidRPr="004818A5">
        <w:rPr>
          <w:rFonts w:asciiTheme="minorHAnsi" w:hAnsiTheme="minorHAnsi" w:cs="Arial"/>
        </w:rPr>
        <w:t xml:space="preserve">, el Plan de Desarrollo </w:t>
      </w:r>
      <w:r w:rsidR="008C15CD" w:rsidRPr="004818A5">
        <w:rPr>
          <w:rFonts w:asciiTheme="minorHAnsi" w:hAnsiTheme="minorHAnsi" w:cs="Arial"/>
        </w:rPr>
        <w:t xml:space="preserve">tuvo un cumplimiento final </w:t>
      </w:r>
      <w:r w:rsidRPr="004818A5">
        <w:rPr>
          <w:rFonts w:asciiTheme="minorHAnsi" w:hAnsiTheme="minorHAnsi" w:cs="Arial"/>
        </w:rPr>
        <w:t xml:space="preserve">de </w:t>
      </w:r>
      <w:r w:rsidRPr="004818A5">
        <w:rPr>
          <w:rFonts w:asciiTheme="minorHAnsi" w:hAnsiTheme="minorHAnsi" w:cs="Arial"/>
          <w:b/>
        </w:rPr>
        <w:t>9</w:t>
      </w:r>
      <w:r w:rsidR="004818A5" w:rsidRPr="004818A5">
        <w:rPr>
          <w:rFonts w:asciiTheme="minorHAnsi" w:hAnsiTheme="minorHAnsi" w:cs="Arial"/>
          <w:b/>
        </w:rPr>
        <w:t>4</w:t>
      </w:r>
      <w:r w:rsidR="004818A5">
        <w:rPr>
          <w:rFonts w:asciiTheme="minorHAnsi" w:hAnsiTheme="minorHAnsi" w:cs="Arial"/>
          <w:b/>
        </w:rPr>
        <w:t>,</w:t>
      </w:r>
      <w:r w:rsidR="004818A5" w:rsidRPr="004818A5">
        <w:rPr>
          <w:rFonts w:asciiTheme="minorHAnsi" w:hAnsiTheme="minorHAnsi" w:cs="Arial"/>
          <w:b/>
        </w:rPr>
        <w:t>03</w:t>
      </w:r>
      <w:r w:rsidRPr="004818A5">
        <w:rPr>
          <w:rFonts w:asciiTheme="minorHAnsi" w:hAnsiTheme="minorHAnsi" w:cs="Arial"/>
          <w:b/>
        </w:rPr>
        <w:t>%</w:t>
      </w:r>
      <w:r w:rsidRPr="004818A5">
        <w:rPr>
          <w:rFonts w:asciiTheme="minorHAnsi" w:hAnsiTheme="minorHAnsi" w:cs="Arial"/>
        </w:rPr>
        <w:t xml:space="preserve"> sobre las metas planteadas para la vigencia </w:t>
      </w:r>
      <w:r w:rsidRPr="004818A5">
        <w:rPr>
          <w:rFonts w:asciiTheme="minorHAnsi" w:hAnsiTheme="minorHAnsi" w:cs="Arial"/>
          <w:b/>
        </w:rPr>
        <w:t>2012</w:t>
      </w:r>
      <w:r w:rsidRPr="004818A5">
        <w:rPr>
          <w:rFonts w:asciiTheme="minorHAnsi" w:hAnsiTheme="minorHAnsi" w:cs="Arial"/>
        </w:rPr>
        <w:t xml:space="preserve">. </w:t>
      </w:r>
      <w:r w:rsidR="00B4461B" w:rsidRPr="004818A5">
        <w:rPr>
          <w:rFonts w:asciiTheme="minorHAnsi" w:hAnsiTheme="minorHAnsi" w:cs="Arial"/>
        </w:rPr>
        <w:t>T</w:t>
      </w:r>
      <w:r w:rsidRPr="004818A5">
        <w:rPr>
          <w:rFonts w:asciiTheme="minorHAnsi" w:hAnsiTheme="minorHAnsi" w:cs="Arial"/>
        </w:rPr>
        <w:t xml:space="preserve">odos los objetivos presentan avance por encima del </w:t>
      </w:r>
      <w:r w:rsidRPr="004818A5">
        <w:rPr>
          <w:rFonts w:asciiTheme="minorHAnsi" w:hAnsiTheme="minorHAnsi" w:cs="Arial"/>
          <w:b/>
        </w:rPr>
        <w:t>80%</w:t>
      </w:r>
      <w:r w:rsidRPr="004818A5">
        <w:rPr>
          <w:rFonts w:asciiTheme="minorHAnsi" w:hAnsiTheme="minorHAnsi" w:cs="Arial"/>
        </w:rPr>
        <w:t>, acorde o superior a lo establecido como cumplimiento mínimo.</w:t>
      </w:r>
    </w:p>
    <w:p w:rsidR="00015FAA" w:rsidRDefault="00015FAA" w:rsidP="00B4461B">
      <w:pPr>
        <w:spacing w:after="200" w:line="276" w:lineRule="auto"/>
      </w:pPr>
      <w:r w:rsidRPr="00535E63">
        <w:t xml:space="preserve">En cuanto al nivel de componentes de los diferentes Objetivos institucionales del Plan de Desarrollo, el resultado alcanzado como cumplimiento de las metas planteadas es del </w:t>
      </w:r>
      <w:r w:rsidRPr="00535E63">
        <w:rPr>
          <w:b/>
        </w:rPr>
        <w:t>90</w:t>
      </w:r>
      <w:r>
        <w:rPr>
          <w:b/>
          <w:bCs/>
        </w:rPr>
        <w:t>,58%</w:t>
      </w:r>
      <w:r w:rsidRPr="00535E63">
        <w:t>.</w:t>
      </w:r>
    </w:p>
    <w:p w:rsidR="00F0442E" w:rsidRPr="00535E30" w:rsidRDefault="00015FAA" w:rsidP="00015FAA">
      <w:pPr>
        <w:spacing w:line="276" w:lineRule="auto"/>
        <w:rPr>
          <w:rFonts w:asciiTheme="minorHAnsi" w:hAnsiTheme="minorHAnsi" w:cs="Arial"/>
        </w:rPr>
      </w:pPr>
      <w:r w:rsidRPr="00535E30">
        <w:rPr>
          <w:rFonts w:asciiTheme="minorHAnsi" w:hAnsiTheme="minorHAnsi" w:cs="Arial"/>
        </w:rPr>
        <w:t xml:space="preserve">El nivel de cumplimiento final del Plan de Desarrollo  a nivel de proyectos para la vigencia </w:t>
      </w:r>
      <w:r w:rsidRPr="00932AE7">
        <w:rPr>
          <w:rFonts w:asciiTheme="minorHAnsi" w:hAnsiTheme="minorHAnsi" w:cs="Arial"/>
          <w:b/>
        </w:rPr>
        <w:t>2012</w:t>
      </w:r>
      <w:r w:rsidRPr="00535E30">
        <w:rPr>
          <w:rFonts w:asciiTheme="minorHAnsi" w:hAnsiTheme="minorHAnsi" w:cs="Arial"/>
        </w:rPr>
        <w:t xml:space="preserve"> fue del </w:t>
      </w:r>
      <w:r w:rsidRPr="00932AE7">
        <w:rPr>
          <w:rFonts w:asciiTheme="minorHAnsi" w:hAnsiTheme="minorHAnsi" w:cs="Arial"/>
          <w:b/>
        </w:rPr>
        <w:t>94,74%</w:t>
      </w:r>
      <w:r w:rsidRPr="00535E30">
        <w:rPr>
          <w:rFonts w:asciiTheme="minorHAnsi" w:hAnsiTheme="minorHAnsi" w:cs="Arial"/>
        </w:rPr>
        <w:t>, siendo éste un nivel satisfactorio de ejecución.</w:t>
      </w:r>
      <w:r>
        <w:rPr>
          <w:rFonts w:asciiTheme="minorHAnsi" w:hAnsiTheme="minorHAnsi" w:cs="Arial"/>
        </w:rPr>
        <w:t xml:space="preserve"> </w:t>
      </w:r>
      <w:r w:rsidRPr="00535E30">
        <w:rPr>
          <w:rFonts w:asciiTheme="minorHAnsi" w:hAnsiTheme="minorHAnsi" w:cs="Arial"/>
        </w:rPr>
        <w:t>Observando el avance por objetivo institucional</w:t>
      </w:r>
      <w:r>
        <w:rPr>
          <w:rFonts w:asciiTheme="minorHAnsi" w:hAnsiTheme="minorHAnsi" w:cs="Arial"/>
        </w:rPr>
        <w:t xml:space="preserve"> en este nivel</w:t>
      </w:r>
      <w:r w:rsidRPr="00535E30">
        <w:rPr>
          <w:rFonts w:asciiTheme="minorHAnsi" w:hAnsiTheme="minorHAnsi" w:cs="Arial"/>
        </w:rPr>
        <w:t>, todos presentaron un nivel de cumplimiento por encima del nivel satisfactorio (igual o mayor al 80%).</w:t>
      </w:r>
      <w:r w:rsidR="00F0442E" w:rsidRPr="00535E30">
        <w:rPr>
          <w:rFonts w:asciiTheme="minorHAnsi" w:hAnsiTheme="minorHAnsi" w:cs="Arial"/>
        </w:rPr>
        <w:br w:type="page"/>
      </w:r>
    </w:p>
    <w:p w:rsidR="00B963FC" w:rsidRPr="00535E30" w:rsidRDefault="00535E30" w:rsidP="00C0346D">
      <w:pPr>
        <w:pStyle w:val="Ttulo2"/>
        <w:numPr>
          <w:ilvl w:val="1"/>
          <w:numId w:val="21"/>
        </w:numPr>
        <w:spacing w:line="276" w:lineRule="auto"/>
      </w:pPr>
      <w:bookmarkStart w:id="54" w:name="_Toc304826937"/>
      <w:bookmarkStart w:id="55" w:name="_Toc347392843"/>
      <w:bookmarkStart w:id="56" w:name="_Toc354671316"/>
      <w:r w:rsidRPr="00535E30">
        <w:rPr>
          <w:caps w:val="0"/>
        </w:rPr>
        <w:lastRenderedPageBreak/>
        <w:t>DESARROLLO INSTITUCIONAL</w:t>
      </w:r>
      <w:bookmarkEnd w:id="54"/>
      <w:bookmarkEnd w:id="55"/>
      <w:bookmarkEnd w:id="56"/>
    </w:p>
    <w:p w:rsidR="00B963FC" w:rsidRDefault="00B963FC" w:rsidP="00F80905">
      <w:pPr>
        <w:spacing w:after="0" w:line="276" w:lineRule="auto"/>
        <w:ind w:left="720"/>
        <w:rPr>
          <w:rFonts w:asciiTheme="minorHAnsi" w:hAnsiTheme="minorHAnsi" w:cs="Arial"/>
        </w:rPr>
      </w:pPr>
    </w:p>
    <w:p w:rsidR="000D7B00" w:rsidRDefault="000D7B00" w:rsidP="00B6520B">
      <w:pPr>
        <w:rPr>
          <w:color w:val="FF0000"/>
        </w:rPr>
      </w:pPr>
      <w:r>
        <w:t>El Objetivo Desarrollo Institucional busca desarrollar políticas, procesos y proyectos encaminados a la construcción de una organización moderna que sustente el desarrollo administrativo, consolidando así el direccionamiento estratégico desde la eficiencia administrativa, focalizando su accionar desde la gestión:</w:t>
      </w:r>
      <w:r w:rsidRPr="007A6BB8">
        <w:rPr>
          <w:color w:val="FF0000"/>
          <w:sz w:val="23"/>
          <w:szCs w:val="23"/>
        </w:rPr>
        <w:t xml:space="preserve"> </w:t>
      </w:r>
      <w:r w:rsidRPr="007A6BB8">
        <w:rPr>
          <w:sz w:val="23"/>
          <w:szCs w:val="23"/>
        </w:rPr>
        <w:t xml:space="preserve">Humana, Financiera, Física, Informática </w:t>
      </w:r>
      <w:r>
        <w:rPr>
          <w:sz w:val="23"/>
          <w:szCs w:val="23"/>
        </w:rPr>
        <w:t>y de Servicios</w:t>
      </w:r>
      <w:r w:rsidRPr="007A6BB8">
        <w:t xml:space="preserve">; </w:t>
      </w:r>
      <w:r>
        <w:t xml:space="preserve">con el propósito de contribuir con la proyección y el cumplimiento de la misión y la visión institucional, mediante un enfoque de responsabilidad social. </w:t>
      </w:r>
    </w:p>
    <w:p w:rsidR="000D7B00" w:rsidRDefault="000D7B00" w:rsidP="00B6520B">
      <w:r w:rsidRPr="00E87E0E">
        <w:t xml:space="preserve">Los resultados de este objetivo se reflejan mediante la eficiencia administrativa, indicador que incorpora los logros alcanzados en el desarrollo físico sostenible, desarrollo informático y de comunicaciones, desarrollo humano y organizacional y desarrollo financiero. </w:t>
      </w:r>
    </w:p>
    <w:p w:rsidR="000D7B00" w:rsidRPr="00E87E0E" w:rsidRDefault="000D7B00" w:rsidP="00B6520B">
      <w:r w:rsidRPr="00E87E0E">
        <w:t xml:space="preserve">Para la vigencia 2012, los resultados del objetivo fueron satisfactorios, ya que se logró un cumplimento del </w:t>
      </w:r>
      <w:r>
        <w:rPr>
          <w:b/>
        </w:rPr>
        <w:t>98.23</w:t>
      </w:r>
      <w:r w:rsidRPr="00E87E0E">
        <w:rPr>
          <w:b/>
        </w:rPr>
        <w:t>%</w:t>
      </w:r>
      <w:r w:rsidRPr="00E87E0E">
        <w:t xml:space="preserve"> con respecto a la me</w:t>
      </w:r>
      <w:r>
        <w:t xml:space="preserve">ta planteada para la vigencia. </w:t>
      </w:r>
      <w:r w:rsidRPr="00E87E0E">
        <w:t xml:space="preserve"> Este objetivo tiene la siguiente forma de cálculo: </w:t>
      </w:r>
    </w:p>
    <w:p w:rsidR="000D7B00" w:rsidRPr="00E87E0E" w:rsidRDefault="000D7B00" w:rsidP="000D7B00">
      <w:pPr>
        <w:autoSpaceDE w:val="0"/>
        <w:autoSpaceDN w:val="0"/>
        <w:adjustRightInd w:val="0"/>
        <w:spacing w:after="0"/>
        <w:jc w:val="left"/>
        <w:rPr>
          <w:rFonts w:cs="Calibri"/>
          <w:color w:val="000000"/>
        </w:rPr>
      </w:pPr>
    </w:p>
    <w:p w:rsidR="000D7B00" w:rsidRDefault="000D7B00" w:rsidP="000D7B00">
      <w:pPr>
        <w:autoSpaceDE w:val="0"/>
        <w:autoSpaceDN w:val="0"/>
        <w:adjustRightInd w:val="0"/>
        <w:spacing w:after="0"/>
        <w:jc w:val="left"/>
        <w:rPr>
          <w:rFonts w:cs="Calibri"/>
          <w:color w:val="000000"/>
        </w:rPr>
      </w:pPr>
      <w:r w:rsidRPr="00E87E0E">
        <w:rPr>
          <w:rFonts w:cs="Calibri"/>
          <w:b/>
          <w:bCs/>
          <w:color w:val="000000"/>
        </w:rPr>
        <w:t xml:space="preserve">Eficiencia Administrativa </w:t>
      </w:r>
      <w:r w:rsidRPr="00E87E0E">
        <w:rPr>
          <w:rFonts w:cs="Calibri"/>
          <w:color w:val="000000"/>
        </w:rPr>
        <w:t xml:space="preserve">= DFS * 23.3% + DIC * </w:t>
      </w:r>
      <w:r>
        <w:rPr>
          <w:rFonts w:cs="Calibri"/>
          <w:color w:val="000000"/>
        </w:rPr>
        <w:t>23.3% + DHO * 30% + DF * 23.3%</w:t>
      </w:r>
    </w:p>
    <w:p w:rsidR="000D7B00" w:rsidRPr="00E87E0E" w:rsidRDefault="000D7B00" w:rsidP="000D7B00">
      <w:pPr>
        <w:autoSpaceDE w:val="0"/>
        <w:autoSpaceDN w:val="0"/>
        <w:adjustRightInd w:val="0"/>
        <w:spacing w:after="0"/>
        <w:jc w:val="left"/>
        <w:rPr>
          <w:rFonts w:cs="Calibri"/>
          <w:color w:val="000000"/>
        </w:rPr>
      </w:pPr>
    </w:p>
    <w:p w:rsidR="000D7B00" w:rsidRPr="003131AE" w:rsidRDefault="000D7B00" w:rsidP="00C21E52">
      <w:pPr>
        <w:pStyle w:val="Prrafodelista"/>
        <w:numPr>
          <w:ilvl w:val="0"/>
          <w:numId w:val="31"/>
        </w:numPr>
        <w:autoSpaceDE w:val="0"/>
        <w:autoSpaceDN w:val="0"/>
        <w:adjustRightInd w:val="0"/>
        <w:spacing w:after="70"/>
      </w:pPr>
      <w:r w:rsidRPr="003131AE">
        <w:t>DFI</w:t>
      </w:r>
      <w:r>
        <w:t>: Desarrollo Físico Sostenible</w:t>
      </w:r>
    </w:p>
    <w:p w:rsidR="000D7B00" w:rsidRPr="003131AE" w:rsidRDefault="000D7B00" w:rsidP="00C21E52">
      <w:pPr>
        <w:pStyle w:val="Prrafodelista"/>
        <w:numPr>
          <w:ilvl w:val="0"/>
          <w:numId w:val="31"/>
        </w:numPr>
        <w:autoSpaceDE w:val="0"/>
        <w:autoSpaceDN w:val="0"/>
        <w:adjustRightInd w:val="0"/>
        <w:spacing w:after="70"/>
      </w:pPr>
      <w:r w:rsidRPr="003131AE">
        <w:t>DIC: Desarrollo I</w:t>
      </w:r>
      <w:r>
        <w:t>nformático y de comunicaciones</w:t>
      </w:r>
    </w:p>
    <w:p w:rsidR="000D7B00" w:rsidRPr="003131AE" w:rsidRDefault="000D7B00" w:rsidP="00C21E52">
      <w:pPr>
        <w:pStyle w:val="Prrafodelista"/>
        <w:numPr>
          <w:ilvl w:val="0"/>
          <w:numId w:val="31"/>
        </w:numPr>
        <w:autoSpaceDE w:val="0"/>
        <w:autoSpaceDN w:val="0"/>
        <w:adjustRightInd w:val="0"/>
        <w:spacing w:after="70"/>
      </w:pPr>
      <w:r w:rsidRPr="003131AE">
        <w:t>DHO: Desa</w:t>
      </w:r>
      <w:r>
        <w:t>rrollo Humano y Organizacional</w:t>
      </w:r>
    </w:p>
    <w:p w:rsidR="000D7B00" w:rsidRDefault="000D7B00" w:rsidP="00C21E52">
      <w:pPr>
        <w:pStyle w:val="Prrafodelista"/>
        <w:numPr>
          <w:ilvl w:val="0"/>
          <w:numId w:val="31"/>
        </w:numPr>
        <w:autoSpaceDE w:val="0"/>
        <w:autoSpaceDN w:val="0"/>
        <w:adjustRightInd w:val="0"/>
        <w:spacing w:after="0"/>
      </w:pPr>
      <w:r w:rsidRPr="003131AE">
        <w:t xml:space="preserve">DF: Desarrollo Financiero </w:t>
      </w:r>
    </w:p>
    <w:p w:rsidR="00EB79AD" w:rsidRPr="003131AE" w:rsidRDefault="00EB79AD" w:rsidP="00EB79AD">
      <w:pPr>
        <w:pStyle w:val="Prrafodelista"/>
        <w:autoSpaceDE w:val="0"/>
        <w:autoSpaceDN w:val="0"/>
        <w:adjustRightInd w:val="0"/>
        <w:spacing w:after="0"/>
      </w:pPr>
    </w:p>
    <w:p w:rsidR="000D7B00" w:rsidRPr="001663F3" w:rsidRDefault="000D7B00" w:rsidP="000D7B00">
      <w:pPr>
        <w:spacing w:after="0"/>
        <w:rPr>
          <w:sz w:val="24"/>
          <w:highlight w:val="yellow"/>
        </w:rPr>
      </w:pPr>
    </w:p>
    <w:p w:rsidR="000D7B00" w:rsidRPr="0069072F" w:rsidRDefault="000D7B00" w:rsidP="000D7B00">
      <w:pPr>
        <w:pStyle w:val="Epgrafe"/>
        <w:keepNext/>
        <w:spacing w:line="276" w:lineRule="auto"/>
        <w:rPr>
          <w:color w:val="000000" w:themeColor="text1"/>
        </w:rPr>
      </w:pPr>
      <w:r w:rsidRPr="00E8532F">
        <w:t xml:space="preserve">Ilustración 1. Resultados </w:t>
      </w:r>
      <w:r w:rsidRPr="0069072F">
        <w:rPr>
          <w:color w:val="000000" w:themeColor="text1"/>
        </w:rPr>
        <w:t xml:space="preserve">- Metas </w:t>
      </w:r>
      <w:r>
        <w:rPr>
          <w:color w:val="000000" w:themeColor="text1"/>
        </w:rPr>
        <w:t>logros alcanzados Eficiencia Administrativa</w:t>
      </w:r>
      <w:r w:rsidRPr="0069072F">
        <w:rPr>
          <w:color w:val="000000" w:themeColor="text1"/>
        </w:rPr>
        <w:t xml:space="preserve"> para el año 2012.</w:t>
      </w:r>
    </w:p>
    <w:p w:rsidR="000D7B00" w:rsidRPr="0069072F" w:rsidRDefault="000D7B00" w:rsidP="000D7B00">
      <w:pPr>
        <w:spacing w:after="0"/>
        <w:jc w:val="center"/>
      </w:pPr>
      <w:r w:rsidRPr="0069072F">
        <w:rPr>
          <w:noProof/>
          <w:lang w:val="es-CO" w:eastAsia="es-CO"/>
        </w:rPr>
        <w:drawing>
          <wp:inline distT="0" distB="0" distL="0" distR="0">
            <wp:extent cx="4772025" cy="2038350"/>
            <wp:effectExtent l="0" t="0" r="0" b="0"/>
            <wp:docPr id="22535" name="1 Gráfico"/>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0D7B00" w:rsidRDefault="000D7B00" w:rsidP="0006644A">
      <w:pPr>
        <w:jc w:val="center"/>
        <w:rPr>
          <w:b/>
          <w:i/>
          <w:sz w:val="20"/>
        </w:rPr>
      </w:pPr>
      <w:r w:rsidRPr="0069072F">
        <w:rPr>
          <w:b/>
          <w:i/>
          <w:sz w:val="20"/>
        </w:rPr>
        <w:t>Fuente: SIGOB</w:t>
      </w:r>
    </w:p>
    <w:p w:rsidR="00EB79AD" w:rsidRDefault="00EB79AD" w:rsidP="0006644A">
      <w:pPr>
        <w:jc w:val="center"/>
        <w:rPr>
          <w:rFonts w:asciiTheme="minorHAnsi" w:hAnsiTheme="minorHAnsi"/>
          <w:b/>
        </w:rPr>
      </w:pPr>
    </w:p>
    <w:p w:rsidR="0006644A" w:rsidRPr="00EB79AD" w:rsidRDefault="00EB79AD" w:rsidP="00EB79AD">
      <w:pPr>
        <w:rPr>
          <w:rFonts w:asciiTheme="minorHAnsi" w:hAnsiTheme="minorHAnsi"/>
        </w:rPr>
      </w:pPr>
      <w:r w:rsidRPr="00EB79AD">
        <w:rPr>
          <w:rFonts w:asciiTheme="minorHAnsi" w:hAnsiTheme="minorHAnsi"/>
        </w:rPr>
        <w:t>Nótese que la reducción de la Meta para  el 2013 en comparación a la del 2012 corresponde a un cambio de metodología en el cálculo del indicador, que se aplicará en la siguiente vigencia.</w:t>
      </w:r>
    </w:p>
    <w:p w:rsidR="00EB79AD" w:rsidRPr="0006644A" w:rsidRDefault="00EB79AD" w:rsidP="0006644A">
      <w:pPr>
        <w:jc w:val="center"/>
        <w:rPr>
          <w:b/>
          <w:i/>
          <w:sz w:val="20"/>
        </w:rPr>
      </w:pPr>
    </w:p>
    <w:p w:rsidR="000D7B00" w:rsidRDefault="000D7B00" w:rsidP="000D7B00">
      <w:pPr>
        <w:pStyle w:val="Epgrafe"/>
        <w:keepNext/>
        <w:rPr>
          <w:color w:val="000000" w:themeColor="text1"/>
        </w:rPr>
      </w:pPr>
      <w:r w:rsidRPr="00E8532F">
        <w:lastRenderedPageBreak/>
        <w:t>Tabla 1</w:t>
      </w:r>
      <w:r w:rsidRPr="00354DFA">
        <w:rPr>
          <w:color w:val="000000" w:themeColor="text1"/>
        </w:rPr>
        <w:t xml:space="preserve">. Componentes del </w:t>
      </w:r>
      <w:r>
        <w:rPr>
          <w:color w:val="000000" w:themeColor="text1"/>
        </w:rPr>
        <w:t>Desarrollo</w:t>
      </w:r>
      <w:r w:rsidRPr="00354DFA">
        <w:rPr>
          <w:color w:val="000000" w:themeColor="text1"/>
        </w:rPr>
        <w:t xml:space="preserve"> Institucional en el año 2012</w:t>
      </w:r>
    </w:p>
    <w:tbl>
      <w:tblPr>
        <w:tblStyle w:val="Cuadrculaclara-nfasis1"/>
        <w:tblW w:w="5017" w:type="pct"/>
        <w:tblLook w:val="04A0" w:firstRow="1" w:lastRow="0" w:firstColumn="1" w:lastColumn="0" w:noHBand="0" w:noVBand="1"/>
      </w:tblPr>
      <w:tblGrid>
        <w:gridCol w:w="1163"/>
        <w:gridCol w:w="5151"/>
        <w:gridCol w:w="895"/>
        <w:gridCol w:w="1024"/>
        <w:gridCol w:w="852"/>
      </w:tblGrid>
      <w:tr w:rsidR="00674FA7" w:rsidRPr="00674FA7" w:rsidTr="0006644A">
        <w:trPr>
          <w:cnfStyle w:val="100000000000" w:firstRow="1" w:lastRow="0" w:firstColumn="0" w:lastColumn="0" w:oddVBand="0" w:evenVBand="0" w:oddHBand="0" w:evenHBand="0" w:firstRowFirstColumn="0" w:firstRowLastColumn="0" w:lastRowFirstColumn="0" w:lastRowLastColumn="0"/>
          <w:trHeight w:val="19"/>
          <w:tblHeader/>
        </w:trPr>
        <w:tc>
          <w:tcPr>
            <w:cnfStyle w:val="001000000000" w:firstRow="0" w:lastRow="0" w:firstColumn="1" w:lastColumn="0" w:oddVBand="0" w:evenVBand="0" w:oddHBand="0" w:evenHBand="0" w:firstRowFirstColumn="0" w:firstRowLastColumn="0" w:lastRowFirstColumn="0" w:lastRowLastColumn="0"/>
            <w:tcW w:w="653" w:type="pct"/>
            <w:vAlign w:val="center"/>
          </w:tcPr>
          <w:p w:rsidR="000D7B00" w:rsidRPr="00674FA7" w:rsidRDefault="000D7B00" w:rsidP="00674FA7">
            <w:pPr>
              <w:spacing w:after="0"/>
              <w:jc w:val="center"/>
              <w:rPr>
                <w:sz w:val="18"/>
                <w:szCs w:val="18"/>
              </w:rPr>
            </w:pPr>
            <w:r w:rsidRPr="00674FA7">
              <w:rPr>
                <w:sz w:val="18"/>
                <w:szCs w:val="18"/>
              </w:rPr>
              <w:t>Convención</w:t>
            </w:r>
          </w:p>
        </w:tc>
        <w:tc>
          <w:tcPr>
            <w:tcW w:w="2848" w:type="pct"/>
            <w:vAlign w:val="center"/>
          </w:tcPr>
          <w:p w:rsidR="000D7B00" w:rsidRPr="00674FA7" w:rsidRDefault="000D7B00" w:rsidP="00674FA7">
            <w:pPr>
              <w:spacing w:after="0"/>
              <w:jc w:val="center"/>
              <w:cnfStyle w:val="100000000000" w:firstRow="1" w:lastRow="0" w:firstColumn="0" w:lastColumn="0" w:oddVBand="0" w:evenVBand="0" w:oddHBand="0" w:evenHBand="0" w:firstRowFirstColumn="0" w:firstRowLastColumn="0" w:lastRowFirstColumn="0" w:lastRowLastColumn="0"/>
              <w:rPr>
                <w:sz w:val="18"/>
                <w:szCs w:val="18"/>
              </w:rPr>
            </w:pPr>
            <w:r w:rsidRPr="00674FA7">
              <w:rPr>
                <w:sz w:val="18"/>
                <w:szCs w:val="18"/>
              </w:rPr>
              <w:t>Descripción</w:t>
            </w:r>
          </w:p>
        </w:tc>
        <w:tc>
          <w:tcPr>
            <w:tcW w:w="506" w:type="pct"/>
            <w:vAlign w:val="center"/>
          </w:tcPr>
          <w:p w:rsidR="000D7B00" w:rsidRPr="00674FA7" w:rsidRDefault="000D7B00" w:rsidP="00674FA7">
            <w:pPr>
              <w:spacing w:after="0"/>
              <w:jc w:val="center"/>
              <w:cnfStyle w:val="100000000000" w:firstRow="1" w:lastRow="0" w:firstColumn="0" w:lastColumn="0" w:oddVBand="0" w:evenVBand="0" w:oddHBand="0" w:evenHBand="0" w:firstRowFirstColumn="0" w:firstRowLastColumn="0" w:lastRowFirstColumn="0" w:lastRowLastColumn="0"/>
              <w:rPr>
                <w:sz w:val="18"/>
                <w:szCs w:val="18"/>
              </w:rPr>
            </w:pPr>
            <w:r w:rsidRPr="00674FA7">
              <w:rPr>
                <w:sz w:val="18"/>
                <w:szCs w:val="18"/>
              </w:rPr>
              <w:t>Meta</w:t>
            </w:r>
          </w:p>
        </w:tc>
        <w:tc>
          <w:tcPr>
            <w:tcW w:w="577" w:type="pct"/>
            <w:vAlign w:val="center"/>
          </w:tcPr>
          <w:p w:rsidR="000D7B00" w:rsidRPr="00674FA7" w:rsidRDefault="000D7B00" w:rsidP="00674FA7">
            <w:pPr>
              <w:spacing w:after="0"/>
              <w:jc w:val="center"/>
              <w:cnfStyle w:val="100000000000" w:firstRow="1" w:lastRow="0" w:firstColumn="0" w:lastColumn="0" w:oddVBand="0" w:evenVBand="0" w:oddHBand="0" w:evenHBand="0" w:firstRowFirstColumn="0" w:firstRowLastColumn="0" w:lastRowFirstColumn="0" w:lastRowLastColumn="0"/>
              <w:rPr>
                <w:sz w:val="18"/>
                <w:szCs w:val="18"/>
              </w:rPr>
            </w:pPr>
            <w:r w:rsidRPr="00674FA7">
              <w:rPr>
                <w:sz w:val="18"/>
                <w:szCs w:val="18"/>
              </w:rPr>
              <w:t>Resultado</w:t>
            </w:r>
          </w:p>
        </w:tc>
        <w:tc>
          <w:tcPr>
            <w:tcW w:w="416" w:type="pct"/>
            <w:vAlign w:val="center"/>
          </w:tcPr>
          <w:p w:rsidR="000D7B00" w:rsidRPr="00674FA7" w:rsidRDefault="000D7B00" w:rsidP="00674FA7">
            <w:pPr>
              <w:spacing w:after="0"/>
              <w:jc w:val="center"/>
              <w:cnfStyle w:val="100000000000" w:firstRow="1" w:lastRow="0" w:firstColumn="0" w:lastColumn="0" w:oddVBand="0" w:evenVBand="0" w:oddHBand="0" w:evenHBand="0" w:firstRowFirstColumn="0" w:firstRowLastColumn="0" w:lastRowFirstColumn="0" w:lastRowLastColumn="0"/>
              <w:rPr>
                <w:sz w:val="18"/>
                <w:szCs w:val="18"/>
              </w:rPr>
            </w:pPr>
            <w:r w:rsidRPr="00674FA7">
              <w:rPr>
                <w:sz w:val="18"/>
                <w:szCs w:val="18"/>
              </w:rPr>
              <w:t>% Logro</w:t>
            </w:r>
          </w:p>
        </w:tc>
      </w:tr>
      <w:tr w:rsidR="000D7B00" w:rsidRPr="00674FA7" w:rsidTr="00674FA7">
        <w:trPr>
          <w:cnfStyle w:val="000000100000" w:firstRow="0" w:lastRow="0" w:firstColumn="0" w:lastColumn="0" w:oddVBand="0" w:evenVBand="0" w:oddHBand="1" w:evenHBand="0" w:firstRowFirstColumn="0" w:firstRowLastColumn="0" w:lastRowFirstColumn="0" w:lastRowLastColumn="0"/>
          <w:trHeight w:val="19"/>
        </w:trPr>
        <w:tc>
          <w:tcPr>
            <w:cnfStyle w:val="001000000000" w:firstRow="0" w:lastRow="0" w:firstColumn="1" w:lastColumn="0" w:oddVBand="0" w:evenVBand="0" w:oddHBand="0" w:evenHBand="0" w:firstRowFirstColumn="0" w:firstRowLastColumn="0" w:lastRowFirstColumn="0" w:lastRowLastColumn="0"/>
            <w:tcW w:w="653" w:type="pct"/>
          </w:tcPr>
          <w:p w:rsidR="000D7B00" w:rsidRPr="00674FA7" w:rsidRDefault="000D7B00" w:rsidP="005550DB">
            <w:pPr>
              <w:spacing w:after="0"/>
              <w:jc w:val="center"/>
              <w:rPr>
                <w:color w:val="000000" w:themeColor="text1"/>
                <w:sz w:val="18"/>
                <w:szCs w:val="18"/>
              </w:rPr>
            </w:pPr>
            <w:r w:rsidRPr="00674FA7">
              <w:rPr>
                <w:color w:val="000000" w:themeColor="text1"/>
                <w:sz w:val="18"/>
                <w:szCs w:val="18"/>
              </w:rPr>
              <w:t>DFS</w:t>
            </w:r>
          </w:p>
        </w:tc>
        <w:tc>
          <w:tcPr>
            <w:tcW w:w="2848" w:type="pct"/>
          </w:tcPr>
          <w:p w:rsidR="000D7B00" w:rsidRPr="00674FA7" w:rsidRDefault="000D7B00" w:rsidP="005550DB">
            <w:pPr>
              <w:spacing w:after="0"/>
              <w:cnfStyle w:val="000000100000" w:firstRow="0" w:lastRow="0" w:firstColumn="0" w:lastColumn="0" w:oddVBand="0" w:evenVBand="0" w:oddHBand="1" w:evenHBand="0" w:firstRowFirstColumn="0" w:firstRowLastColumn="0" w:lastRowFirstColumn="0" w:lastRowLastColumn="0"/>
              <w:rPr>
                <w:sz w:val="18"/>
                <w:szCs w:val="18"/>
              </w:rPr>
            </w:pPr>
            <w:r w:rsidRPr="00674FA7">
              <w:rPr>
                <w:sz w:val="18"/>
                <w:szCs w:val="18"/>
              </w:rPr>
              <w:t>Desarrollo Físico Sostenible (Gestión estratégica del campus, gestión y sostenibilidad ambiental, gestión de las sedes alternas y sostenibilidad de la infraestructura física)</w:t>
            </w:r>
          </w:p>
        </w:tc>
        <w:tc>
          <w:tcPr>
            <w:tcW w:w="506" w:type="pct"/>
          </w:tcPr>
          <w:p w:rsidR="000D7B00" w:rsidRPr="00674FA7" w:rsidRDefault="000D7B00" w:rsidP="005550DB">
            <w:pPr>
              <w:jc w:val="center"/>
              <w:cnfStyle w:val="000000100000" w:firstRow="0" w:lastRow="0" w:firstColumn="0" w:lastColumn="0" w:oddVBand="0" w:evenVBand="0" w:oddHBand="1" w:evenHBand="0" w:firstRowFirstColumn="0" w:firstRowLastColumn="0" w:lastRowFirstColumn="0" w:lastRowLastColumn="0"/>
              <w:rPr>
                <w:bCs/>
                <w:sz w:val="18"/>
                <w:szCs w:val="18"/>
              </w:rPr>
            </w:pPr>
            <w:r w:rsidRPr="00674FA7">
              <w:rPr>
                <w:bCs/>
                <w:sz w:val="18"/>
                <w:szCs w:val="18"/>
              </w:rPr>
              <w:t>85.94%</w:t>
            </w:r>
          </w:p>
        </w:tc>
        <w:tc>
          <w:tcPr>
            <w:tcW w:w="577" w:type="pct"/>
          </w:tcPr>
          <w:p w:rsidR="000D7B00" w:rsidRPr="00674FA7" w:rsidRDefault="000D7B00" w:rsidP="005550DB">
            <w:pPr>
              <w:jc w:val="center"/>
              <w:cnfStyle w:val="000000100000" w:firstRow="0" w:lastRow="0" w:firstColumn="0" w:lastColumn="0" w:oddVBand="0" w:evenVBand="0" w:oddHBand="1" w:evenHBand="0" w:firstRowFirstColumn="0" w:firstRowLastColumn="0" w:lastRowFirstColumn="0" w:lastRowLastColumn="0"/>
              <w:rPr>
                <w:bCs/>
                <w:sz w:val="18"/>
                <w:szCs w:val="18"/>
              </w:rPr>
            </w:pPr>
            <w:r w:rsidRPr="00674FA7">
              <w:rPr>
                <w:bCs/>
                <w:sz w:val="18"/>
                <w:szCs w:val="18"/>
              </w:rPr>
              <w:t>86,46%</w:t>
            </w:r>
          </w:p>
        </w:tc>
        <w:tc>
          <w:tcPr>
            <w:tcW w:w="416" w:type="pct"/>
          </w:tcPr>
          <w:p w:rsidR="000D7B00" w:rsidRPr="00674FA7" w:rsidRDefault="000D7B00" w:rsidP="005550DB">
            <w:pPr>
              <w:jc w:val="center"/>
              <w:cnfStyle w:val="000000100000" w:firstRow="0" w:lastRow="0" w:firstColumn="0" w:lastColumn="0" w:oddVBand="0" w:evenVBand="0" w:oddHBand="1" w:evenHBand="0" w:firstRowFirstColumn="0" w:firstRowLastColumn="0" w:lastRowFirstColumn="0" w:lastRowLastColumn="0"/>
              <w:rPr>
                <w:b/>
                <w:bCs/>
                <w:sz w:val="18"/>
                <w:szCs w:val="18"/>
              </w:rPr>
            </w:pPr>
            <w:r w:rsidRPr="00674FA7">
              <w:rPr>
                <w:b/>
                <w:bCs/>
                <w:sz w:val="18"/>
                <w:szCs w:val="18"/>
              </w:rPr>
              <w:t>100.6%</w:t>
            </w:r>
          </w:p>
        </w:tc>
      </w:tr>
      <w:tr w:rsidR="000D7B00" w:rsidRPr="00674FA7" w:rsidTr="00674FA7">
        <w:trPr>
          <w:cnfStyle w:val="000000010000" w:firstRow="0" w:lastRow="0" w:firstColumn="0" w:lastColumn="0" w:oddVBand="0" w:evenVBand="0" w:oddHBand="0" w:evenHBand="1" w:firstRowFirstColumn="0" w:firstRowLastColumn="0" w:lastRowFirstColumn="0" w:lastRowLastColumn="0"/>
          <w:trHeight w:val="19"/>
        </w:trPr>
        <w:tc>
          <w:tcPr>
            <w:cnfStyle w:val="001000000000" w:firstRow="0" w:lastRow="0" w:firstColumn="1" w:lastColumn="0" w:oddVBand="0" w:evenVBand="0" w:oddHBand="0" w:evenHBand="0" w:firstRowFirstColumn="0" w:firstRowLastColumn="0" w:lastRowFirstColumn="0" w:lastRowLastColumn="0"/>
            <w:tcW w:w="653" w:type="pct"/>
          </w:tcPr>
          <w:p w:rsidR="000D7B00" w:rsidRPr="00674FA7" w:rsidRDefault="000D7B00" w:rsidP="005550DB">
            <w:pPr>
              <w:jc w:val="center"/>
              <w:rPr>
                <w:color w:val="000000" w:themeColor="text1"/>
                <w:sz w:val="18"/>
                <w:szCs w:val="18"/>
              </w:rPr>
            </w:pPr>
            <w:r w:rsidRPr="00674FA7">
              <w:rPr>
                <w:color w:val="000000" w:themeColor="text1"/>
                <w:sz w:val="18"/>
                <w:szCs w:val="18"/>
              </w:rPr>
              <w:t>DIC</w:t>
            </w:r>
          </w:p>
        </w:tc>
        <w:tc>
          <w:tcPr>
            <w:tcW w:w="2848" w:type="pct"/>
          </w:tcPr>
          <w:p w:rsidR="000D7B00" w:rsidRPr="00674FA7" w:rsidRDefault="000D7B00" w:rsidP="005550DB">
            <w:pPr>
              <w:spacing w:after="0"/>
              <w:cnfStyle w:val="000000010000" w:firstRow="0" w:lastRow="0" w:firstColumn="0" w:lastColumn="0" w:oddVBand="0" w:evenVBand="0" w:oddHBand="0" w:evenHBand="1" w:firstRowFirstColumn="0" w:firstRowLastColumn="0" w:lastRowFirstColumn="0" w:lastRowLastColumn="0"/>
              <w:rPr>
                <w:sz w:val="18"/>
                <w:szCs w:val="18"/>
              </w:rPr>
            </w:pPr>
            <w:r w:rsidRPr="00674FA7">
              <w:rPr>
                <w:sz w:val="18"/>
                <w:szCs w:val="18"/>
              </w:rPr>
              <w:t>Desarrollo Informático y de comunicaciones (Sistemas de información, automatización de recursos físicos, sostenibilidad de hardware y software y sistemas de comunicación)</w:t>
            </w:r>
          </w:p>
        </w:tc>
        <w:tc>
          <w:tcPr>
            <w:tcW w:w="506" w:type="pct"/>
          </w:tcPr>
          <w:p w:rsidR="000D7B00" w:rsidRPr="00674FA7" w:rsidRDefault="000D7B00" w:rsidP="005550DB">
            <w:pPr>
              <w:jc w:val="center"/>
              <w:cnfStyle w:val="000000010000" w:firstRow="0" w:lastRow="0" w:firstColumn="0" w:lastColumn="0" w:oddVBand="0" w:evenVBand="0" w:oddHBand="0" w:evenHBand="1" w:firstRowFirstColumn="0" w:firstRowLastColumn="0" w:lastRowFirstColumn="0" w:lastRowLastColumn="0"/>
              <w:rPr>
                <w:bCs/>
                <w:sz w:val="18"/>
                <w:szCs w:val="18"/>
              </w:rPr>
            </w:pPr>
            <w:r w:rsidRPr="00674FA7">
              <w:rPr>
                <w:bCs/>
                <w:sz w:val="18"/>
                <w:szCs w:val="18"/>
              </w:rPr>
              <w:t>53%</w:t>
            </w:r>
          </w:p>
        </w:tc>
        <w:tc>
          <w:tcPr>
            <w:tcW w:w="577" w:type="pct"/>
          </w:tcPr>
          <w:p w:rsidR="000D7B00" w:rsidRPr="00674FA7" w:rsidRDefault="000D7B00" w:rsidP="005550DB">
            <w:pPr>
              <w:jc w:val="center"/>
              <w:cnfStyle w:val="000000010000" w:firstRow="0" w:lastRow="0" w:firstColumn="0" w:lastColumn="0" w:oddVBand="0" w:evenVBand="0" w:oddHBand="0" w:evenHBand="1" w:firstRowFirstColumn="0" w:firstRowLastColumn="0" w:lastRowFirstColumn="0" w:lastRowLastColumn="0"/>
              <w:rPr>
                <w:bCs/>
                <w:sz w:val="18"/>
                <w:szCs w:val="18"/>
              </w:rPr>
            </w:pPr>
            <w:r w:rsidRPr="00674FA7">
              <w:rPr>
                <w:bCs/>
                <w:sz w:val="18"/>
                <w:szCs w:val="18"/>
              </w:rPr>
              <w:t>52.40%</w:t>
            </w:r>
          </w:p>
        </w:tc>
        <w:tc>
          <w:tcPr>
            <w:tcW w:w="416" w:type="pct"/>
          </w:tcPr>
          <w:p w:rsidR="000D7B00" w:rsidRPr="00674FA7" w:rsidRDefault="000D7B00" w:rsidP="005550DB">
            <w:pPr>
              <w:jc w:val="center"/>
              <w:cnfStyle w:val="000000010000" w:firstRow="0" w:lastRow="0" w:firstColumn="0" w:lastColumn="0" w:oddVBand="0" w:evenVBand="0" w:oddHBand="0" w:evenHBand="1" w:firstRowFirstColumn="0" w:firstRowLastColumn="0" w:lastRowFirstColumn="0" w:lastRowLastColumn="0"/>
              <w:rPr>
                <w:b/>
                <w:bCs/>
                <w:sz w:val="18"/>
                <w:szCs w:val="18"/>
              </w:rPr>
            </w:pPr>
            <w:r w:rsidRPr="00674FA7">
              <w:rPr>
                <w:b/>
                <w:bCs/>
                <w:sz w:val="18"/>
                <w:szCs w:val="18"/>
              </w:rPr>
              <w:t>98.87%</w:t>
            </w:r>
          </w:p>
        </w:tc>
      </w:tr>
      <w:tr w:rsidR="000D7B00" w:rsidRPr="00674FA7" w:rsidTr="00674FA7">
        <w:trPr>
          <w:cnfStyle w:val="000000100000" w:firstRow="0" w:lastRow="0" w:firstColumn="0" w:lastColumn="0" w:oddVBand="0" w:evenVBand="0" w:oddHBand="1" w:evenHBand="0" w:firstRowFirstColumn="0" w:firstRowLastColumn="0" w:lastRowFirstColumn="0" w:lastRowLastColumn="0"/>
          <w:trHeight w:val="19"/>
        </w:trPr>
        <w:tc>
          <w:tcPr>
            <w:cnfStyle w:val="001000000000" w:firstRow="0" w:lastRow="0" w:firstColumn="1" w:lastColumn="0" w:oddVBand="0" w:evenVBand="0" w:oddHBand="0" w:evenHBand="0" w:firstRowFirstColumn="0" w:firstRowLastColumn="0" w:lastRowFirstColumn="0" w:lastRowLastColumn="0"/>
            <w:tcW w:w="653" w:type="pct"/>
          </w:tcPr>
          <w:p w:rsidR="000D7B00" w:rsidRPr="00674FA7" w:rsidRDefault="000D7B00" w:rsidP="005550DB">
            <w:pPr>
              <w:jc w:val="center"/>
              <w:rPr>
                <w:color w:val="000000" w:themeColor="text1"/>
                <w:sz w:val="18"/>
                <w:szCs w:val="18"/>
              </w:rPr>
            </w:pPr>
            <w:r w:rsidRPr="00674FA7">
              <w:rPr>
                <w:color w:val="000000" w:themeColor="text1"/>
                <w:sz w:val="18"/>
                <w:szCs w:val="18"/>
              </w:rPr>
              <w:t>DHO</w:t>
            </w:r>
          </w:p>
        </w:tc>
        <w:tc>
          <w:tcPr>
            <w:tcW w:w="2848" w:type="pct"/>
          </w:tcPr>
          <w:p w:rsidR="000D7B00" w:rsidRPr="00674FA7" w:rsidRDefault="000D7B00" w:rsidP="005550DB">
            <w:pPr>
              <w:spacing w:after="0"/>
              <w:cnfStyle w:val="000000100000" w:firstRow="0" w:lastRow="0" w:firstColumn="0" w:lastColumn="0" w:oddVBand="0" w:evenVBand="0" w:oddHBand="1" w:evenHBand="0" w:firstRowFirstColumn="0" w:firstRowLastColumn="0" w:lastRowFirstColumn="0" w:lastRowLastColumn="0"/>
              <w:rPr>
                <w:sz w:val="18"/>
                <w:szCs w:val="18"/>
              </w:rPr>
            </w:pPr>
            <w:r w:rsidRPr="00674FA7">
              <w:rPr>
                <w:sz w:val="18"/>
                <w:szCs w:val="18"/>
              </w:rPr>
              <w:t>Desarrollo Humano y Organizacional (Procesos De gestión humana, cultura organizacional, estructura organizacional y gestión de procesos)</w:t>
            </w:r>
          </w:p>
        </w:tc>
        <w:tc>
          <w:tcPr>
            <w:tcW w:w="506" w:type="pct"/>
          </w:tcPr>
          <w:p w:rsidR="000D7B00" w:rsidRPr="00674FA7" w:rsidRDefault="000D7B00" w:rsidP="005550DB">
            <w:pPr>
              <w:jc w:val="center"/>
              <w:cnfStyle w:val="000000100000" w:firstRow="0" w:lastRow="0" w:firstColumn="0" w:lastColumn="0" w:oddVBand="0" w:evenVBand="0" w:oddHBand="1" w:evenHBand="0" w:firstRowFirstColumn="0" w:firstRowLastColumn="0" w:lastRowFirstColumn="0" w:lastRowLastColumn="0"/>
              <w:rPr>
                <w:bCs/>
                <w:sz w:val="18"/>
                <w:szCs w:val="18"/>
              </w:rPr>
            </w:pPr>
            <w:r w:rsidRPr="00674FA7">
              <w:rPr>
                <w:bCs/>
                <w:sz w:val="18"/>
                <w:szCs w:val="18"/>
              </w:rPr>
              <w:t>60.60%</w:t>
            </w:r>
          </w:p>
        </w:tc>
        <w:tc>
          <w:tcPr>
            <w:tcW w:w="577" w:type="pct"/>
          </w:tcPr>
          <w:p w:rsidR="000D7B00" w:rsidRPr="00674FA7" w:rsidRDefault="000D7B00" w:rsidP="005550DB">
            <w:pPr>
              <w:jc w:val="center"/>
              <w:cnfStyle w:val="000000100000" w:firstRow="0" w:lastRow="0" w:firstColumn="0" w:lastColumn="0" w:oddVBand="0" w:evenVBand="0" w:oddHBand="1" w:evenHBand="0" w:firstRowFirstColumn="0" w:firstRowLastColumn="0" w:lastRowFirstColumn="0" w:lastRowLastColumn="0"/>
              <w:rPr>
                <w:bCs/>
                <w:sz w:val="18"/>
                <w:szCs w:val="18"/>
              </w:rPr>
            </w:pPr>
            <w:r w:rsidRPr="00674FA7">
              <w:rPr>
                <w:bCs/>
                <w:sz w:val="18"/>
                <w:szCs w:val="18"/>
              </w:rPr>
              <w:t>56.17%</w:t>
            </w:r>
          </w:p>
        </w:tc>
        <w:tc>
          <w:tcPr>
            <w:tcW w:w="416" w:type="pct"/>
          </w:tcPr>
          <w:p w:rsidR="000D7B00" w:rsidRPr="00674FA7" w:rsidRDefault="000D7B00" w:rsidP="005550DB">
            <w:pPr>
              <w:jc w:val="center"/>
              <w:cnfStyle w:val="000000100000" w:firstRow="0" w:lastRow="0" w:firstColumn="0" w:lastColumn="0" w:oddVBand="0" w:evenVBand="0" w:oddHBand="1" w:evenHBand="0" w:firstRowFirstColumn="0" w:firstRowLastColumn="0" w:lastRowFirstColumn="0" w:lastRowLastColumn="0"/>
              <w:rPr>
                <w:b/>
                <w:bCs/>
                <w:sz w:val="18"/>
                <w:szCs w:val="18"/>
              </w:rPr>
            </w:pPr>
            <w:r w:rsidRPr="00674FA7">
              <w:rPr>
                <w:b/>
                <w:bCs/>
                <w:sz w:val="18"/>
                <w:szCs w:val="18"/>
              </w:rPr>
              <w:t>92.69%</w:t>
            </w:r>
          </w:p>
        </w:tc>
      </w:tr>
      <w:tr w:rsidR="000D7B00" w:rsidRPr="00674FA7" w:rsidTr="00674FA7">
        <w:trPr>
          <w:cnfStyle w:val="000000010000" w:firstRow="0" w:lastRow="0" w:firstColumn="0" w:lastColumn="0" w:oddVBand="0" w:evenVBand="0" w:oddHBand="0" w:evenHBand="1" w:firstRowFirstColumn="0" w:firstRowLastColumn="0" w:lastRowFirstColumn="0" w:lastRowLastColumn="0"/>
          <w:trHeight w:val="19"/>
        </w:trPr>
        <w:tc>
          <w:tcPr>
            <w:cnfStyle w:val="001000000000" w:firstRow="0" w:lastRow="0" w:firstColumn="1" w:lastColumn="0" w:oddVBand="0" w:evenVBand="0" w:oddHBand="0" w:evenHBand="0" w:firstRowFirstColumn="0" w:firstRowLastColumn="0" w:lastRowFirstColumn="0" w:lastRowLastColumn="0"/>
            <w:tcW w:w="653" w:type="pct"/>
          </w:tcPr>
          <w:p w:rsidR="000D7B00" w:rsidRPr="00674FA7" w:rsidRDefault="000D7B00" w:rsidP="005550DB">
            <w:pPr>
              <w:jc w:val="center"/>
              <w:rPr>
                <w:color w:val="000000" w:themeColor="text1"/>
                <w:sz w:val="18"/>
                <w:szCs w:val="18"/>
              </w:rPr>
            </w:pPr>
            <w:r w:rsidRPr="00674FA7">
              <w:rPr>
                <w:color w:val="000000" w:themeColor="text1"/>
                <w:sz w:val="18"/>
                <w:szCs w:val="18"/>
              </w:rPr>
              <w:t>DF</w:t>
            </w:r>
          </w:p>
        </w:tc>
        <w:tc>
          <w:tcPr>
            <w:tcW w:w="2848" w:type="pct"/>
          </w:tcPr>
          <w:p w:rsidR="000D7B00" w:rsidRPr="00674FA7" w:rsidRDefault="000D7B00" w:rsidP="005550DB">
            <w:pPr>
              <w:spacing w:after="0"/>
              <w:cnfStyle w:val="000000010000" w:firstRow="0" w:lastRow="0" w:firstColumn="0" w:lastColumn="0" w:oddVBand="0" w:evenVBand="0" w:oddHBand="0" w:evenHBand="1" w:firstRowFirstColumn="0" w:firstRowLastColumn="0" w:lastRowFirstColumn="0" w:lastRowLastColumn="0"/>
              <w:rPr>
                <w:sz w:val="18"/>
                <w:szCs w:val="18"/>
              </w:rPr>
            </w:pPr>
            <w:r w:rsidRPr="00674FA7">
              <w:rPr>
                <w:sz w:val="18"/>
                <w:szCs w:val="18"/>
              </w:rPr>
              <w:t>Desarrollo Financiero (Optimización de ingresos, racionalización del uso de los recursos y nuevas líneas de financiamiento)</w:t>
            </w:r>
          </w:p>
        </w:tc>
        <w:tc>
          <w:tcPr>
            <w:tcW w:w="506" w:type="pct"/>
          </w:tcPr>
          <w:p w:rsidR="000D7B00" w:rsidRPr="00674FA7" w:rsidRDefault="000D7B00" w:rsidP="005550DB">
            <w:pPr>
              <w:jc w:val="center"/>
              <w:cnfStyle w:val="000000010000" w:firstRow="0" w:lastRow="0" w:firstColumn="0" w:lastColumn="0" w:oddVBand="0" w:evenVBand="0" w:oddHBand="0" w:evenHBand="1" w:firstRowFirstColumn="0" w:firstRowLastColumn="0" w:lastRowFirstColumn="0" w:lastRowLastColumn="0"/>
              <w:rPr>
                <w:bCs/>
                <w:sz w:val="18"/>
                <w:szCs w:val="18"/>
              </w:rPr>
            </w:pPr>
            <w:r w:rsidRPr="00674FA7">
              <w:rPr>
                <w:bCs/>
                <w:sz w:val="18"/>
                <w:szCs w:val="18"/>
              </w:rPr>
              <w:t>76.40%</w:t>
            </w:r>
          </w:p>
        </w:tc>
        <w:tc>
          <w:tcPr>
            <w:tcW w:w="577" w:type="pct"/>
          </w:tcPr>
          <w:p w:rsidR="000D7B00" w:rsidRPr="00674FA7" w:rsidRDefault="000D7B00" w:rsidP="005550DB">
            <w:pPr>
              <w:jc w:val="center"/>
              <w:cnfStyle w:val="000000010000" w:firstRow="0" w:lastRow="0" w:firstColumn="0" w:lastColumn="0" w:oddVBand="0" w:evenVBand="0" w:oddHBand="0" w:evenHBand="1" w:firstRowFirstColumn="0" w:firstRowLastColumn="0" w:lastRowFirstColumn="0" w:lastRowLastColumn="0"/>
              <w:rPr>
                <w:bCs/>
                <w:sz w:val="18"/>
                <w:szCs w:val="18"/>
              </w:rPr>
            </w:pPr>
            <w:r w:rsidRPr="00674FA7">
              <w:rPr>
                <w:bCs/>
                <w:sz w:val="18"/>
                <w:szCs w:val="18"/>
              </w:rPr>
              <w:t>77.20%</w:t>
            </w:r>
          </w:p>
        </w:tc>
        <w:tc>
          <w:tcPr>
            <w:tcW w:w="416" w:type="pct"/>
          </w:tcPr>
          <w:p w:rsidR="000D7B00" w:rsidRPr="00674FA7" w:rsidRDefault="000D7B00" w:rsidP="005550DB">
            <w:pPr>
              <w:jc w:val="center"/>
              <w:cnfStyle w:val="000000010000" w:firstRow="0" w:lastRow="0" w:firstColumn="0" w:lastColumn="0" w:oddVBand="0" w:evenVBand="0" w:oddHBand="0" w:evenHBand="1" w:firstRowFirstColumn="0" w:firstRowLastColumn="0" w:lastRowFirstColumn="0" w:lastRowLastColumn="0"/>
              <w:rPr>
                <w:b/>
                <w:bCs/>
                <w:sz w:val="18"/>
                <w:szCs w:val="18"/>
              </w:rPr>
            </w:pPr>
            <w:r w:rsidRPr="00674FA7">
              <w:rPr>
                <w:b/>
                <w:bCs/>
                <w:sz w:val="18"/>
                <w:szCs w:val="18"/>
              </w:rPr>
              <w:t>101.05%</w:t>
            </w:r>
          </w:p>
        </w:tc>
      </w:tr>
      <w:tr w:rsidR="00674FA7" w:rsidRPr="00674FA7" w:rsidTr="00674FA7">
        <w:trPr>
          <w:cnfStyle w:val="000000100000" w:firstRow="0" w:lastRow="0" w:firstColumn="0" w:lastColumn="0" w:oddVBand="0" w:evenVBand="0" w:oddHBand="1"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3501" w:type="pct"/>
            <w:gridSpan w:val="2"/>
          </w:tcPr>
          <w:p w:rsidR="000D7B00" w:rsidRPr="00EB79AD" w:rsidRDefault="000D7B00" w:rsidP="005550DB">
            <w:pPr>
              <w:spacing w:after="0"/>
              <w:jc w:val="center"/>
              <w:rPr>
                <w:sz w:val="18"/>
                <w:szCs w:val="18"/>
              </w:rPr>
            </w:pPr>
            <w:r w:rsidRPr="00EB79AD">
              <w:rPr>
                <w:sz w:val="18"/>
                <w:szCs w:val="18"/>
              </w:rPr>
              <w:t>EFICIENCIA ADMINISTRATIVA</w:t>
            </w:r>
          </w:p>
        </w:tc>
        <w:tc>
          <w:tcPr>
            <w:tcW w:w="1499" w:type="pct"/>
            <w:gridSpan w:val="3"/>
          </w:tcPr>
          <w:p w:rsidR="000D7B00" w:rsidRPr="00674FA7" w:rsidRDefault="000D7B00" w:rsidP="005550DB">
            <w:pPr>
              <w:spacing w:after="0"/>
              <w:jc w:val="center"/>
              <w:cnfStyle w:val="000000100000" w:firstRow="0" w:lastRow="0" w:firstColumn="0" w:lastColumn="0" w:oddVBand="0" w:evenVBand="0" w:oddHBand="1" w:evenHBand="0" w:firstRowFirstColumn="0" w:firstRowLastColumn="0" w:lastRowFirstColumn="0" w:lastRowLastColumn="0"/>
              <w:rPr>
                <w:rFonts w:cs="Calibri"/>
                <w:b/>
                <w:sz w:val="18"/>
                <w:szCs w:val="18"/>
              </w:rPr>
            </w:pPr>
            <w:r w:rsidRPr="00674FA7">
              <w:rPr>
                <w:b/>
                <w:sz w:val="18"/>
                <w:szCs w:val="18"/>
              </w:rPr>
              <w:t>67.19%</w:t>
            </w:r>
          </w:p>
        </w:tc>
      </w:tr>
    </w:tbl>
    <w:p w:rsidR="000D7B00" w:rsidRPr="00354DFA" w:rsidRDefault="000D7B00" w:rsidP="000D7B00">
      <w:pPr>
        <w:spacing w:after="0"/>
        <w:jc w:val="center"/>
        <w:rPr>
          <w:b/>
          <w:i/>
          <w:sz w:val="20"/>
          <w:szCs w:val="20"/>
        </w:rPr>
      </w:pPr>
      <w:r w:rsidRPr="00354DFA">
        <w:rPr>
          <w:b/>
          <w:i/>
          <w:sz w:val="20"/>
          <w:szCs w:val="20"/>
        </w:rPr>
        <w:t>Fuente: SIGOB</w:t>
      </w:r>
    </w:p>
    <w:p w:rsidR="000D7B00" w:rsidRDefault="000D7B00" w:rsidP="000D7B00"/>
    <w:p w:rsidR="000D7B00" w:rsidRDefault="000D7B00" w:rsidP="000D7B00">
      <w:r w:rsidRPr="00E015EA">
        <w:t xml:space="preserve">Durante el periodo de ejecución del Plan de Desarrollo Institucional 2009-2012, </w:t>
      </w:r>
      <w:r>
        <w:t xml:space="preserve"> se puede observar el desempeño del objetivo a través de la siguiente gráfica.</w:t>
      </w:r>
    </w:p>
    <w:p w:rsidR="000D7B00" w:rsidRDefault="000D7B00" w:rsidP="000D7B00">
      <w:pPr>
        <w:jc w:val="center"/>
        <w:rPr>
          <w:b/>
          <w:color w:val="000000" w:themeColor="text1"/>
        </w:rPr>
      </w:pPr>
      <w:r>
        <w:rPr>
          <w:b/>
          <w:color w:val="000000" w:themeColor="text1"/>
        </w:rPr>
        <w:t>Resultados alcanzados</w:t>
      </w:r>
      <w:r w:rsidRPr="00647FA1">
        <w:rPr>
          <w:b/>
          <w:color w:val="000000" w:themeColor="text1"/>
        </w:rPr>
        <w:t xml:space="preserve"> </w:t>
      </w:r>
      <w:r>
        <w:rPr>
          <w:b/>
          <w:color w:val="000000" w:themeColor="text1"/>
        </w:rPr>
        <w:t>Eficiencia Administrativo</w:t>
      </w:r>
      <w:r w:rsidRPr="00647FA1">
        <w:rPr>
          <w:b/>
          <w:color w:val="000000" w:themeColor="text1"/>
        </w:rPr>
        <w:t xml:space="preserve"> para el año </w:t>
      </w:r>
      <w:r>
        <w:rPr>
          <w:b/>
          <w:color w:val="000000" w:themeColor="text1"/>
        </w:rPr>
        <w:t xml:space="preserve">2009 – </w:t>
      </w:r>
      <w:r w:rsidRPr="00647FA1">
        <w:rPr>
          <w:b/>
          <w:color w:val="000000" w:themeColor="text1"/>
        </w:rPr>
        <w:t>2012</w:t>
      </w:r>
      <w:r>
        <w:rPr>
          <w:b/>
          <w:color w:val="000000" w:themeColor="text1"/>
        </w:rPr>
        <w:t xml:space="preserve"> </w:t>
      </w:r>
      <w:r w:rsidRPr="0069072F">
        <w:rPr>
          <w:noProof/>
          <w:lang w:val="es-CO" w:eastAsia="es-CO"/>
        </w:rPr>
        <w:drawing>
          <wp:inline distT="0" distB="0" distL="0" distR="0">
            <wp:extent cx="4772025" cy="1743075"/>
            <wp:effectExtent l="0" t="0" r="0" b="0"/>
            <wp:docPr id="48" name="1 Gráfico"/>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0D7B00" w:rsidRPr="00354DFA" w:rsidRDefault="000D7B00" w:rsidP="000D7B00">
      <w:pPr>
        <w:spacing w:after="0"/>
        <w:jc w:val="center"/>
        <w:rPr>
          <w:b/>
          <w:i/>
          <w:sz w:val="20"/>
          <w:szCs w:val="20"/>
        </w:rPr>
      </w:pPr>
      <w:r w:rsidRPr="00354DFA">
        <w:rPr>
          <w:b/>
          <w:i/>
          <w:sz w:val="20"/>
          <w:szCs w:val="20"/>
        </w:rPr>
        <w:t xml:space="preserve">Fuente: </w:t>
      </w:r>
      <w:r>
        <w:rPr>
          <w:b/>
          <w:i/>
          <w:sz w:val="20"/>
          <w:szCs w:val="20"/>
        </w:rPr>
        <w:t xml:space="preserve">Informes de Gestión </w:t>
      </w:r>
    </w:p>
    <w:p w:rsidR="000D7B00" w:rsidRDefault="000D7B00" w:rsidP="000D7B00">
      <w:pPr>
        <w:rPr>
          <w:b/>
          <w:color w:val="000000" w:themeColor="text1"/>
        </w:rPr>
      </w:pPr>
    </w:p>
    <w:p w:rsidR="000D7B00" w:rsidRDefault="000D7B00" w:rsidP="000D7B00">
      <w:r>
        <w:t>En los subcapítulos siguientes se muestran los resultados más relevantes del Objetivo de Desarrollo Institucional.</w:t>
      </w:r>
    </w:p>
    <w:p w:rsidR="000D7B00" w:rsidRDefault="000D7B00" w:rsidP="00732E87">
      <w:pPr>
        <w:pStyle w:val="Ttulo2"/>
        <w:numPr>
          <w:ilvl w:val="1"/>
          <w:numId w:val="21"/>
        </w:numPr>
        <w:spacing w:line="276" w:lineRule="auto"/>
      </w:pPr>
      <w:bookmarkStart w:id="57" w:name="_Toc350238214"/>
      <w:bookmarkStart w:id="58" w:name="_Toc354671317"/>
      <w:bookmarkStart w:id="59" w:name="_Toc290360674"/>
      <w:bookmarkStart w:id="60" w:name="_Toc319421849"/>
      <w:r w:rsidRPr="00AA1C78">
        <w:t>Desarrollo Físico Sostenible</w:t>
      </w:r>
      <w:bookmarkEnd w:id="57"/>
      <w:bookmarkEnd w:id="58"/>
    </w:p>
    <w:bookmarkEnd w:id="59"/>
    <w:bookmarkEnd w:id="60"/>
    <w:p w:rsidR="000D7B00" w:rsidRDefault="000D7B00" w:rsidP="000D7B00">
      <w:pPr>
        <w:pStyle w:val="Default"/>
        <w:jc w:val="both"/>
        <w:rPr>
          <w:rFonts w:asciiTheme="majorHAnsi" w:eastAsiaTheme="majorEastAsia" w:hAnsiTheme="majorHAnsi" w:cstheme="majorBidi"/>
          <w:b/>
          <w:bCs/>
          <w:color w:val="4F81BD" w:themeColor="accent1"/>
          <w:sz w:val="26"/>
          <w:szCs w:val="26"/>
        </w:rPr>
      </w:pPr>
    </w:p>
    <w:p w:rsidR="000D7B00" w:rsidRPr="00AB47AB" w:rsidRDefault="000D7B00" w:rsidP="000D7B00">
      <w:pPr>
        <w:pStyle w:val="Default"/>
        <w:jc w:val="both"/>
        <w:rPr>
          <w:rFonts w:ascii="Maiandra GD" w:eastAsiaTheme="minorEastAsia" w:hAnsi="Maiandra GD" w:cstheme="minorBidi"/>
          <w:color w:val="FF0000"/>
          <w:sz w:val="20"/>
          <w:szCs w:val="22"/>
          <w:lang w:bidi="en-US"/>
        </w:rPr>
      </w:pPr>
      <w:r w:rsidRPr="009433B2">
        <w:rPr>
          <w:rFonts w:asciiTheme="minorHAnsi" w:eastAsiaTheme="minorEastAsia" w:hAnsiTheme="minorHAnsi" w:cstheme="minorBidi"/>
          <w:color w:val="auto"/>
          <w:sz w:val="22"/>
          <w:szCs w:val="22"/>
          <w:lang w:bidi="en-US"/>
        </w:rPr>
        <w:t xml:space="preserve">Desde el Desarrollo Físico Sostenible la Universidad </w:t>
      </w:r>
      <w:r>
        <w:rPr>
          <w:rFonts w:asciiTheme="minorHAnsi" w:eastAsiaTheme="minorEastAsia" w:hAnsiTheme="minorHAnsi" w:cstheme="minorBidi"/>
          <w:color w:val="auto"/>
          <w:sz w:val="22"/>
          <w:szCs w:val="22"/>
          <w:lang w:bidi="en-US"/>
        </w:rPr>
        <w:t xml:space="preserve">Tecnológica de Pereira se proyecta como una plataforma territorial que </w:t>
      </w:r>
      <w:r w:rsidRPr="009433B2">
        <w:rPr>
          <w:rFonts w:asciiTheme="minorHAnsi" w:eastAsiaTheme="minorEastAsia" w:hAnsiTheme="minorHAnsi" w:cstheme="minorBidi"/>
          <w:color w:val="auto"/>
          <w:sz w:val="22"/>
          <w:szCs w:val="22"/>
          <w:lang w:bidi="en-US"/>
        </w:rPr>
        <w:t>busca generar las capacidades físicas, urbanísticas y la normatividad apropiada</w:t>
      </w:r>
      <w:r>
        <w:rPr>
          <w:rFonts w:asciiTheme="minorHAnsi" w:eastAsiaTheme="minorEastAsia" w:hAnsiTheme="minorHAnsi" w:cstheme="minorBidi"/>
          <w:color w:val="auto"/>
          <w:sz w:val="22"/>
          <w:szCs w:val="22"/>
          <w:lang w:bidi="en-US"/>
        </w:rPr>
        <w:t>s</w:t>
      </w:r>
      <w:r w:rsidRPr="009433B2">
        <w:rPr>
          <w:rFonts w:asciiTheme="minorHAnsi" w:eastAsiaTheme="minorEastAsia" w:hAnsiTheme="minorHAnsi" w:cstheme="minorBidi"/>
          <w:color w:val="auto"/>
          <w:sz w:val="22"/>
          <w:szCs w:val="22"/>
          <w:lang w:bidi="en-US"/>
        </w:rPr>
        <w:t xml:space="preserve"> para lograr </w:t>
      </w:r>
      <w:r>
        <w:rPr>
          <w:rFonts w:asciiTheme="minorHAnsi" w:eastAsiaTheme="minorEastAsia" w:hAnsiTheme="minorHAnsi" w:cstheme="minorBidi"/>
          <w:color w:val="auto"/>
          <w:sz w:val="22"/>
          <w:szCs w:val="22"/>
          <w:lang w:bidi="en-US"/>
        </w:rPr>
        <w:t xml:space="preserve">y </w:t>
      </w:r>
      <w:r w:rsidRPr="009433B2">
        <w:rPr>
          <w:rFonts w:asciiTheme="minorHAnsi" w:eastAsiaTheme="minorEastAsia" w:hAnsiTheme="minorHAnsi" w:cstheme="minorBidi"/>
          <w:color w:val="auto"/>
          <w:sz w:val="22"/>
          <w:szCs w:val="22"/>
          <w:lang w:bidi="en-US"/>
        </w:rPr>
        <w:t xml:space="preserve">atender las necesidades institucionales </w:t>
      </w:r>
      <w:r>
        <w:rPr>
          <w:rFonts w:asciiTheme="minorHAnsi" w:eastAsiaTheme="minorEastAsia" w:hAnsiTheme="minorHAnsi" w:cstheme="minorBidi"/>
          <w:color w:val="auto"/>
          <w:sz w:val="22"/>
          <w:szCs w:val="22"/>
          <w:lang w:bidi="en-US"/>
        </w:rPr>
        <w:t>con el fin de</w:t>
      </w:r>
      <w:r w:rsidRPr="009433B2">
        <w:rPr>
          <w:rFonts w:asciiTheme="minorHAnsi" w:eastAsiaTheme="minorEastAsia" w:hAnsiTheme="minorHAnsi" w:cstheme="minorBidi"/>
          <w:color w:val="auto"/>
          <w:sz w:val="22"/>
          <w:szCs w:val="22"/>
          <w:lang w:bidi="en-US"/>
        </w:rPr>
        <w:t xml:space="preserve"> impartir una educación de calidad y dar soporte al desarrollo científico y tecnológico. </w:t>
      </w:r>
    </w:p>
    <w:p w:rsidR="000D7B00" w:rsidRDefault="000D7B00" w:rsidP="000D7B00">
      <w:pPr>
        <w:pStyle w:val="Default"/>
        <w:spacing w:line="276" w:lineRule="auto"/>
        <w:jc w:val="both"/>
        <w:rPr>
          <w:rFonts w:asciiTheme="minorHAnsi" w:eastAsiaTheme="minorEastAsia" w:hAnsiTheme="minorHAnsi" w:cstheme="minorBidi"/>
          <w:color w:val="auto"/>
          <w:sz w:val="22"/>
          <w:szCs w:val="22"/>
          <w:lang w:bidi="en-US"/>
        </w:rPr>
      </w:pPr>
      <w:r>
        <w:rPr>
          <w:rFonts w:asciiTheme="minorHAnsi" w:eastAsiaTheme="minorEastAsia" w:hAnsiTheme="minorHAnsi" w:cstheme="minorBidi"/>
          <w:color w:val="auto"/>
          <w:sz w:val="22"/>
          <w:szCs w:val="22"/>
          <w:lang w:bidi="en-US"/>
        </w:rPr>
        <w:t>Así mismo,</w:t>
      </w:r>
      <w:r w:rsidRPr="009433B2">
        <w:rPr>
          <w:rFonts w:asciiTheme="minorHAnsi" w:eastAsiaTheme="minorEastAsia" w:hAnsiTheme="minorHAnsi" w:cstheme="minorBidi"/>
          <w:color w:val="auto"/>
          <w:sz w:val="22"/>
          <w:szCs w:val="22"/>
          <w:lang w:bidi="en-US"/>
        </w:rPr>
        <w:t xml:space="preserve"> </w:t>
      </w:r>
      <w:r>
        <w:rPr>
          <w:rFonts w:asciiTheme="minorHAnsi" w:eastAsiaTheme="minorEastAsia" w:hAnsiTheme="minorHAnsi" w:cstheme="minorBidi"/>
          <w:color w:val="auto"/>
          <w:sz w:val="22"/>
          <w:szCs w:val="22"/>
          <w:lang w:bidi="en-US"/>
        </w:rPr>
        <w:t xml:space="preserve">la institución busca lograr ser reconocida </w:t>
      </w:r>
      <w:r w:rsidRPr="009433B2">
        <w:rPr>
          <w:rFonts w:asciiTheme="minorHAnsi" w:eastAsiaTheme="minorEastAsia" w:hAnsiTheme="minorHAnsi" w:cstheme="minorBidi"/>
          <w:color w:val="auto"/>
          <w:sz w:val="22"/>
          <w:szCs w:val="22"/>
          <w:lang w:bidi="en-US"/>
        </w:rPr>
        <w:t>a nivel local, regional y nacional por su excelente planificación, organización, preservación y uso racional</w:t>
      </w:r>
      <w:r>
        <w:rPr>
          <w:rFonts w:asciiTheme="minorHAnsi" w:eastAsiaTheme="minorEastAsia" w:hAnsiTheme="minorHAnsi" w:cstheme="minorBidi"/>
          <w:color w:val="auto"/>
          <w:sz w:val="22"/>
          <w:szCs w:val="22"/>
          <w:lang w:bidi="en-US"/>
        </w:rPr>
        <w:t xml:space="preserve"> de los recursos y capacidades,  para lograr dicho resultado se está apuntando a tener</w:t>
      </w:r>
      <w:r w:rsidRPr="009433B2">
        <w:rPr>
          <w:rFonts w:asciiTheme="minorHAnsi" w:eastAsiaTheme="minorEastAsia" w:hAnsiTheme="minorHAnsi" w:cstheme="minorBidi"/>
          <w:color w:val="auto"/>
          <w:sz w:val="22"/>
          <w:szCs w:val="22"/>
          <w:lang w:bidi="en-US"/>
        </w:rPr>
        <w:t xml:space="preserve"> un campus sostenible y eficiente en sus componente</w:t>
      </w:r>
      <w:r>
        <w:rPr>
          <w:rFonts w:asciiTheme="minorHAnsi" w:eastAsiaTheme="minorEastAsia" w:hAnsiTheme="minorHAnsi" w:cstheme="minorBidi"/>
          <w:color w:val="auto"/>
          <w:sz w:val="22"/>
          <w:szCs w:val="22"/>
          <w:lang w:bidi="en-US"/>
        </w:rPr>
        <w:t>s urbano, físico y ambiental, lo cual permitirá</w:t>
      </w:r>
      <w:r w:rsidRPr="009433B2">
        <w:rPr>
          <w:rFonts w:asciiTheme="minorHAnsi" w:eastAsiaTheme="minorEastAsia" w:hAnsiTheme="minorHAnsi" w:cstheme="minorBidi"/>
          <w:color w:val="auto"/>
          <w:sz w:val="22"/>
          <w:szCs w:val="22"/>
          <w:lang w:bidi="en-US"/>
        </w:rPr>
        <w:t xml:space="preserve"> una buena calidad de vida de la comunidad universitaria y la efectividad de los procesos. </w:t>
      </w:r>
    </w:p>
    <w:p w:rsidR="000D7B00" w:rsidRPr="009433B2" w:rsidRDefault="000D7B00" w:rsidP="000D7B00">
      <w:pPr>
        <w:pStyle w:val="Default"/>
        <w:spacing w:line="276" w:lineRule="auto"/>
        <w:jc w:val="both"/>
        <w:rPr>
          <w:rFonts w:asciiTheme="minorHAnsi" w:eastAsiaTheme="minorEastAsia" w:hAnsiTheme="minorHAnsi" w:cstheme="minorBidi"/>
          <w:color w:val="auto"/>
          <w:sz w:val="22"/>
          <w:szCs w:val="22"/>
          <w:lang w:bidi="en-US"/>
        </w:rPr>
      </w:pPr>
    </w:p>
    <w:p w:rsidR="000D7B00" w:rsidRDefault="000D7B00" w:rsidP="000D7B00">
      <w:pPr>
        <w:pStyle w:val="Default"/>
        <w:spacing w:line="276" w:lineRule="auto"/>
        <w:jc w:val="both"/>
        <w:rPr>
          <w:rFonts w:asciiTheme="minorHAnsi" w:eastAsiaTheme="minorEastAsia" w:hAnsiTheme="minorHAnsi" w:cstheme="minorBidi"/>
          <w:color w:val="auto"/>
          <w:sz w:val="22"/>
          <w:szCs w:val="22"/>
          <w:lang w:bidi="en-US"/>
        </w:rPr>
      </w:pPr>
      <w:r w:rsidRPr="009433B2">
        <w:rPr>
          <w:rFonts w:asciiTheme="minorHAnsi" w:eastAsiaTheme="minorEastAsia" w:hAnsiTheme="minorHAnsi" w:cstheme="minorBidi"/>
          <w:color w:val="auto"/>
          <w:sz w:val="22"/>
          <w:szCs w:val="22"/>
          <w:lang w:bidi="en-US"/>
        </w:rPr>
        <w:t>En este sentido, la Universidad desarrolla acciones en materia de la gestión y sostenibilidad ambiental, la gestión de sedes alternas</w:t>
      </w:r>
      <w:r>
        <w:rPr>
          <w:rFonts w:asciiTheme="minorHAnsi" w:eastAsiaTheme="minorEastAsia" w:hAnsiTheme="minorHAnsi" w:cstheme="minorBidi"/>
          <w:color w:val="auto"/>
          <w:sz w:val="22"/>
          <w:szCs w:val="22"/>
          <w:lang w:bidi="en-US"/>
        </w:rPr>
        <w:t xml:space="preserve"> </w:t>
      </w:r>
      <w:r w:rsidRPr="00AB47AB">
        <w:rPr>
          <w:rFonts w:asciiTheme="minorHAnsi" w:eastAsiaTheme="minorEastAsia" w:hAnsiTheme="minorHAnsi" w:cstheme="minorBidi"/>
          <w:color w:val="auto"/>
          <w:sz w:val="22"/>
          <w:szCs w:val="22"/>
          <w:lang w:bidi="en-US"/>
        </w:rPr>
        <w:t>como soporte físico para los procesos misionales de la Universidad</w:t>
      </w:r>
      <w:r w:rsidRPr="009433B2">
        <w:rPr>
          <w:rFonts w:asciiTheme="minorHAnsi" w:eastAsiaTheme="minorEastAsia" w:hAnsiTheme="minorHAnsi" w:cstheme="minorBidi"/>
          <w:color w:val="auto"/>
          <w:sz w:val="22"/>
          <w:szCs w:val="22"/>
          <w:lang w:bidi="en-US"/>
        </w:rPr>
        <w:t>, la gestión estratégica del campus universitario y la sostenibilida</w:t>
      </w:r>
      <w:r>
        <w:rPr>
          <w:rFonts w:asciiTheme="minorHAnsi" w:eastAsiaTheme="minorEastAsia" w:hAnsiTheme="minorHAnsi" w:cstheme="minorBidi"/>
          <w:color w:val="auto"/>
          <w:sz w:val="22"/>
          <w:szCs w:val="22"/>
          <w:lang w:bidi="en-US"/>
        </w:rPr>
        <w:t>d de la infraestructura física, resultados que se detallan a continuación:</w:t>
      </w:r>
    </w:p>
    <w:p w:rsidR="000D7B00" w:rsidRPr="00BA4BE6" w:rsidRDefault="000D7B00" w:rsidP="000D7B00">
      <w:pPr>
        <w:pStyle w:val="Default"/>
        <w:spacing w:line="276" w:lineRule="auto"/>
        <w:jc w:val="both"/>
        <w:rPr>
          <w:rFonts w:asciiTheme="minorHAnsi" w:eastAsiaTheme="minorEastAsia" w:hAnsiTheme="minorHAnsi" w:cstheme="minorBidi"/>
          <w:color w:val="auto"/>
          <w:sz w:val="22"/>
          <w:szCs w:val="22"/>
          <w:lang w:bidi="en-US"/>
        </w:rPr>
      </w:pPr>
    </w:p>
    <w:p w:rsidR="000D7B00" w:rsidRDefault="000D7B00" w:rsidP="00732E87">
      <w:pPr>
        <w:pStyle w:val="Ttulo3"/>
      </w:pPr>
      <w:bookmarkStart w:id="61" w:name="_Toc350238215"/>
      <w:bookmarkStart w:id="62" w:name="_Toc354671318"/>
      <w:r w:rsidRPr="004F7FB7">
        <w:t>Índice de crecimiento de la planta física</w:t>
      </w:r>
      <w:bookmarkEnd w:id="61"/>
      <w:bookmarkEnd w:id="62"/>
    </w:p>
    <w:p w:rsidR="00732E87" w:rsidRPr="00732E87" w:rsidRDefault="00732E87" w:rsidP="00732E87"/>
    <w:p w:rsidR="005678E7" w:rsidRPr="002B6AB7" w:rsidRDefault="005678E7" w:rsidP="005678E7">
      <w:pPr>
        <w:spacing w:line="276" w:lineRule="auto"/>
      </w:pPr>
      <w:r w:rsidRPr="002B6AB7">
        <w:t xml:space="preserve">Para la vigencia 2012 el índice de construcción se proyectó en </w:t>
      </w:r>
      <w:r w:rsidRPr="002B6AB7">
        <w:rPr>
          <w:b/>
        </w:rPr>
        <w:t>2.22</w:t>
      </w:r>
      <w:r w:rsidRPr="002B6AB7">
        <w:t xml:space="preserve"> con un resultado de </w:t>
      </w:r>
      <w:r w:rsidRPr="002B6AB7">
        <w:rPr>
          <w:b/>
        </w:rPr>
        <w:t>2.27</w:t>
      </w:r>
      <w:r w:rsidRPr="002B6AB7">
        <w:t>; proyección correspondiente  a la construcción del módulo interdisciplinario tercera etapa</w:t>
      </w:r>
      <w:r w:rsidRPr="002B6AB7">
        <w:rPr>
          <w:rStyle w:val="Refdenotaalpie"/>
        </w:rPr>
        <w:footnoteReference w:id="3"/>
      </w:r>
      <w:r w:rsidRPr="002B6AB7">
        <w:t xml:space="preserve">, edificación que tiene un área construida de </w:t>
      </w:r>
      <w:r w:rsidRPr="002B6AB7">
        <w:rPr>
          <w:b/>
        </w:rPr>
        <w:t>2.951 m</w:t>
      </w:r>
      <w:r w:rsidRPr="002B6AB7">
        <w:rPr>
          <w:b/>
          <w:vertAlign w:val="superscript"/>
        </w:rPr>
        <w:t>2</w:t>
      </w:r>
      <w:r w:rsidRPr="002B6AB7">
        <w:t>, así mis</w:t>
      </w:r>
      <w:r>
        <w:t>m</w:t>
      </w:r>
      <w:r w:rsidRPr="002B6AB7">
        <w:t xml:space="preserve">o se actualizaron las áreas de los edificios existentes en el campus universitario aumentando el área construida en </w:t>
      </w:r>
      <w:r w:rsidRPr="00BB510C">
        <w:rPr>
          <w:b/>
        </w:rPr>
        <w:t>2667,83</w:t>
      </w:r>
      <w:r w:rsidRPr="002B6AB7">
        <w:rPr>
          <w:b/>
        </w:rPr>
        <w:t xml:space="preserve"> m</w:t>
      </w:r>
      <w:r>
        <w:rPr>
          <w:b/>
          <w:vertAlign w:val="superscript"/>
        </w:rPr>
        <w:t>2</w:t>
      </w:r>
      <w:r w:rsidRPr="002B6AB7">
        <w:t xml:space="preserve"> </w:t>
      </w:r>
      <w:r>
        <w:t>.</w:t>
      </w:r>
      <w:r w:rsidRPr="002B6AB7">
        <w:t xml:space="preserve">El área construida de la Universidad pasó </w:t>
      </w:r>
      <w:r w:rsidRPr="002B6AB7">
        <w:rPr>
          <w:b/>
        </w:rPr>
        <w:t>63.691,34 m</w:t>
      </w:r>
      <w:r w:rsidRPr="002B6AB7">
        <w:rPr>
          <w:b/>
          <w:vertAlign w:val="superscript"/>
        </w:rPr>
        <w:t>2</w:t>
      </w:r>
      <w:r w:rsidRPr="002B6AB7">
        <w:t xml:space="preserve">, en el 2011 a </w:t>
      </w:r>
      <w:r w:rsidRPr="002B6AB7">
        <w:rPr>
          <w:b/>
        </w:rPr>
        <w:t>69.570,17 m</w:t>
      </w:r>
      <w:r w:rsidRPr="002B6AB7">
        <w:rPr>
          <w:b/>
          <w:vertAlign w:val="superscript"/>
        </w:rPr>
        <w:t xml:space="preserve">2 </w:t>
      </w:r>
      <w:r w:rsidRPr="002B6AB7">
        <w:t xml:space="preserve">generándose un incremento del </w:t>
      </w:r>
      <w:r>
        <w:rPr>
          <w:b/>
        </w:rPr>
        <w:t>9,23</w:t>
      </w:r>
      <w:r w:rsidRPr="002B6AB7">
        <w:rPr>
          <w:b/>
        </w:rPr>
        <w:t>%</w:t>
      </w:r>
      <w:r w:rsidRPr="002B6AB7">
        <w:t>.</w:t>
      </w:r>
    </w:p>
    <w:p w:rsidR="000D7B00" w:rsidRPr="008A4A11" w:rsidRDefault="005678E7" w:rsidP="005678E7">
      <w:r w:rsidRPr="0015148A">
        <w:rPr>
          <w:rFonts w:asciiTheme="minorHAnsi" w:hAnsiTheme="minorHAnsi"/>
        </w:rPr>
        <w:t>Es importante mencionar en este componente los estudios que se adelantan para la definición del proyecto del Centro Multipropósito en su primera etapa de definición de esquema básico arquitectónico. En gestión de recursos, se logró la aprobación por parte de Planeación Nacional de $2.500.000.000 anuales para planta física.</w:t>
      </w:r>
    </w:p>
    <w:p w:rsidR="000D7B00" w:rsidRPr="0055674A" w:rsidRDefault="000D7B00" w:rsidP="000D7B00">
      <w:pPr>
        <w:jc w:val="center"/>
        <w:rPr>
          <w:b/>
          <w:sz w:val="20"/>
        </w:rPr>
      </w:pPr>
      <w:r w:rsidRPr="008A4A11">
        <w:rPr>
          <w:b/>
          <w:sz w:val="20"/>
        </w:rPr>
        <w:t>Ín</w:t>
      </w:r>
      <w:r>
        <w:rPr>
          <w:b/>
          <w:sz w:val="20"/>
        </w:rPr>
        <w:t>dice de construcción 2009 – 2012</w:t>
      </w:r>
      <w:r w:rsidRPr="0069072F">
        <w:rPr>
          <w:noProof/>
          <w:lang w:val="es-CO" w:eastAsia="es-CO"/>
        </w:rPr>
        <w:drawing>
          <wp:inline distT="0" distB="0" distL="0" distR="0">
            <wp:extent cx="5562600" cy="2038350"/>
            <wp:effectExtent l="0" t="0" r="0" b="0"/>
            <wp:docPr id="49" name="1 Gráfico"/>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0D7B00" w:rsidRPr="004D4639" w:rsidRDefault="000D7B00" w:rsidP="000D7B00">
      <w:pPr>
        <w:pStyle w:val="Epgrafe"/>
        <w:keepNext/>
        <w:rPr>
          <w:color w:val="000000" w:themeColor="text1"/>
        </w:rPr>
      </w:pPr>
      <w:r w:rsidRPr="004D4639">
        <w:rPr>
          <w:color w:val="000000" w:themeColor="text1"/>
        </w:rPr>
        <w:t xml:space="preserve">Tabla </w:t>
      </w:r>
      <w:r w:rsidR="00480CE9" w:rsidRPr="004D4639">
        <w:rPr>
          <w:color w:val="000000" w:themeColor="text1"/>
        </w:rPr>
        <w:fldChar w:fldCharType="begin"/>
      </w:r>
      <w:r w:rsidRPr="004D4639">
        <w:rPr>
          <w:color w:val="000000" w:themeColor="text1"/>
        </w:rPr>
        <w:instrText xml:space="preserve"> SEQ Tabla \* ARABIC </w:instrText>
      </w:r>
      <w:r w:rsidR="00480CE9" w:rsidRPr="004D4639">
        <w:rPr>
          <w:color w:val="000000" w:themeColor="text1"/>
        </w:rPr>
        <w:fldChar w:fldCharType="separate"/>
      </w:r>
      <w:r w:rsidR="00020665">
        <w:rPr>
          <w:noProof/>
          <w:color w:val="000000" w:themeColor="text1"/>
        </w:rPr>
        <w:t>1</w:t>
      </w:r>
      <w:r w:rsidR="00480CE9" w:rsidRPr="004D4639">
        <w:rPr>
          <w:color w:val="000000" w:themeColor="text1"/>
        </w:rPr>
        <w:fldChar w:fldCharType="end"/>
      </w:r>
      <w:r w:rsidRPr="004D4639">
        <w:rPr>
          <w:color w:val="000000" w:themeColor="text1"/>
        </w:rPr>
        <w:t>. Indicadores de Planta Física</w:t>
      </w:r>
    </w:p>
    <w:tbl>
      <w:tblPr>
        <w:tblStyle w:val="Cuadrculaclara-nfasis13"/>
        <w:tblW w:w="4539" w:type="pct"/>
        <w:jc w:val="center"/>
        <w:tblLook w:val="04A0" w:firstRow="1" w:lastRow="0" w:firstColumn="1" w:lastColumn="0" w:noHBand="0" w:noVBand="1"/>
      </w:tblPr>
      <w:tblGrid>
        <w:gridCol w:w="4533"/>
        <w:gridCol w:w="1917"/>
        <w:gridCol w:w="1769"/>
      </w:tblGrid>
      <w:tr w:rsidR="005678E7" w:rsidRPr="0015148A" w:rsidTr="005678E7">
        <w:trPr>
          <w:cnfStyle w:val="100000000000" w:firstRow="1" w:lastRow="0" w:firstColumn="0" w:lastColumn="0" w:oddVBand="0" w:evenVBand="0" w:oddHBand="0" w:evenHBand="0" w:firstRowFirstColumn="0" w:firstRowLastColumn="0" w:lastRowFirstColumn="0" w:lastRowLastColumn="0"/>
          <w:trHeight w:val="194"/>
          <w:jc w:val="center"/>
        </w:trPr>
        <w:tc>
          <w:tcPr>
            <w:cnfStyle w:val="001000000000" w:firstRow="0" w:lastRow="0" w:firstColumn="1" w:lastColumn="0" w:oddVBand="0" w:evenVBand="0" w:oddHBand="0" w:evenHBand="0" w:firstRowFirstColumn="0" w:firstRowLastColumn="0" w:lastRowFirstColumn="0" w:lastRowLastColumn="0"/>
            <w:tcW w:w="2758" w:type="pct"/>
            <w:tcBorders>
              <w:top w:val="single" w:sz="4" w:space="0" w:color="auto"/>
              <w:left w:val="single" w:sz="4" w:space="0" w:color="auto"/>
              <w:bottom w:val="single" w:sz="4" w:space="0" w:color="auto"/>
              <w:right w:val="single" w:sz="4" w:space="0" w:color="auto"/>
            </w:tcBorders>
            <w:shd w:val="clear" w:color="auto" w:fill="31849B" w:themeFill="accent5" w:themeFillShade="BF"/>
            <w:hideMark/>
          </w:tcPr>
          <w:p w:rsidR="005678E7" w:rsidRPr="00091226" w:rsidRDefault="005678E7" w:rsidP="005678E7">
            <w:pPr>
              <w:pStyle w:val="Sinespaciado"/>
              <w:spacing w:line="276" w:lineRule="auto"/>
              <w:jc w:val="center"/>
              <w:rPr>
                <w:rFonts w:asciiTheme="minorHAnsi" w:hAnsiTheme="minorHAnsi"/>
                <w:color w:val="FFFFFF" w:themeColor="background1"/>
                <w:sz w:val="18"/>
                <w:szCs w:val="18"/>
              </w:rPr>
            </w:pPr>
            <w:r w:rsidRPr="00091226">
              <w:rPr>
                <w:rFonts w:asciiTheme="minorHAnsi" w:hAnsiTheme="minorHAnsi"/>
                <w:color w:val="FFFFFF" w:themeColor="background1"/>
                <w:sz w:val="18"/>
                <w:szCs w:val="18"/>
              </w:rPr>
              <w:t>DESCRIPCIÓN</w:t>
            </w:r>
          </w:p>
        </w:tc>
        <w:tc>
          <w:tcPr>
            <w:tcW w:w="1166" w:type="pct"/>
            <w:tcBorders>
              <w:top w:val="single" w:sz="4" w:space="0" w:color="auto"/>
              <w:left w:val="single" w:sz="4" w:space="0" w:color="auto"/>
              <w:bottom w:val="single" w:sz="4" w:space="0" w:color="auto"/>
              <w:right w:val="single" w:sz="4" w:space="0" w:color="auto"/>
            </w:tcBorders>
            <w:shd w:val="clear" w:color="auto" w:fill="31849B" w:themeFill="accent5" w:themeFillShade="BF"/>
            <w:hideMark/>
          </w:tcPr>
          <w:p w:rsidR="005678E7" w:rsidRPr="00091226" w:rsidRDefault="005678E7" w:rsidP="005678E7">
            <w:pPr>
              <w:pStyle w:val="Sinespaciado"/>
              <w:spacing w:line="276" w:lineRule="auto"/>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olor w:val="FFFFFF" w:themeColor="background1"/>
                <w:sz w:val="18"/>
                <w:szCs w:val="18"/>
              </w:rPr>
            </w:pPr>
            <w:r w:rsidRPr="00091226">
              <w:rPr>
                <w:rFonts w:asciiTheme="minorHAnsi" w:hAnsiTheme="minorHAnsi"/>
                <w:color w:val="FFFFFF" w:themeColor="background1"/>
                <w:sz w:val="18"/>
                <w:szCs w:val="18"/>
              </w:rPr>
              <w:t>AÑO 2000</w:t>
            </w:r>
          </w:p>
        </w:tc>
        <w:tc>
          <w:tcPr>
            <w:tcW w:w="1076" w:type="pct"/>
            <w:tcBorders>
              <w:top w:val="single" w:sz="4" w:space="0" w:color="auto"/>
              <w:left w:val="single" w:sz="4" w:space="0" w:color="auto"/>
              <w:bottom w:val="single" w:sz="4" w:space="0" w:color="auto"/>
              <w:right w:val="single" w:sz="4" w:space="0" w:color="auto"/>
            </w:tcBorders>
            <w:shd w:val="clear" w:color="auto" w:fill="31849B" w:themeFill="accent5" w:themeFillShade="BF"/>
            <w:hideMark/>
          </w:tcPr>
          <w:p w:rsidR="005678E7" w:rsidRPr="00091226" w:rsidRDefault="005678E7" w:rsidP="005678E7">
            <w:pPr>
              <w:pStyle w:val="Sinespaciado"/>
              <w:spacing w:line="276" w:lineRule="auto"/>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olor w:val="FFFFFF" w:themeColor="background1"/>
                <w:sz w:val="18"/>
                <w:szCs w:val="18"/>
              </w:rPr>
            </w:pPr>
            <w:r w:rsidRPr="00091226">
              <w:rPr>
                <w:rFonts w:asciiTheme="minorHAnsi" w:hAnsiTheme="minorHAnsi"/>
                <w:color w:val="FFFFFF" w:themeColor="background1"/>
                <w:sz w:val="18"/>
                <w:szCs w:val="18"/>
              </w:rPr>
              <w:t>AÑO 2012</w:t>
            </w:r>
          </w:p>
        </w:tc>
      </w:tr>
      <w:tr w:rsidR="005678E7" w:rsidRPr="0015148A" w:rsidTr="005678E7">
        <w:trPr>
          <w:cnfStyle w:val="000000100000" w:firstRow="0" w:lastRow="0" w:firstColumn="0" w:lastColumn="0" w:oddVBand="0" w:evenVBand="0" w:oddHBand="1" w:evenHBand="0" w:firstRowFirstColumn="0" w:firstRowLastColumn="0" w:lastRowFirstColumn="0" w:lastRowLastColumn="0"/>
          <w:trHeight w:val="357"/>
          <w:jc w:val="center"/>
        </w:trPr>
        <w:tc>
          <w:tcPr>
            <w:cnfStyle w:val="001000000000" w:firstRow="0" w:lastRow="0" w:firstColumn="1" w:lastColumn="0" w:oddVBand="0" w:evenVBand="0" w:oddHBand="0" w:evenHBand="0" w:firstRowFirstColumn="0" w:firstRowLastColumn="0" w:lastRowFirstColumn="0" w:lastRowLastColumn="0"/>
            <w:tcW w:w="27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678E7" w:rsidRPr="0015148A" w:rsidRDefault="005678E7" w:rsidP="005678E7">
            <w:pPr>
              <w:pStyle w:val="Sinespaciado"/>
              <w:spacing w:line="276" w:lineRule="auto"/>
              <w:jc w:val="center"/>
              <w:rPr>
                <w:rFonts w:asciiTheme="minorHAnsi" w:hAnsiTheme="minorHAnsi"/>
                <w:sz w:val="18"/>
                <w:szCs w:val="18"/>
              </w:rPr>
            </w:pPr>
            <w:r w:rsidRPr="0015148A">
              <w:rPr>
                <w:rFonts w:asciiTheme="minorHAnsi" w:hAnsiTheme="minorHAnsi"/>
                <w:sz w:val="18"/>
                <w:szCs w:val="18"/>
              </w:rPr>
              <w:t>Área total del campus (m</w:t>
            </w:r>
            <w:r w:rsidRPr="0015148A">
              <w:rPr>
                <w:rFonts w:asciiTheme="minorHAnsi" w:hAnsiTheme="minorHAnsi"/>
                <w:sz w:val="18"/>
                <w:szCs w:val="18"/>
                <w:vertAlign w:val="superscript"/>
              </w:rPr>
              <w:t>2</w:t>
            </w:r>
            <w:r w:rsidRPr="0015148A">
              <w:rPr>
                <w:rFonts w:asciiTheme="minorHAnsi" w:hAnsiTheme="minorHAnsi"/>
                <w:sz w:val="18"/>
                <w:szCs w:val="18"/>
              </w:rPr>
              <w:t>)</w:t>
            </w:r>
          </w:p>
        </w:tc>
        <w:tc>
          <w:tcPr>
            <w:tcW w:w="116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678E7" w:rsidRPr="0015148A" w:rsidRDefault="005678E7" w:rsidP="005678E7">
            <w:pPr>
              <w:pStyle w:val="Sinespaciado"/>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15148A">
              <w:rPr>
                <w:rFonts w:asciiTheme="minorHAnsi" w:hAnsiTheme="minorHAnsi"/>
                <w:sz w:val="18"/>
                <w:szCs w:val="18"/>
              </w:rPr>
              <w:t>447.522,67</w:t>
            </w:r>
          </w:p>
        </w:tc>
        <w:tc>
          <w:tcPr>
            <w:tcW w:w="107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678E7" w:rsidRPr="0015148A" w:rsidRDefault="005678E7" w:rsidP="005678E7">
            <w:pPr>
              <w:pStyle w:val="Sinespaciado"/>
              <w:spacing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highlight w:val="yellow"/>
              </w:rPr>
            </w:pPr>
            <w:r w:rsidRPr="0015148A">
              <w:rPr>
                <w:rFonts w:asciiTheme="minorHAnsi" w:hAnsiTheme="minorHAnsi"/>
                <w:sz w:val="18"/>
                <w:szCs w:val="18"/>
              </w:rPr>
              <w:t>505.214,00</w:t>
            </w:r>
          </w:p>
        </w:tc>
      </w:tr>
      <w:tr w:rsidR="005678E7" w:rsidRPr="0015148A" w:rsidTr="005678E7">
        <w:trPr>
          <w:cnfStyle w:val="000000010000" w:firstRow="0" w:lastRow="0" w:firstColumn="0" w:lastColumn="0" w:oddVBand="0" w:evenVBand="0" w:oddHBand="0" w:evenHBand="1" w:firstRowFirstColumn="0" w:firstRowLastColumn="0" w:lastRowFirstColumn="0" w:lastRowLastColumn="0"/>
          <w:trHeight w:val="402"/>
          <w:jc w:val="center"/>
        </w:trPr>
        <w:tc>
          <w:tcPr>
            <w:cnfStyle w:val="001000000000" w:firstRow="0" w:lastRow="0" w:firstColumn="1" w:lastColumn="0" w:oddVBand="0" w:evenVBand="0" w:oddHBand="0" w:evenHBand="0" w:firstRowFirstColumn="0" w:firstRowLastColumn="0" w:lastRowFirstColumn="0" w:lastRowLastColumn="0"/>
            <w:tcW w:w="27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678E7" w:rsidRPr="0015148A" w:rsidRDefault="005678E7" w:rsidP="005678E7">
            <w:pPr>
              <w:pStyle w:val="Sinespaciado"/>
              <w:spacing w:line="276" w:lineRule="auto"/>
              <w:jc w:val="center"/>
              <w:rPr>
                <w:rFonts w:asciiTheme="minorHAnsi" w:hAnsiTheme="minorHAnsi"/>
                <w:sz w:val="18"/>
                <w:szCs w:val="18"/>
              </w:rPr>
            </w:pPr>
            <w:r w:rsidRPr="0015148A">
              <w:rPr>
                <w:rFonts w:asciiTheme="minorHAnsi" w:hAnsiTheme="minorHAnsi"/>
                <w:sz w:val="18"/>
                <w:szCs w:val="18"/>
              </w:rPr>
              <w:t>Área construida (m</w:t>
            </w:r>
            <w:r w:rsidRPr="0015148A">
              <w:rPr>
                <w:rFonts w:asciiTheme="minorHAnsi" w:hAnsiTheme="minorHAnsi"/>
                <w:sz w:val="18"/>
                <w:szCs w:val="18"/>
                <w:vertAlign w:val="superscript"/>
              </w:rPr>
              <w:t>2</w:t>
            </w:r>
            <w:r w:rsidRPr="0015148A">
              <w:rPr>
                <w:rFonts w:asciiTheme="minorHAnsi" w:hAnsiTheme="minorHAnsi"/>
                <w:sz w:val="18"/>
                <w:szCs w:val="18"/>
              </w:rPr>
              <w:t>)</w:t>
            </w:r>
          </w:p>
        </w:tc>
        <w:tc>
          <w:tcPr>
            <w:tcW w:w="116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678E7" w:rsidRPr="0015148A" w:rsidRDefault="005678E7" w:rsidP="005678E7">
            <w:pPr>
              <w:pStyle w:val="Sinespaciado"/>
              <w:spacing w:line="276" w:lineRule="auto"/>
              <w:jc w:val="center"/>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15148A">
              <w:rPr>
                <w:rFonts w:asciiTheme="minorHAnsi" w:hAnsiTheme="minorHAnsi"/>
                <w:sz w:val="18"/>
                <w:szCs w:val="18"/>
              </w:rPr>
              <w:t>42.379,36</w:t>
            </w:r>
          </w:p>
        </w:tc>
        <w:tc>
          <w:tcPr>
            <w:tcW w:w="107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678E7" w:rsidRPr="0015148A" w:rsidRDefault="005678E7" w:rsidP="005678E7">
            <w:pPr>
              <w:pStyle w:val="Sinespaciado"/>
              <w:spacing w:line="276" w:lineRule="auto"/>
              <w:jc w:val="center"/>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highlight w:val="yellow"/>
              </w:rPr>
            </w:pPr>
            <w:r w:rsidRPr="0015148A">
              <w:rPr>
                <w:rFonts w:asciiTheme="minorHAnsi" w:hAnsiTheme="minorHAnsi"/>
                <w:sz w:val="18"/>
                <w:szCs w:val="18"/>
              </w:rPr>
              <w:t>69.570,17</w:t>
            </w:r>
          </w:p>
        </w:tc>
      </w:tr>
      <w:tr w:rsidR="005678E7" w:rsidRPr="0015148A" w:rsidTr="005678E7">
        <w:trPr>
          <w:cnfStyle w:val="000000100000" w:firstRow="0" w:lastRow="0" w:firstColumn="0" w:lastColumn="0" w:oddVBand="0" w:evenVBand="0" w:oddHBand="1" w:evenHBand="0" w:firstRowFirstColumn="0" w:firstRowLastColumn="0" w:lastRowFirstColumn="0" w:lastRowLastColumn="0"/>
          <w:trHeight w:val="184"/>
          <w:jc w:val="center"/>
        </w:trPr>
        <w:tc>
          <w:tcPr>
            <w:cnfStyle w:val="001000000000" w:firstRow="0" w:lastRow="0" w:firstColumn="1" w:lastColumn="0" w:oddVBand="0" w:evenVBand="0" w:oddHBand="0" w:evenHBand="0" w:firstRowFirstColumn="0" w:firstRowLastColumn="0" w:lastRowFirstColumn="0" w:lastRowLastColumn="0"/>
            <w:tcW w:w="5000" w:type="pct"/>
            <w:gridSpan w:val="3"/>
            <w:tcBorders>
              <w:top w:val="single" w:sz="4" w:space="0" w:color="auto"/>
              <w:left w:val="single" w:sz="4" w:space="0" w:color="auto"/>
              <w:bottom w:val="single" w:sz="4" w:space="0" w:color="auto"/>
              <w:right w:val="single" w:sz="4" w:space="0" w:color="auto"/>
            </w:tcBorders>
            <w:shd w:val="clear" w:color="auto" w:fill="31849B" w:themeFill="accent5" w:themeFillShade="BF"/>
            <w:hideMark/>
          </w:tcPr>
          <w:p w:rsidR="005678E7" w:rsidRPr="00091226" w:rsidRDefault="005678E7" w:rsidP="005678E7">
            <w:pPr>
              <w:pStyle w:val="Sinespaciado"/>
              <w:spacing w:line="276" w:lineRule="auto"/>
              <w:jc w:val="center"/>
              <w:rPr>
                <w:rFonts w:asciiTheme="minorHAnsi" w:hAnsiTheme="minorHAnsi"/>
                <w:color w:val="FFFFFF" w:themeColor="background1"/>
                <w:sz w:val="18"/>
                <w:szCs w:val="18"/>
                <w:highlight w:val="yellow"/>
              </w:rPr>
            </w:pPr>
            <w:r w:rsidRPr="00091226">
              <w:rPr>
                <w:rFonts w:asciiTheme="minorHAnsi" w:hAnsiTheme="minorHAnsi"/>
                <w:color w:val="FFFFFF" w:themeColor="background1"/>
                <w:sz w:val="18"/>
                <w:szCs w:val="18"/>
              </w:rPr>
              <w:t>PROYECTOS EN PROCESO (pesos)</w:t>
            </w:r>
          </w:p>
        </w:tc>
      </w:tr>
      <w:tr w:rsidR="005678E7" w:rsidRPr="0015148A" w:rsidTr="005678E7">
        <w:trPr>
          <w:cnfStyle w:val="000000010000" w:firstRow="0" w:lastRow="0" w:firstColumn="0" w:lastColumn="0" w:oddVBand="0" w:evenVBand="0" w:oddHBand="0" w:evenHBand="1" w:firstRowFirstColumn="0" w:firstRowLastColumn="0" w:lastRowFirstColumn="0" w:lastRowLastColumn="0"/>
          <w:trHeight w:val="263"/>
          <w:jc w:val="center"/>
        </w:trPr>
        <w:tc>
          <w:tcPr>
            <w:cnfStyle w:val="001000000000" w:firstRow="0" w:lastRow="0" w:firstColumn="1" w:lastColumn="0" w:oddVBand="0" w:evenVBand="0" w:oddHBand="0" w:evenHBand="0" w:firstRowFirstColumn="0" w:firstRowLastColumn="0" w:lastRowFirstColumn="0" w:lastRowLastColumn="0"/>
            <w:tcW w:w="27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678E7" w:rsidRDefault="005678E7" w:rsidP="005678E7">
            <w:pPr>
              <w:spacing w:after="0"/>
              <w:jc w:val="left"/>
              <w:rPr>
                <w:rFonts w:asciiTheme="minorHAnsi" w:hAnsiTheme="minorHAnsi"/>
                <w:sz w:val="18"/>
                <w:szCs w:val="18"/>
              </w:rPr>
            </w:pPr>
            <w:r w:rsidRPr="0015148A">
              <w:rPr>
                <w:rFonts w:asciiTheme="minorHAnsi" w:hAnsiTheme="minorHAnsi"/>
                <w:sz w:val="18"/>
                <w:szCs w:val="18"/>
              </w:rPr>
              <w:lastRenderedPageBreak/>
              <w:t>Construcción Módulo Interdisciplinario etapa III</w:t>
            </w:r>
          </w:p>
          <w:p w:rsidR="005678E7" w:rsidRDefault="005678E7" w:rsidP="005678E7">
            <w:pPr>
              <w:spacing w:after="0"/>
              <w:jc w:val="left"/>
              <w:rPr>
                <w:rFonts w:asciiTheme="minorHAnsi" w:hAnsiTheme="minorHAnsi"/>
                <w:sz w:val="18"/>
                <w:szCs w:val="18"/>
              </w:rPr>
            </w:pPr>
          </w:p>
          <w:p w:rsidR="005678E7" w:rsidRPr="00D22B95" w:rsidRDefault="005678E7" w:rsidP="005678E7">
            <w:pPr>
              <w:pStyle w:val="Prrafodelista"/>
              <w:numPr>
                <w:ilvl w:val="0"/>
                <w:numId w:val="8"/>
              </w:numPr>
              <w:spacing w:after="0"/>
              <w:jc w:val="left"/>
              <w:rPr>
                <w:b w:val="0"/>
                <w:sz w:val="18"/>
                <w:szCs w:val="18"/>
              </w:rPr>
            </w:pPr>
            <w:r w:rsidRPr="00D22B95">
              <w:rPr>
                <w:b w:val="0"/>
                <w:sz w:val="18"/>
                <w:szCs w:val="18"/>
              </w:rPr>
              <w:t>Obra civil</w:t>
            </w:r>
          </w:p>
          <w:p w:rsidR="005678E7" w:rsidRPr="00D22B95" w:rsidRDefault="005678E7" w:rsidP="005678E7">
            <w:pPr>
              <w:pStyle w:val="Prrafodelista"/>
              <w:numPr>
                <w:ilvl w:val="0"/>
                <w:numId w:val="8"/>
              </w:numPr>
              <w:spacing w:after="0"/>
              <w:jc w:val="left"/>
              <w:rPr>
                <w:b w:val="0"/>
                <w:sz w:val="18"/>
                <w:szCs w:val="18"/>
              </w:rPr>
            </w:pPr>
            <w:r w:rsidRPr="00D22B95">
              <w:rPr>
                <w:b w:val="0"/>
                <w:sz w:val="18"/>
                <w:szCs w:val="18"/>
              </w:rPr>
              <w:t>Obra eléctrica y de datos</w:t>
            </w:r>
          </w:p>
          <w:p w:rsidR="005678E7" w:rsidRPr="00D22B95" w:rsidRDefault="005678E7" w:rsidP="005678E7">
            <w:pPr>
              <w:pStyle w:val="Prrafodelista"/>
              <w:numPr>
                <w:ilvl w:val="0"/>
                <w:numId w:val="8"/>
              </w:numPr>
              <w:spacing w:after="0"/>
              <w:jc w:val="left"/>
              <w:rPr>
                <w:b w:val="0"/>
                <w:sz w:val="18"/>
                <w:szCs w:val="18"/>
              </w:rPr>
            </w:pPr>
            <w:r w:rsidRPr="00D22B95">
              <w:rPr>
                <w:b w:val="0"/>
                <w:sz w:val="18"/>
                <w:szCs w:val="18"/>
              </w:rPr>
              <w:t>Suministro de materiales eléctricos</w:t>
            </w:r>
          </w:p>
          <w:p w:rsidR="005678E7" w:rsidRPr="00D22B95" w:rsidRDefault="005678E7" w:rsidP="005678E7">
            <w:pPr>
              <w:pStyle w:val="Prrafodelista"/>
              <w:spacing w:after="0"/>
              <w:jc w:val="left"/>
              <w:rPr>
                <w:sz w:val="18"/>
                <w:szCs w:val="18"/>
              </w:rPr>
            </w:pPr>
          </w:p>
        </w:tc>
        <w:tc>
          <w:tcPr>
            <w:tcW w:w="2242"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5678E7" w:rsidRPr="00D22B95" w:rsidRDefault="005678E7" w:rsidP="005678E7">
            <w:pPr>
              <w:spacing w:after="0"/>
              <w:jc w:val="center"/>
              <w:cnfStyle w:val="000000010000" w:firstRow="0" w:lastRow="0" w:firstColumn="0" w:lastColumn="0" w:oddVBand="0" w:evenVBand="0" w:oddHBand="0" w:evenHBand="1" w:firstRowFirstColumn="0" w:firstRowLastColumn="0" w:lastRowFirstColumn="0" w:lastRowLastColumn="0"/>
              <w:rPr>
                <w:rFonts w:asciiTheme="minorHAnsi" w:hAnsiTheme="minorHAnsi"/>
                <w:b/>
                <w:color w:val="000000"/>
                <w:szCs w:val="18"/>
              </w:rPr>
            </w:pPr>
            <w:r w:rsidRPr="00D22B95">
              <w:rPr>
                <w:rFonts w:asciiTheme="minorHAnsi" w:hAnsiTheme="minorHAnsi"/>
                <w:b/>
                <w:color w:val="000000"/>
                <w:szCs w:val="18"/>
              </w:rPr>
              <w:t xml:space="preserve">$               </w:t>
            </w:r>
            <w:r w:rsidRPr="00A955F0">
              <w:rPr>
                <w:b/>
                <w:color w:val="000000"/>
                <w:szCs w:val="18"/>
              </w:rPr>
              <w:t>3.155.343.443</w:t>
            </w:r>
          </w:p>
        </w:tc>
      </w:tr>
      <w:tr w:rsidR="005678E7" w:rsidRPr="0015148A" w:rsidTr="005678E7">
        <w:trPr>
          <w:cnfStyle w:val="000000100000" w:firstRow="0" w:lastRow="0" w:firstColumn="0" w:lastColumn="0" w:oddVBand="0" w:evenVBand="0" w:oddHBand="1" w:evenHBand="0" w:firstRowFirstColumn="0" w:firstRowLastColumn="0" w:lastRowFirstColumn="0" w:lastRowLastColumn="0"/>
          <w:trHeight w:val="1062"/>
          <w:jc w:val="center"/>
        </w:trPr>
        <w:tc>
          <w:tcPr>
            <w:cnfStyle w:val="001000000000" w:firstRow="0" w:lastRow="0" w:firstColumn="1" w:lastColumn="0" w:oddVBand="0" w:evenVBand="0" w:oddHBand="0" w:evenHBand="0" w:firstRowFirstColumn="0" w:firstRowLastColumn="0" w:lastRowFirstColumn="0" w:lastRowLastColumn="0"/>
            <w:tcW w:w="27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678E7" w:rsidRDefault="005678E7" w:rsidP="005678E7">
            <w:pPr>
              <w:spacing w:after="0"/>
              <w:jc w:val="left"/>
              <w:rPr>
                <w:rFonts w:asciiTheme="minorHAnsi" w:hAnsiTheme="minorHAnsi"/>
                <w:sz w:val="18"/>
                <w:szCs w:val="18"/>
              </w:rPr>
            </w:pPr>
            <w:r w:rsidRPr="0015148A">
              <w:rPr>
                <w:rFonts w:asciiTheme="minorHAnsi" w:hAnsiTheme="minorHAnsi"/>
                <w:sz w:val="18"/>
                <w:szCs w:val="18"/>
              </w:rPr>
              <w:t>Centro Multipropósito</w:t>
            </w:r>
          </w:p>
          <w:p w:rsidR="005678E7" w:rsidRDefault="005678E7" w:rsidP="005678E7">
            <w:pPr>
              <w:spacing w:after="0"/>
              <w:jc w:val="left"/>
              <w:rPr>
                <w:rFonts w:asciiTheme="minorHAnsi" w:hAnsiTheme="minorHAnsi"/>
                <w:sz w:val="18"/>
                <w:szCs w:val="18"/>
              </w:rPr>
            </w:pPr>
          </w:p>
          <w:p w:rsidR="005678E7" w:rsidRPr="00D22B95" w:rsidRDefault="005678E7" w:rsidP="005678E7">
            <w:pPr>
              <w:spacing w:after="0"/>
              <w:jc w:val="left"/>
              <w:rPr>
                <w:rFonts w:asciiTheme="minorHAnsi" w:hAnsiTheme="minorHAnsi"/>
                <w:b w:val="0"/>
                <w:sz w:val="18"/>
                <w:szCs w:val="18"/>
              </w:rPr>
            </w:pPr>
            <w:r w:rsidRPr="00D22B95">
              <w:rPr>
                <w:rFonts w:asciiTheme="minorHAnsi" w:hAnsiTheme="minorHAnsi"/>
                <w:b w:val="0"/>
                <w:sz w:val="18"/>
                <w:szCs w:val="18"/>
              </w:rPr>
              <w:t>Elaboración de esquema básico de diseño arquitectónico del centro multipropósito</w:t>
            </w:r>
          </w:p>
        </w:tc>
        <w:tc>
          <w:tcPr>
            <w:tcW w:w="2242"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5678E7" w:rsidRPr="00D22B95" w:rsidRDefault="005678E7" w:rsidP="005678E7">
            <w:pPr>
              <w:spacing w:after="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b/>
                <w:color w:val="000000"/>
                <w:szCs w:val="18"/>
              </w:rPr>
            </w:pPr>
            <w:r w:rsidRPr="00D22B95">
              <w:rPr>
                <w:rFonts w:asciiTheme="minorHAnsi" w:hAnsiTheme="minorHAnsi"/>
                <w:b/>
                <w:color w:val="000000"/>
                <w:szCs w:val="18"/>
              </w:rPr>
              <w:t>$                     56.200.000</w:t>
            </w:r>
          </w:p>
        </w:tc>
      </w:tr>
      <w:tr w:rsidR="005678E7" w:rsidRPr="0015148A" w:rsidTr="005678E7">
        <w:trPr>
          <w:cnfStyle w:val="000000010000" w:firstRow="0" w:lastRow="0" w:firstColumn="0" w:lastColumn="0" w:oddVBand="0" w:evenVBand="0" w:oddHBand="0" w:evenHBand="1" w:firstRowFirstColumn="0" w:firstRowLastColumn="0" w:lastRowFirstColumn="0" w:lastRowLastColumn="0"/>
          <w:trHeight w:val="1036"/>
          <w:jc w:val="center"/>
        </w:trPr>
        <w:tc>
          <w:tcPr>
            <w:cnfStyle w:val="001000000000" w:firstRow="0" w:lastRow="0" w:firstColumn="1" w:lastColumn="0" w:oddVBand="0" w:evenVBand="0" w:oddHBand="0" w:evenHBand="0" w:firstRowFirstColumn="0" w:firstRowLastColumn="0" w:lastRowFirstColumn="0" w:lastRowLastColumn="0"/>
            <w:tcW w:w="27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678E7" w:rsidRDefault="005678E7" w:rsidP="005678E7">
            <w:pPr>
              <w:spacing w:after="0"/>
              <w:jc w:val="left"/>
              <w:rPr>
                <w:rFonts w:asciiTheme="minorHAnsi" w:hAnsiTheme="minorHAnsi"/>
                <w:sz w:val="18"/>
                <w:szCs w:val="18"/>
              </w:rPr>
            </w:pPr>
            <w:r w:rsidRPr="0015148A">
              <w:rPr>
                <w:rFonts w:asciiTheme="minorHAnsi" w:hAnsiTheme="minorHAnsi"/>
                <w:sz w:val="18"/>
                <w:szCs w:val="18"/>
              </w:rPr>
              <w:t xml:space="preserve">Centro de Innovación y Desarrollo Tecnológico </w:t>
            </w:r>
          </w:p>
          <w:p w:rsidR="005678E7" w:rsidRDefault="005678E7" w:rsidP="005678E7">
            <w:pPr>
              <w:spacing w:after="0"/>
              <w:jc w:val="left"/>
              <w:rPr>
                <w:rFonts w:asciiTheme="minorHAnsi" w:hAnsiTheme="minorHAnsi"/>
                <w:sz w:val="18"/>
                <w:szCs w:val="18"/>
              </w:rPr>
            </w:pPr>
          </w:p>
          <w:p w:rsidR="005678E7" w:rsidRDefault="005678E7" w:rsidP="005678E7">
            <w:pPr>
              <w:spacing w:after="0"/>
              <w:jc w:val="left"/>
              <w:rPr>
                <w:rFonts w:asciiTheme="minorHAnsi" w:hAnsiTheme="minorHAnsi"/>
                <w:b w:val="0"/>
                <w:sz w:val="18"/>
                <w:szCs w:val="18"/>
              </w:rPr>
            </w:pPr>
            <w:r w:rsidRPr="00EC6715">
              <w:rPr>
                <w:rFonts w:asciiTheme="minorHAnsi" w:hAnsiTheme="minorHAnsi"/>
                <w:b w:val="0"/>
                <w:sz w:val="18"/>
                <w:szCs w:val="18"/>
              </w:rPr>
              <w:t>Construcción del centro de innovación y desarrollo tecnológico – bloque D aulas digitales</w:t>
            </w:r>
          </w:p>
          <w:p w:rsidR="005678E7" w:rsidRDefault="005678E7" w:rsidP="005678E7">
            <w:pPr>
              <w:spacing w:after="0"/>
              <w:jc w:val="left"/>
              <w:rPr>
                <w:rFonts w:asciiTheme="minorHAnsi" w:hAnsiTheme="minorHAnsi"/>
                <w:b w:val="0"/>
                <w:sz w:val="18"/>
                <w:szCs w:val="18"/>
              </w:rPr>
            </w:pPr>
          </w:p>
          <w:p w:rsidR="005678E7" w:rsidRDefault="005678E7" w:rsidP="005678E7">
            <w:pPr>
              <w:spacing w:after="0"/>
              <w:jc w:val="left"/>
              <w:rPr>
                <w:rFonts w:asciiTheme="minorHAnsi" w:hAnsiTheme="minorHAnsi"/>
                <w:b w:val="0"/>
                <w:sz w:val="18"/>
                <w:szCs w:val="18"/>
              </w:rPr>
            </w:pPr>
            <w:r w:rsidRPr="00EC6715">
              <w:rPr>
                <w:rFonts w:asciiTheme="minorHAnsi" w:hAnsiTheme="minorHAnsi"/>
                <w:b w:val="0"/>
                <w:sz w:val="18"/>
                <w:szCs w:val="18"/>
              </w:rPr>
              <w:t>Ejecución de obras relacionadas con las instalaciones eléctricas para el edificio centro de innovación y desarrollo tecnológico – bloque D aulas digitales.</w:t>
            </w:r>
          </w:p>
          <w:p w:rsidR="005678E7" w:rsidRDefault="005678E7" w:rsidP="005678E7">
            <w:pPr>
              <w:spacing w:after="0"/>
              <w:jc w:val="left"/>
              <w:rPr>
                <w:rFonts w:asciiTheme="minorHAnsi" w:hAnsiTheme="minorHAnsi"/>
                <w:b w:val="0"/>
                <w:sz w:val="18"/>
                <w:szCs w:val="18"/>
              </w:rPr>
            </w:pPr>
          </w:p>
          <w:p w:rsidR="005678E7" w:rsidRDefault="005678E7" w:rsidP="005678E7">
            <w:pPr>
              <w:spacing w:after="0"/>
              <w:jc w:val="left"/>
              <w:rPr>
                <w:rFonts w:asciiTheme="minorHAnsi" w:hAnsiTheme="minorHAnsi"/>
                <w:b w:val="0"/>
                <w:sz w:val="18"/>
                <w:szCs w:val="18"/>
              </w:rPr>
            </w:pPr>
            <w:r w:rsidRPr="00EC6715">
              <w:rPr>
                <w:rFonts w:asciiTheme="minorHAnsi" w:hAnsiTheme="minorHAnsi"/>
                <w:b w:val="0"/>
                <w:sz w:val="18"/>
                <w:szCs w:val="18"/>
              </w:rPr>
              <w:t>Mano de obra instalaciones de voz y datos para el edificio centro de innovación y desarrollo tecnológico – bloque D</w:t>
            </w:r>
          </w:p>
          <w:p w:rsidR="005678E7" w:rsidRDefault="005678E7" w:rsidP="005678E7">
            <w:pPr>
              <w:spacing w:after="0"/>
              <w:jc w:val="left"/>
              <w:rPr>
                <w:rFonts w:asciiTheme="minorHAnsi" w:hAnsiTheme="minorHAnsi"/>
                <w:b w:val="0"/>
                <w:sz w:val="18"/>
                <w:szCs w:val="18"/>
              </w:rPr>
            </w:pPr>
          </w:p>
          <w:p w:rsidR="005678E7" w:rsidRDefault="005678E7" w:rsidP="005678E7">
            <w:pPr>
              <w:spacing w:after="0"/>
              <w:jc w:val="left"/>
              <w:rPr>
                <w:rFonts w:asciiTheme="minorHAnsi" w:hAnsiTheme="minorHAnsi"/>
                <w:b w:val="0"/>
                <w:sz w:val="18"/>
                <w:szCs w:val="18"/>
              </w:rPr>
            </w:pPr>
            <w:r w:rsidRPr="00EC6715">
              <w:rPr>
                <w:rFonts w:asciiTheme="minorHAnsi" w:hAnsiTheme="minorHAnsi"/>
                <w:b w:val="0"/>
                <w:sz w:val="18"/>
                <w:szCs w:val="18"/>
              </w:rPr>
              <w:t>Compras materiales y equipos para el edificio centro de innovación y desarrollo tecnológico – bloque D</w:t>
            </w:r>
          </w:p>
          <w:p w:rsidR="005678E7" w:rsidRPr="00EC6715" w:rsidRDefault="005678E7" w:rsidP="005678E7">
            <w:pPr>
              <w:spacing w:after="0"/>
              <w:jc w:val="left"/>
              <w:rPr>
                <w:rFonts w:asciiTheme="minorHAnsi" w:hAnsiTheme="minorHAnsi"/>
                <w:b w:val="0"/>
                <w:sz w:val="18"/>
                <w:szCs w:val="18"/>
              </w:rPr>
            </w:pPr>
          </w:p>
        </w:tc>
        <w:tc>
          <w:tcPr>
            <w:tcW w:w="2242"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5678E7" w:rsidRPr="00D22B95" w:rsidRDefault="005678E7" w:rsidP="005678E7">
            <w:pPr>
              <w:spacing w:after="0"/>
              <w:jc w:val="center"/>
              <w:cnfStyle w:val="000000010000" w:firstRow="0" w:lastRow="0" w:firstColumn="0" w:lastColumn="0" w:oddVBand="0" w:evenVBand="0" w:oddHBand="0" w:evenHBand="1" w:firstRowFirstColumn="0" w:firstRowLastColumn="0" w:lastRowFirstColumn="0" w:lastRowLastColumn="0"/>
              <w:rPr>
                <w:rFonts w:asciiTheme="minorHAnsi" w:hAnsiTheme="minorHAnsi"/>
                <w:b/>
                <w:color w:val="000000"/>
                <w:szCs w:val="18"/>
              </w:rPr>
            </w:pPr>
            <w:r w:rsidRPr="00D22B95">
              <w:rPr>
                <w:rFonts w:asciiTheme="minorHAnsi" w:hAnsiTheme="minorHAnsi"/>
                <w:b/>
                <w:color w:val="000000"/>
                <w:szCs w:val="18"/>
              </w:rPr>
              <w:t xml:space="preserve">$               </w:t>
            </w:r>
            <w:r w:rsidRPr="00EC6715">
              <w:rPr>
                <w:rFonts w:asciiTheme="minorHAnsi" w:hAnsiTheme="minorHAnsi"/>
                <w:b/>
                <w:color w:val="000000"/>
                <w:szCs w:val="18"/>
              </w:rPr>
              <w:t>4</w:t>
            </w:r>
            <w:r>
              <w:rPr>
                <w:rFonts w:asciiTheme="minorHAnsi" w:hAnsiTheme="minorHAnsi"/>
                <w:b/>
                <w:color w:val="000000"/>
                <w:szCs w:val="18"/>
              </w:rPr>
              <w:t>.</w:t>
            </w:r>
            <w:r w:rsidRPr="00EC6715">
              <w:rPr>
                <w:rFonts w:asciiTheme="minorHAnsi" w:hAnsiTheme="minorHAnsi"/>
                <w:b/>
                <w:color w:val="000000"/>
                <w:szCs w:val="18"/>
              </w:rPr>
              <w:t>948</w:t>
            </w:r>
            <w:r>
              <w:rPr>
                <w:rFonts w:asciiTheme="minorHAnsi" w:hAnsiTheme="minorHAnsi"/>
                <w:b/>
                <w:color w:val="000000"/>
                <w:szCs w:val="18"/>
              </w:rPr>
              <w:t>.</w:t>
            </w:r>
            <w:r w:rsidRPr="00EC6715">
              <w:rPr>
                <w:rFonts w:asciiTheme="minorHAnsi" w:hAnsiTheme="minorHAnsi"/>
                <w:b/>
                <w:color w:val="000000"/>
                <w:szCs w:val="18"/>
              </w:rPr>
              <w:t>137</w:t>
            </w:r>
            <w:r>
              <w:rPr>
                <w:rFonts w:asciiTheme="minorHAnsi" w:hAnsiTheme="minorHAnsi"/>
                <w:b/>
                <w:color w:val="000000"/>
                <w:szCs w:val="18"/>
              </w:rPr>
              <w:t>.</w:t>
            </w:r>
            <w:r w:rsidRPr="00EC6715">
              <w:rPr>
                <w:rFonts w:asciiTheme="minorHAnsi" w:hAnsiTheme="minorHAnsi"/>
                <w:b/>
                <w:color w:val="000000"/>
                <w:szCs w:val="18"/>
              </w:rPr>
              <w:t>003</w:t>
            </w:r>
          </w:p>
        </w:tc>
      </w:tr>
      <w:tr w:rsidR="005678E7" w:rsidRPr="0015148A" w:rsidTr="005678E7">
        <w:trPr>
          <w:cnfStyle w:val="000000100000" w:firstRow="0" w:lastRow="0" w:firstColumn="0" w:lastColumn="0" w:oddVBand="0" w:evenVBand="0" w:oddHBand="1" w:evenHBand="0" w:firstRowFirstColumn="0" w:firstRowLastColumn="0" w:lastRowFirstColumn="0" w:lastRowLastColumn="0"/>
          <w:trHeight w:val="551"/>
          <w:jc w:val="center"/>
        </w:trPr>
        <w:tc>
          <w:tcPr>
            <w:cnfStyle w:val="001000000000" w:firstRow="0" w:lastRow="0" w:firstColumn="1" w:lastColumn="0" w:oddVBand="0" w:evenVBand="0" w:oddHBand="0" w:evenHBand="0" w:firstRowFirstColumn="0" w:firstRowLastColumn="0" w:lastRowFirstColumn="0" w:lastRowLastColumn="0"/>
            <w:tcW w:w="27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678E7" w:rsidRPr="0015148A" w:rsidRDefault="005678E7" w:rsidP="005678E7">
            <w:pPr>
              <w:spacing w:after="0"/>
              <w:jc w:val="left"/>
              <w:rPr>
                <w:rFonts w:asciiTheme="minorHAnsi" w:hAnsiTheme="minorHAnsi"/>
                <w:sz w:val="18"/>
                <w:szCs w:val="18"/>
              </w:rPr>
            </w:pPr>
            <w:r w:rsidRPr="009D7F86">
              <w:rPr>
                <w:sz w:val="18"/>
                <w:szCs w:val="18"/>
              </w:rPr>
              <w:t>Automatización de iluminación, y control de consumo de agua y energía en el edificio de eléctrica y subestaciones</w:t>
            </w:r>
          </w:p>
        </w:tc>
        <w:tc>
          <w:tcPr>
            <w:tcW w:w="2242"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5678E7" w:rsidRPr="00D22B95" w:rsidRDefault="005678E7" w:rsidP="005678E7">
            <w:pPr>
              <w:spacing w:after="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b/>
                <w:color w:val="000000"/>
                <w:szCs w:val="18"/>
              </w:rPr>
            </w:pPr>
            <w:r>
              <w:rPr>
                <w:rFonts w:asciiTheme="minorHAnsi" w:hAnsiTheme="minorHAnsi"/>
                <w:b/>
                <w:color w:val="000000"/>
                <w:szCs w:val="18"/>
              </w:rPr>
              <w:t xml:space="preserve">$                 </w:t>
            </w:r>
            <w:r w:rsidRPr="00D22B95">
              <w:rPr>
                <w:rFonts w:asciiTheme="minorHAnsi" w:hAnsiTheme="minorHAnsi"/>
                <w:b/>
                <w:color w:val="000000"/>
                <w:szCs w:val="18"/>
              </w:rPr>
              <w:t xml:space="preserve">    </w:t>
            </w:r>
            <w:r w:rsidRPr="00A955F0">
              <w:rPr>
                <w:b/>
                <w:color w:val="000000"/>
                <w:szCs w:val="18"/>
              </w:rPr>
              <w:t>159.396.293</w:t>
            </w:r>
          </w:p>
        </w:tc>
      </w:tr>
    </w:tbl>
    <w:p w:rsidR="005678E7" w:rsidRDefault="005678E7" w:rsidP="000D7B00">
      <w:pPr>
        <w:pStyle w:val="Prrafodelista"/>
        <w:tabs>
          <w:tab w:val="left" w:pos="284"/>
          <w:tab w:val="left" w:pos="851"/>
        </w:tabs>
        <w:ind w:left="0"/>
        <w:jc w:val="center"/>
        <w:rPr>
          <w:b/>
          <w:i/>
          <w:sz w:val="20"/>
          <w:szCs w:val="18"/>
        </w:rPr>
      </w:pPr>
    </w:p>
    <w:p w:rsidR="000D7B00" w:rsidRDefault="000D7B00" w:rsidP="000D7B00">
      <w:pPr>
        <w:pStyle w:val="Prrafodelista"/>
        <w:tabs>
          <w:tab w:val="left" w:pos="284"/>
          <w:tab w:val="left" w:pos="851"/>
        </w:tabs>
        <w:ind w:left="0"/>
        <w:jc w:val="center"/>
        <w:rPr>
          <w:b/>
          <w:i/>
          <w:sz w:val="20"/>
          <w:szCs w:val="18"/>
        </w:rPr>
      </w:pPr>
      <w:r w:rsidRPr="009433B2">
        <w:rPr>
          <w:b/>
          <w:i/>
          <w:sz w:val="20"/>
          <w:szCs w:val="18"/>
        </w:rPr>
        <w:t>Fuente: Oficina de Planeación</w:t>
      </w:r>
    </w:p>
    <w:p w:rsidR="000D7B00" w:rsidRPr="0073021F" w:rsidRDefault="000D7B00" w:rsidP="000D7B00">
      <w:pPr>
        <w:pStyle w:val="Prrafodelista"/>
        <w:tabs>
          <w:tab w:val="left" w:pos="284"/>
          <w:tab w:val="left" w:pos="851"/>
        </w:tabs>
        <w:ind w:left="0"/>
        <w:jc w:val="center"/>
        <w:rPr>
          <w:b/>
          <w:i/>
          <w:sz w:val="24"/>
          <w:szCs w:val="24"/>
        </w:rPr>
      </w:pPr>
    </w:p>
    <w:p w:rsidR="000D7B00" w:rsidRDefault="000D7B00" w:rsidP="00732E87">
      <w:pPr>
        <w:pStyle w:val="Ttulo3"/>
      </w:pPr>
      <w:bookmarkStart w:id="63" w:name="_Toc350238216"/>
      <w:bookmarkStart w:id="64" w:name="_Toc354671319"/>
      <w:r w:rsidRPr="00595BDF">
        <w:t>Gestión y sostenibilidad ambiental</w:t>
      </w:r>
      <w:bookmarkEnd w:id="63"/>
      <w:bookmarkEnd w:id="64"/>
    </w:p>
    <w:p w:rsidR="00732E87" w:rsidRPr="00732E87" w:rsidRDefault="00732E87" w:rsidP="00732E87"/>
    <w:p w:rsidR="00FE6B72" w:rsidRDefault="00FE6B72" w:rsidP="00FE6B72">
      <w:r>
        <w:t xml:space="preserve">De acuerdo a los compromisos adquiridos en  la Política Ambiental Institucional (Acuerdo No 41 de 2010),  </w:t>
      </w:r>
      <w:r w:rsidRPr="008A4A11">
        <w:t>se aprobó por parte del Comité Técnico del Plan</w:t>
      </w:r>
      <w:r>
        <w:t xml:space="preserve"> de Desarrollo Institucional</w:t>
      </w:r>
      <w:r w:rsidRPr="008A4A11">
        <w:t xml:space="preserve"> </w:t>
      </w:r>
      <w:r>
        <w:t>para la vigencia 2012 ,</w:t>
      </w:r>
      <w:r w:rsidRPr="008A4A11">
        <w:t xml:space="preserve">la propuesta de ajuste de indicadores que miden los resultados de la </w:t>
      </w:r>
      <w:r>
        <w:t>G</w:t>
      </w:r>
      <w:r w:rsidRPr="008A4A11">
        <w:t xml:space="preserve">estión </w:t>
      </w:r>
      <w:r>
        <w:t>A</w:t>
      </w:r>
      <w:r w:rsidRPr="008A4A11">
        <w:t xml:space="preserve">mbiental </w:t>
      </w:r>
      <w:r>
        <w:t>en la Universidad, evolucionando el indicador existente</w:t>
      </w:r>
      <w:r w:rsidRPr="008A4A11">
        <w:t xml:space="preserve"> más allá de la medición </w:t>
      </w:r>
      <w:r>
        <w:t xml:space="preserve">de las  áreas  en conservación, a un indicador global y elaborado que permita conocer los avances de la  dimensión ambiental de manera integral en la institución. En este sentido, se obtuvieron los siguientes resultados: </w:t>
      </w:r>
    </w:p>
    <w:p w:rsidR="000D7B00" w:rsidRDefault="000D7B00" w:rsidP="000D7B00"/>
    <w:p w:rsidR="000D7B00" w:rsidRPr="0014016D" w:rsidRDefault="000D7B00" w:rsidP="000D7B00">
      <w:r>
        <w:t xml:space="preserve">Cumplimiento final del </w:t>
      </w:r>
      <w:r w:rsidRPr="00FB3287">
        <w:rPr>
          <w:b/>
        </w:rPr>
        <w:t>49.20%</w:t>
      </w:r>
      <w:r>
        <w:rPr>
          <w:b/>
        </w:rPr>
        <w:t xml:space="preserve"> </w:t>
      </w:r>
      <w:r>
        <w:t xml:space="preserve">equivalentes a: </w:t>
      </w:r>
    </w:p>
    <w:p w:rsidR="000D7B00" w:rsidRDefault="000D7B00" w:rsidP="000D7B00">
      <w:pPr>
        <w:autoSpaceDE w:val="0"/>
        <w:autoSpaceDN w:val="0"/>
        <w:adjustRightInd w:val="0"/>
        <w:spacing w:after="0"/>
        <w:rPr>
          <w:rFonts w:ascii="Maiandra GD" w:hAnsi="Maiandra GD"/>
          <w:color w:val="E36C0A" w:themeColor="accent6" w:themeShade="BF"/>
          <w:sz w:val="20"/>
        </w:rPr>
      </w:pPr>
      <w:r>
        <w:rPr>
          <w:noProof/>
          <w:lang w:val="es-CO" w:eastAsia="es-CO"/>
        </w:rPr>
        <w:lastRenderedPageBreak/>
        <w:drawing>
          <wp:inline distT="0" distB="0" distL="0" distR="0">
            <wp:extent cx="6000750" cy="3057525"/>
            <wp:effectExtent l="0" t="38100" r="0" b="85725"/>
            <wp:docPr id="50" name="Diagrama 5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 r:lo="rId31" r:qs="rId32" r:cs="rId33"/>
              </a:graphicData>
            </a:graphic>
          </wp:inline>
        </w:drawing>
      </w:r>
    </w:p>
    <w:p w:rsidR="000D7B00" w:rsidRPr="008A4A11" w:rsidRDefault="000D7B00" w:rsidP="000D7B00"/>
    <w:p w:rsidR="000D7B00" w:rsidRPr="008A4A11" w:rsidRDefault="000D7B00" w:rsidP="000D7B00"/>
    <w:p w:rsidR="000D7B00" w:rsidRDefault="000D7B00" w:rsidP="00732E87">
      <w:pPr>
        <w:pStyle w:val="Ttulo4"/>
      </w:pPr>
      <w:r w:rsidRPr="00FE35BF">
        <w:t>Área y Especies en Conservación</w:t>
      </w:r>
    </w:p>
    <w:p w:rsidR="00732E87" w:rsidRPr="00732E87" w:rsidRDefault="00732E87" w:rsidP="00732E87"/>
    <w:p w:rsidR="000D7B00" w:rsidRDefault="000D7B00" w:rsidP="000D7B00">
      <w:r>
        <w:t>El</w:t>
      </w:r>
      <w:r w:rsidRPr="007750E6">
        <w:t xml:space="preserve"> Jardín </w:t>
      </w:r>
      <w:r>
        <w:t xml:space="preserve">Botánico Universidad Tecnológica de Pereira a través de su Grupo de Investigación en Conservación de la Biodiversidad de la Flora del Bosque Andino colombiano (reconocido por COLCIENCIAS) y su programa de Educación y Cultura Ambiental, desarrolla de manera permanente acciones para la planificación y manejo apropiado de las áreas boscosas del campus. Convenios con organismos nacionales e internacionales como el que se desarrolla hace más de 5 años con la </w:t>
      </w:r>
      <w:proofErr w:type="spellStart"/>
      <w:r>
        <w:t>Botanic</w:t>
      </w:r>
      <w:proofErr w:type="spellEnd"/>
      <w:r>
        <w:t xml:space="preserve"> </w:t>
      </w:r>
      <w:proofErr w:type="spellStart"/>
      <w:r>
        <w:t>Gardens</w:t>
      </w:r>
      <w:proofErr w:type="spellEnd"/>
      <w:r>
        <w:t xml:space="preserve"> </w:t>
      </w:r>
      <w:proofErr w:type="spellStart"/>
      <w:r>
        <w:t>Conservation</w:t>
      </w:r>
      <w:proofErr w:type="spellEnd"/>
      <w:r>
        <w:t xml:space="preserve"> International – BGCI fortalecen esta importante labor en pro del medio ambiente de la comunidad universitaria y todos los </w:t>
      </w:r>
      <w:proofErr w:type="spellStart"/>
      <w:r>
        <w:t>pereiranos</w:t>
      </w:r>
      <w:proofErr w:type="spellEnd"/>
      <w:r>
        <w:t>.</w:t>
      </w:r>
    </w:p>
    <w:p w:rsidR="000D7B00" w:rsidRDefault="000D7B00" w:rsidP="000D7B00">
      <w:r w:rsidRPr="001B2789">
        <w:t>El principal resultado es sin duda que las Áreas Vegetales de la UTP y todos sus servicios eco sistémicos cuentan con un manejo sustentable y tienen una garantía de sostenibilidad en el tiempo.</w:t>
      </w:r>
    </w:p>
    <w:p w:rsidR="000D7B00" w:rsidRPr="008A4A11" w:rsidRDefault="000D7B00" w:rsidP="000D7B00">
      <w:r>
        <w:t xml:space="preserve">Los datos indican que la Universidad </w:t>
      </w:r>
      <w:r w:rsidRPr="007750E6">
        <w:t xml:space="preserve">tiene el </w:t>
      </w:r>
      <w:r w:rsidRPr="00F47F64">
        <w:t>61,41%</w:t>
      </w:r>
      <w:r w:rsidRPr="007750E6">
        <w:t xml:space="preserve"> del total de la extensión del campus en</w:t>
      </w:r>
      <w:r>
        <w:t xml:space="preserve"> </w:t>
      </w:r>
      <w:r w:rsidRPr="007750E6">
        <w:t>hectáreas de bosque en conservación, que están representados en su mayoría en el Jardín</w:t>
      </w:r>
      <w:r>
        <w:t xml:space="preserve"> </w:t>
      </w:r>
      <w:r w:rsidRPr="007750E6">
        <w:t>Botánico</w:t>
      </w:r>
      <w:r>
        <w:t>, es decir; e</w:t>
      </w:r>
      <w:r w:rsidRPr="008A4A11">
        <w:t xml:space="preserve">l campus tiene 50.5 has de las cuales 31.01 (61.4%) son bosques en </w:t>
      </w:r>
      <w:r w:rsidRPr="00136280">
        <w:t xml:space="preserve">conservación (13.3 has jardín botánico y 17.71 otros bosques). </w:t>
      </w:r>
      <w:r>
        <w:t xml:space="preserve">  En el último año se han incrementado las especies en conservación a 402, representadas en más de 1500 individuos vegetales en los bosques</w:t>
      </w:r>
    </w:p>
    <w:p w:rsidR="000D7B00" w:rsidRPr="0073021F" w:rsidRDefault="000D7B00" w:rsidP="000D7B00">
      <w:pPr>
        <w:jc w:val="center"/>
        <w:rPr>
          <w:sz w:val="20"/>
        </w:rPr>
      </w:pPr>
      <w:r w:rsidRPr="008A4A11">
        <w:rPr>
          <w:b/>
          <w:sz w:val="20"/>
        </w:rPr>
        <w:lastRenderedPageBreak/>
        <w:t>Área de conservación 2009 -</w:t>
      </w:r>
      <w:r>
        <w:rPr>
          <w:b/>
          <w:sz w:val="20"/>
        </w:rPr>
        <w:t xml:space="preserve"> 2012</w:t>
      </w:r>
      <w:r w:rsidRPr="001B2789">
        <w:rPr>
          <w:noProof/>
          <w:lang w:val="es-CO" w:eastAsia="es-CO"/>
        </w:rPr>
        <w:drawing>
          <wp:inline distT="0" distB="0" distL="0" distR="0">
            <wp:extent cx="5676900" cy="2028825"/>
            <wp:effectExtent l="0" t="0" r="0" b="0"/>
            <wp:docPr id="51" name="1 Gráfico"/>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0D7B00" w:rsidRDefault="000D7B00" w:rsidP="00732E87">
      <w:pPr>
        <w:pStyle w:val="Ttulo4"/>
      </w:pPr>
      <w:r w:rsidRPr="008A4A11">
        <w:t>Gestión Ambiental Universitaria</w:t>
      </w:r>
    </w:p>
    <w:p w:rsidR="00732E87" w:rsidRPr="00732E87" w:rsidRDefault="00732E87" w:rsidP="00732E87"/>
    <w:p w:rsidR="00FE6B72" w:rsidRDefault="00FE6B72" w:rsidP="00FE6B72">
      <w:r>
        <w:t xml:space="preserve">El programa de Gestión Ambiental Universitaria (GAU), cuenta con 4 líneas estratégicas que permiten direccionar las acciones de la UTP hacia la consolidación de un campus sustentable. </w:t>
      </w:r>
    </w:p>
    <w:p w:rsidR="00FE6B72" w:rsidRDefault="00FE6B72" w:rsidP="00FE6B72">
      <w:r>
        <w:t>A continuación se describen cada una de las líneas de trabajo de la GAU en la UTP:</w:t>
      </w:r>
    </w:p>
    <w:p w:rsidR="00FE6B72" w:rsidRDefault="00FE6B72" w:rsidP="00C21E52">
      <w:pPr>
        <w:pStyle w:val="Prrafodelista"/>
        <w:numPr>
          <w:ilvl w:val="0"/>
          <w:numId w:val="35"/>
        </w:numPr>
        <w:spacing w:after="200" w:line="276" w:lineRule="auto"/>
      </w:pPr>
      <w:r>
        <w:t xml:space="preserve">Educación y Cultura Ambiental: Busca consolidar una sensibilización y concientización de los integrantes de la comunidad universitaria en cuanto a la dimensión ambiental, y la importancia y el rol que juega cada uno de los estamentos en la consolidación de un campus sustentable. </w:t>
      </w:r>
    </w:p>
    <w:p w:rsidR="00FE6B72" w:rsidRDefault="00FE6B72" w:rsidP="00C21E52">
      <w:pPr>
        <w:pStyle w:val="Prrafodelista"/>
        <w:numPr>
          <w:ilvl w:val="0"/>
          <w:numId w:val="35"/>
        </w:numPr>
        <w:spacing w:after="200" w:line="276" w:lineRule="auto"/>
      </w:pPr>
      <w:r>
        <w:t xml:space="preserve">Eficiencia en el Uso de los Recursos: Es una línea estratégica que busca generar actividades e iniciativas entorno al uso adecuado de recursos como agua, energía y papel  dentro del campus, buscando generar conciencia en el consumo de los mismos. </w:t>
      </w:r>
    </w:p>
    <w:p w:rsidR="00FE6B72" w:rsidRDefault="00FE6B72" w:rsidP="00C21E52">
      <w:pPr>
        <w:pStyle w:val="Prrafodelista"/>
        <w:numPr>
          <w:ilvl w:val="0"/>
          <w:numId w:val="35"/>
        </w:numPr>
        <w:spacing w:after="200" w:line="276" w:lineRule="auto"/>
      </w:pPr>
      <w:r>
        <w:t>Disminución del Impacto Ambiental: Establece mecanismos de implementación y seguimiento de los programas e infraestructura con la que cuenta la institución para reducir los impactos ambientales generados con el desarrollo de las actividades normales de la Universidad.</w:t>
      </w:r>
    </w:p>
    <w:p w:rsidR="00FE6B72" w:rsidRDefault="00FE6B72" w:rsidP="00C21E52">
      <w:pPr>
        <w:pStyle w:val="Prrafodelista"/>
        <w:numPr>
          <w:ilvl w:val="0"/>
          <w:numId w:val="35"/>
        </w:numPr>
        <w:spacing w:after="200" w:line="276" w:lineRule="auto"/>
      </w:pPr>
      <w:r>
        <w:t>Áreas en Conservación: Establece mecanismos para la conservación de la Biodiversidad presente en el campus de la Universidad y su aprovechamiento entorno a procesos de educación y concientización ambiental.</w:t>
      </w:r>
    </w:p>
    <w:p w:rsidR="000D7B00" w:rsidRPr="003C41DA" w:rsidRDefault="000D7B00" w:rsidP="000D7B00">
      <w:pPr>
        <w:pStyle w:val="Epgrafe"/>
        <w:keepNext/>
        <w:rPr>
          <w:color w:val="000000" w:themeColor="text1"/>
        </w:rPr>
      </w:pPr>
      <w:r w:rsidRPr="004D4639">
        <w:rPr>
          <w:color w:val="000000" w:themeColor="text1"/>
        </w:rPr>
        <w:t xml:space="preserve">Tabla </w:t>
      </w:r>
      <w:r w:rsidR="00480CE9" w:rsidRPr="004D4639">
        <w:rPr>
          <w:color w:val="000000" w:themeColor="text1"/>
        </w:rPr>
        <w:fldChar w:fldCharType="begin"/>
      </w:r>
      <w:r w:rsidRPr="004D4639">
        <w:rPr>
          <w:color w:val="000000" w:themeColor="text1"/>
        </w:rPr>
        <w:instrText xml:space="preserve"> SEQ Tabla \* ARABIC </w:instrText>
      </w:r>
      <w:r w:rsidR="00480CE9" w:rsidRPr="004D4639">
        <w:rPr>
          <w:color w:val="000000" w:themeColor="text1"/>
        </w:rPr>
        <w:fldChar w:fldCharType="separate"/>
      </w:r>
      <w:r w:rsidR="00020665">
        <w:rPr>
          <w:noProof/>
          <w:color w:val="000000" w:themeColor="text1"/>
        </w:rPr>
        <w:t>2</w:t>
      </w:r>
      <w:r w:rsidR="00480CE9" w:rsidRPr="004D4639">
        <w:rPr>
          <w:color w:val="000000" w:themeColor="text1"/>
        </w:rPr>
        <w:fldChar w:fldCharType="end"/>
      </w:r>
      <w:r>
        <w:rPr>
          <w:color w:val="000000" w:themeColor="text1"/>
        </w:rPr>
        <w:t xml:space="preserve">. </w:t>
      </w:r>
      <w:r w:rsidRPr="003C41DA">
        <w:rPr>
          <w:color w:val="000000" w:themeColor="text1"/>
        </w:rPr>
        <w:t>Acciones de la Política de Gestión Ambiental</w:t>
      </w:r>
    </w:p>
    <w:tbl>
      <w:tblPr>
        <w:tblStyle w:val="Cuadrculaclara-nfasis1"/>
        <w:tblW w:w="8918" w:type="dxa"/>
        <w:tblLook w:val="04A0" w:firstRow="1" w:lastRow="0" w:firstColumn="1" w:lastColumn="0" w:noHBand="0" w:noVBand="1"/>
      </w:tblPr>
      <w:tblGrid>
        <w:gridCol w:w="3301"/>
        <w:gridCol w:w="5617"/>
      </w:tblGrid>
      <w:tr w:rsidR="00674FA7" w:rsidRPr="00674FA7" w:rsidTr="00674FA7">
        <w:trPr>
          <w:cnfStyle w:val="100000000000" w:firstRow="1" w:lastRow="0" w:firstColumn="0" w:lastColumn="0" w:oddVBand="0" w:evenVBand="0" w:oddHBand="0" w:evenHBand="0" w:firstRowFirstColumn="0" w:firstRowLastColumn="0" w:lastRowFirstColumn="0" w:lastRowLastColumn="0"/>
          <w:trHeight w:val="496"/>
        </w:trPr>
        <w:tc>
          <w:tcPr>
            <w:cnfStyle w:val="001000000000" w:firstRow="0" w:lastRow="0" w:firstColumn="1" w:lastColumn="0" w:oddVBand="0" w:evenVBand="0" w:oddHBand="0" w:evenHBand="0" w:firstRowFirstColumn="0" w:firstRowLastColumn="0" w:lastRowFirstColumn="0" w:lastRowLastColumn="0"/>
            <w:tcW w:w="3301" w:type="dxa"/>
            <w:vAlign w:val="center"/>
          </w:tcPr>
          <w:p w:rsidR="00FE6B72" w:rsidRPr="00674FA7" w:rsidRDefault="00FE6B72" w:rsidP="00674FA7">
            <w:pPr>
              <w:jc w:val="center"/>
              <w:rPr>
                <w:sz w:val="18"/>
                <w:szCs w:val="18"/>
              </w:rPr>
            </w:pPr>
            <w:r w:rsidRPr="00674FA7">
              <w:rPr>
                <w:sz w:val="18"/>
                <w:szCs w:val="18"/>
              </w:rPr>
              <w:t>Líneas Proyecto GAU</w:t>
            </w:r>
          </w:p>
        </w:tc>
        <w:tc>
          <w:tcPr>
            <w:tcW w:w="5617" w:type="dxa"/>
            <w:vAlign w:val="center"/>
          </w:tcPr>
          <w:p w:rsidR="00FE6B72" w:rsidRPr="00674FA7" w:rsidRDefault="00FE6B72" w:rsidP="00674FA7">
            <w:pPr>
              <w:jc w:val="center"/>
              <w:cnfStyle w:val="100000000000" w:firstRow="1" w:lastRow="0" w:firstColumn="0" w:lastColumn="0" w:oddVBand="0" w:evenVBand="0" w:oddHBand="0" w:evenHBand="0" w:firstRowFirstColumn="0" w:firstRowLastColumn="0" w:lastRowFirstColumn="0" w:lastRowLastColumn="0"/>
              <w:rPr>
                <w:sz w:val="18"/>
                <w:szCs w:val="18"/>
              </w:rPr>
            </w:pPr>
            <w:r w:rsidRPr="00674FA7">
              <w:rPr>
                <w:sz w:val="18"/>
                <w:szCs w:val="18"/>
              </w:rPr>
              <w:t>Principales acciones</w:t>
            </w:r>
          </w:p>
        </w:tc>
      </w:tr>
      <w:tr w:rsidR="00FE6B72" w:rsidRPr="00674FA7" w:rsidTr="00674F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01" w:type="dxa"/>
          </w:tcPr>
          <w:p w:rsidR="00FE6B72" w:rsidRPr="00674FA7" w:rsidRDefault="00FE6B72" w:rsidP="009520A4">
            <w:pPr>
              <w:rPr>
                <w:sz w:val="18"/>
                <w:szCs w:val="18"/>
              </w:rPr>
            </w:pPr>
            <w:r w:rsidRPr="00674FA7">
              <w:rPr>
                <w:sz w:val="18"/>
                <w:szCs w:val="18"/>
              </w:rPr>
              <w:t>Educación y cultura ambiental</w:t>
            </w:r>
          </w:p>
        </w:tc>
        <w:tc>
          <w:tcPr>
            <w:tcW w:w="5617" w:type="dxa"/>
          </w:tcPr>
          <w:p w:rsidR="00FE6B72" w:rsidRPr="00674FA7" w:rsidRDefault="00FE6B72" w:rsidP="00C21E52">
            <w:pPr>
              <w:pStyle w:val="Prrafodelista"/>
              <w:numPr>
                <w:ilvl w:val="0"/>
                <w:numId w:val="32"/>
              </w:numPr>
              <w:spacing w:after="0"/>
              <w:contextualSpacing w:val="0"/>
              <w:cnfStyle w:val="000000100000" w:firstRow="0" w:lastRow="0" w:firstColumn="0" w:lastColumn="0" w:oddVBand="0" w:evenVBand="0" w:oddHBand="1" w:evenHBand="0" w:firstRowFirstColumn="0" w:firstRowLastColumn="0" w:lastRowFirstColumn="0" w:lastRowLastColumn="0"/>
              <w:rPr>
                <w:sz w:val="18"/>
                <w:szCs w:val="18"/>
              </w:rPr>
            </w:pPr>
            <w:r w:rsidRPr="00674FA7">
              <w:rPr>
                <w:sz w:val="18"/>
                <w:szCs w:val="18"/>
              </w:rPr>
              <w:t xml:space="preserve">Participación en la inducción de estudiantes nuevos UTP </w:t>
            </w:r>
          </w:p>
          <w:p w:rsidR="00FE6B72" w:rsidRPr="00674FA7" w:rsidRDefault="00FE6B72" w:rsidP="00C21E52">
            <w:pPr>
              <w:pStyle w:val="Prrafodelista"/>
              <w:numPr>
                <w:ilvl w:val="0"/>
                <w:numId w:val="32"/>
              </w:numPr>
              <w:spacing w:after="0"/>
              <w:contextualSpacing w:val="0"/>
              <w:cnfStyle w:val="000000100000" w:firstRow="0" w:lastRow="0" w:firstColumn="0" w:lastColumn="0" w:oddVBand="0" w:evenVBand="0" w:oddHBand="1" w:evenHBand="0" w:firstRowFirstColumn="0" w:firstRowLastColumn="0" w:lastRowFirstColumn="0" w:lastRowLastColumn="0"/>
              <w:rPr>
                <w:sz w:val="18"/>
                <w:szCs w:val="18"/>
              </w:rPr>
            </w:pPr>
            <w:r w:rsidRPr="00674FA7">
              <w:rPr>
                <w:sz w:val="18"/>
                <w:szCs w:val="18"/>
              </w:rPr>
              <w:t>Capacitación y sensibilización de la comunidad universitaria mediante diplomados, conferencias y actividades lúdicas.</w:t>
            </w:r>
          </w:p>
          <w:p w:rsidR="00FE6B72" w:rsidRPr="00674FA7" w:rsidRDefault="00FE6B72" w:rsidP="00C21E52">
            <w:pPr>
              <w:pStyle w:val="Prrafodelista"/>
              <w:numPr>
                <w:ilvl w:val="0"/>
                <w:numId w:val="32"/>
              </w:numPr>
              <w:spacing w:after="200" w:line="276" w:lineRule="auto"/>
              <w:contextualSpacing w:val="0"/>
              <w:cnfStyle w:val="000000100000" w:firstRow="0" w:lastRow="0" w:firstColumn="0" w:lastColumn="0" w:oddVBand="0" w:evenVBand="0" w:oddHBand="1" w:evenHBand="0" w:firstRowFirstColumn="0" w:firstRowLastColumn="0" w:lastRowFirstColumn="0" w:lastRowLastColumn="0"/>
              <w:rPr>
                <w:sz w:val="18"/>
                <w:szCs w:val="18"/>
              </w:rPr>
            </w:pPr>
            <w:r w:rsidRPr="00674FA7">
              <w:rPr>
                <w:sz w:val="18"/>
                <w:szCs w:val="18"/>
              </w:rPr>
              <w:t>Socialización de la  Política Ambiental y celebración de fechas ambientales.</w:t>
            </w:r>
          </w:p>
        </w:tc>
      </w:tr>
      <w:tr w:rsidR="00FE6B72" w:rsidRPr="00674FA7" w:rsidTr="00674FA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01" w:type="dxa"/>
          </w:tcPr>
          <w:p w:rsidR="00FE6B72" w:rsidRPr="00674FA7" w:rsidRDefault="00FE6B72" w:rsidP="009520A4">
            <w:pPr>
              <w:rPr>
                <w:sz w:val="18"/>
                <w:szCs w:val="18"/>
              </w:rPr>
            </w:pPr>
            <w:r w:rsidRPr="00674FA7">
              <w:rPr>
                <w:sz w:val="18"/>
                <w:szCs w:val="18"/>
              </w:rPr>
              <w:lastRenderedPageBreak/>
              <w:t xml:space="preserve">Eficiencia en el uso de los recursos </w:t>
            </w:r>
          </w:p>
        </w:tc>
        <w:tc>
          <w:tcPr>
            <w:tcW w:w="5617" w:type="dxa"/>
          </w:tcPr>
          <w:p w:rsidR="00FE6B72" w:rsidRPr="00674FA7" w:rsidRDefault="00FE6B72" w:rsidP="00C21E52">
            <w:pPr>
              <w:pStyle w:val="Prrafodelista"/>
              <w:numPr>
                <w:ilvl w:val="0"/>
                <w:numId w:val="32"/>
              </w:numPr>
              <w:spacing w:after="0"/>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674FA7">
              <w:rPr>
                <w:sz w:val="18"/>
                <w:szCs w:val="18"/>
              </w:rPr>
              <w:t>Campaña de usos eficiente y ahorro de los recursos</w:t>
            </w:r>
          </w:p>
          <w:p w:rsidR="00FE6B72" w:rsidRPr="00674FA7" w:rsidRDefault="00FE6B72" w:rsidP="00C21E52">
            <w:pPr>
              <w:pStyle w:val="Prrafodelista"/>
              <w:numPr>
                <w:ilvl w:val="0"/>
                <w:numId w:val="32"/>
              </w:numPr>
              <w:spacing w:after="200" w:line="276" w:lineRule="auto"/>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674FA7">
              <w:rPr>
                <w:sz w:val="18"/>
                <w:szCs w:val="18"/>
              </w:rPr>
              <w:t>Acompañamiento a compras ambientales en la UTP</w:t>
            </w:r>
          </w:p>
        </w:tc>
      </w:tr>
      <w:tr w:rsidR="00FE6B72" w:rsidRPr="00674FA7" w:rsidTr="00674F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01" w:type="dxa"/>
          </w:tcPr>
          <w:p w:rsidR="00FE6B72" w:rsidRPr="00674FA7" w:rsidRDefault="00FE6B72" w:rsidP="009520A4">
            <w:pPr>
              <w:rPr>
                <w:sz w:val="18"/>
                <w:szCs w:val="18"/>
              </w:rPr>
            </w:pPr>
            <w:r w:rsidRPr="00674FA7">
              <w:rPr>
                <w:sz w:val="18"/>
                <w:szCs w:val="18"/>
              </w:rPr>
              <w:t>Disminución de impactos ambientales</w:t>
            </w:r>
          </w:p>
        </w:tc>
        <w:tc>
          <w:tcPr>
            <w:tcW w:w="5617" w:type="dxa"/>
          </w:tcPr>
          <w:p w:rsidR="00FE6B72" w:rsidRPr="00674FA7" w:rsidRDefault="00FE6B72" w:rsidP="00C21E52">
            <w:pPr>
              <w:pStyle w:val="Prrafodelista"/>
              <w:numPr>
                <w:ilvl w:val="0"/>
                <w:numId w:val="32"/>
              </w:numPr>
              <w:spacing w:after="0" w:line="276" w:lineRule="auto"/>
              <w:contextualSpacing w:val="0"/>
              <w:cnfStyle w:val="000000100000" w:firstRow="0" w:lastRow="0" w:firstColumn="0" w:lastColumn="0" w:oddVBand="0" w:evenVBand="0" w:oddHBand="1" w:evenHBand="0" w:firstRowFirstColumn="0" w:firstRowLastColumn="0" w:lastRowFirstColumn="0" w:lastRowLastColumn="0"/>
              <w:rPr>
                <w:sz w:val="18"/>
                <w:szCs w:val="18"/>
              </w:rPr>
            </w:pPr>
            <w:r w:rsidRPr="00674FA7">
              <w:rPr>
                <w:sz w:val="18"/>
                <w:szCs w:val="18"/>
              </w:rPr>
              <w:t>Seguimiento al Plan de manejo ambiental</w:t>
            </w:r>
          </w:p>
          <w:p w:rsidR="00FE6B72" w:rsidRPr="00674FA7" w:rsidRDefault="00FE6B72" w:rsidP="00C21E52">
            <w:pPr>
              <w:pStyle w:val="Prrafodelista"/>
              <w:numPr>
                <w:ilvl w:val="0"/>
                <w:numId w:val="32"/>
              </w:numPr>
              <w:spacing w:after="0" w:line="276" w:lineRule="auto"/>
              <w:contextualSpacing w:val="0"/>
              <w:cnfStyle w:val="000000100000" w:firstRow="0" w:lastRow="0" w:firstColumn="0" w:lastColumn="0" w:oddVBand="0" w:evenVBand="0" w:oddHBand="1" w:evenHBand="0" w:firstRowFirstColumn="0" w:firstRowLastColumn="0" w:lastRowFirstColumn="0" w:lastRowLastColumn="0"/>
              <w:rPr>
                <w:sz w:val="18"/>
                <w:szCs w:val="18"/>
              </w:rPr>
            </w:pPr>
            <w:r w:rsidRPr="00674FA7">
              <w:rPr>
                <w:sz w:val="18"/>
                <w:szCs w:val="18"/>
              </w:rPr>
              <w:t>UTP Recicla</w:t>
            </w:r>
          </w:p>
          <w:p w:rsidR="00FE6B72" w:rsidRPr="00674FA7" w:rsidRDefault="00FE6B72" w:rsidP="00C21E52">
            <w:pPr>
              <w:pStyle w:val="Prrafodelista"/>
              <w:numPr>
                <w:ilvl w:val="0"/>
                <w:numId w:val="32"/>
              </w:numPr>
              <w:spacing w:after="0"/>
              <w:contextualSpacing w:val="0"/>
              <w:cnfStyle w:val="000000100000" w:firstRow="0" w:lastRow="0" w:firstColumn="0" w:lastColumn="0" w:oddVBand="0" w:evenVBand="0" w:oddHBand="1" w:evenHBand="0" w:firstRowFirstColumn="0" w:firstRowLastColumn="0" w:lastRowFirstColumn="0" w:lastRowLastColumn="0"/>
              <w:rPr>
                <w:sz w:val="18"/>
                <w:szCs w:val="18"/>
              </w:rPr>
            </w:pPr>
            <w:r w:rsidRPr="00674FA7">
              <w:rPr>
                <w:sz w:val="18"/>
                <w:szCs w:val="18"/>
              </w:rPr>
              <w:t>Campaña cero desechables en la UTP</w:t>
            </w:r>
          </w:p>
          <w:p w:rsidR="00FE6B72" w:rsidRPr="00674FA7" w:rsidRDefault="00FE6B72" w:rsidP="00C21E52">
            <w:pPr>
              <w:pStyle w:val="Prrafodelista"/>
              <w:numPr>
                <w:ilvl w:val="0"/>
                <w:numId w:val="32"/>
              </w:numPr>
              <w:spacing w:after="0"/>
              <w:contextualSpacing w:val="0"/>
              <w:cnfStyle w:val="000000100000" w:firstRow="0" w:lastRow="0" w:firstColumn="0" w:lastColumn="0" w:oddVBand="0" w:evenVBand="0" w:oddHBand="1" w:evenHBand="0" w:firstRowFirstColumn="0" w:firstRowLastColumn="0" w:lastRowFirstColumn="0" w:lastRowLastColumn="0"/>
              <w:rPr>
                <w:sz w:val="18"/>
                <w:szCs w:val="18"/>
              </w:rPr>
            </w:pPr>
            <w:r w:rsidRPr="00674FA7">
              <w:rPr>
                <w:sz w:val="18"/>
                <w:szCs w:val="18"/>
              </w:rPr>
              <w:t>Responsabilidad ambiental en cafeterías</w:t>
            </w:r>
          </w:p>
        </w:tc>
      </w:tr>
      <w:tr w:rsidR="00FE6B72" w:rsidRPr="00674FA7" w:rsidTr="00674FA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01" w:type="dxa"/>
          </w:tcPr>
          <w:p w:rsidR="00FE6B72" w:rsidRPr="00674FA7" w:rsidRDefault="00FE6B72" w:rsidP="009520A4">
            <w:pPr>
              <w:rPr>
                <w:sz w:val="18"/>
                <w:szCs w:val="18"/>
              </w:rPr>
            </w:pPr>
            <w:r w:rsidRPr="00674FA7">
              <w:rPr>
                <w:sz w:val="18"/>
                <w:szCs w:val="18"/>
              </w:rPr>
              <w:t>Áreas en conservación</w:t>
            </w:r>
          </w:p>
        </w:tc>
        <w:tc>
          <w:tcPr>
            <w:tcW w:w="5617" w:type="dxa"/>
          </w:tcPr>
          <w:p w:rsidR="00FE6B72" w:rsidRPr="00674FA7" w:rsidRDefault="00FE6B72" w:rsidP="00C21E52">
            <w:pPr>
              <w:pStyle w:val="Prrafodelista"/>
              <w:numPr>
                <w:ilvl w:val="0"/>
                <w:numId w:val="32"/>
              </w:numPr>
              <w:spacing w:after="0"/>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674FA7">
              <w:rPr>
                <w:sz w:val="18"/>
                <w:szCs w:val="18"/>
              </w:rPr>
              <w:t>Conservación de especies de flora en el campus universitario</w:t>
            </w:r>
          </w:p>
          <w:p w:rsidR="00FE6B72" w:rsidRPr="00674FA7" w:rsidRDefault="00FE6B72" w:rsidP="00C21E52">
            <w:pPr>
              <w:pStyle w:val="Prrafodelista"/>
              <w:numPr>
                <w:ilvl w:val="0"/>
                <w:numId w:val="32"/>
              </w:numPr>
              <w:spacing w:after="0"/>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674FA7">
              <w:rPr>
                <w:sz w:val="18"/>
                <w:szCs w:val="18"/>
              </w:rPr>
              <w:t>Educación Ambiental</w:t>
            </w:r>
          </w:p>
        </w:tc>
      </w:tr>
      <w:tr w:rsidR="00FE6B72" w:rsidRPr="00674FA7" w:rsidTr="00674F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01" w:type="dxa"/>
          </w:tcPr>
          <w:p w:rsidR="00FE6B72" w:rsidRPr="00674FA7" w:rsidRDefault="00FE6B72" w:rsidP="009520A4">
            <w:pPr>
              <w:rPr>
                <w:sz w:val="18"/>
                <w:szCs w:val="18"/>
              </w:rPr>
            </w:pPr>
            <w:r w:rsidRPr="00674FA7">
              <w:rPr>
                <w:sz w:val="18"/>
                <w:szCs w:val="18"/>
              </w:rPr>
              <w:t>Promoción de la comunicación para la gestión ambiental</w:t>
            </w:r>
          </w:p>
        </w:tc>
        <w:tc>
          <w:tcPr>
            <w:tcW w:w="5617" w:type="dxa"/>
          </w:tcPr>
          <w:p w:rsidR="00FE6B72" w:rsidRPr="00674FA7" w:rsidRDefault="00FE6B72" w:rsidP="009520A4">
            <w:pPr>
              <w:spacing w:after="0"/>
              <w:cnfStyle w:val="000000100000" w:firstRow="0" w:lastRow="0" w:firstColumn="0" w:lastColumn="0" w:oddVBand="0" w:evenVBand="0" w:oddHBand="1" w:evenHBand="0" w:firstRowFirstColumn="0" w:firstRowLastColumn="0" w:lastRowFirstColumn="0" w:lastRowLastColumn="0"/>
              <w:rPr>
                <w:sz w:val="18"/>
                <w:szCs w:val="18"/>
              </w:rPr>
            </w:pPr>
            <w:r w:rsidRPr="00674FA7">
              <w:rPr>
                <w:sz w:val="18"/>
                <w:szCs w:val="18"/>
              </w:rPr>
              <w:t xml:space="preserve">Programa de radio Onda Ambiental y pautas radiales de política ambiental institucional </w:t>
            </w:r>
          </w:p>
          <w:p w:rsidR="00FE6B72" w:rsidRPr="00674FA7" w:rsidRDefault="00FE6B72" w:rsidP="00C21E52">
            <w:pPr>
              <w:pStyle w:val="Prrafodelista"/>
              <w:numPr>
                <w:ilvl w:val="0"/>
                <w:numId w:val="32"/>
              </w:numPr>
              <w:spacing w:after="0"/>
              <w:contextualSpacing w:val="0"/>
              <w:cnfStyle w:val="000000100000" w:firstRow="0" w:lastRow="0" w:firstColumn="0" w:lastColumn="0" w:oddVBand="0" w:evenVBand="0" w:oddHBand="1" w:evenHBand="0" w:firstRowFirstColumn="0" w:firstRowLastColumn="0" w:lastRowFirstColumn="0" w:lastRowLastColumn="0"/>
              <w:rPr>
                <w:sz w:val="18"/>
                <w:szCs w:val="18"/>
              </w:rPr>
            </w:pPr>
            <w:r w:rsidRPr="00674FA7">
              <w:rPr>
                <w:sz w:val="18"/>
                <w:szCs w:val="18"/>
              </w:rPr>
              <w:t>Cartillas sobre gestión ambiental universitaria</w:t>
            </w:r>
          </w:p>
          <w:p w:rsidR="00FE6B72" w:rsidRPr="00674FA7" w:rsidRDefault="00FE6B72" w:rsidP="00C21E52">
            <w:pPr>
              <w:pStyle w:val="Prrafodelista"/>
              <w:numPr>
                <w:ilvl w:val="0"/>
                <w:numId w:val="32"/>
              </w:numPr>
              <w:spacing w:after="0"/>
              <w:contextualSpacing w:val="0"/>
              <w:cnfStyle w:val="000000100000" w:firstRow="0" w:lastRow="0" w:firstColumn="0" w:lastColumn="0" w:oddVBand="0" w:evenVBand="0" w:oddHBand="1" w:evenHBand="0" w:firstRowFirstColumn="0" w:firstRowLastColumn="0" w:lastRowFirstColumn="0" w:lastRowLastColumn="0"/>
              <w:rPr>
                <w:sz w:val="18"/>
                <w:szCs w:val="18"/>
              </w:rPr>
            </w:pPr>
            <w:r w:rsidRPr="00674FA7">
              <w:rPr>
                <w:sz w:val="18"/>
                <w:szCs w:val="18"/>
              </w:rPr>
              <w:t>Articulación a redes sociales</w:t>
            </w:r>
          </w:p>
        </w:tc>
      </w:tr>
    </w:tbl>
    <w:p w:rsidR="000D7B00" w:rsidRDefault="000D7B00" w:rsidP="000D7B00">
      <w:pPr>
        <w:jc w:val="center"/>
        <w:rPr>
          <w:b/>
          <w:i/>
          <w:sz w:val="20"/>
        </w:rPr>
      </w:pPr>
      <w:r w:rsidRPr="008A4A11">
        <w:rPr>
          <w:b/>
          <w:i/>
          <w:sz w:val="20"/>
        </w:rPr>
        <w:t>Fuente: Instituto de investigaciones ambientales</w:t>
      </w:r>
      <w:bookmarkStart w:id="65" w:name="_Toc290360675"/>
      <w:bookmarkStart w:id="66" w:name="_Toc319421850"/>
    </w:p>
    <w:p w:rsidR="00FE6B72" w:rsidRPr="00C801DB" w:rsidRDefault="00FE6B72" w:rsidP="000D7B00">
      <w:pPr>
        <w:jc w:val="center"/>
        <w:rPr>
          <w:b/>
          <w:i/>
          <w:sz w:val="20"/>
        </w:rPr>
      </w:pPr>
    </w:p>
    <w:p w:rsidR="000D7B00" w:rsidRPr="00C801DB" w:rsidRDefault="000D7B00" w:rsidP="000D7B00">
      <w:r>
        <w:t>Durante el periodo de ejecución del Plan de Desarrollo Institucional, el componente Desarrollo físico sostenible ha presentado los siguientes logros:</w:t>
      </w:r>
    </w:p>
    <w:p w:rsidR="000D7B00" w:rsidRDefault="000D7B00" w:rsidP="000D7B00">
      <w:pPr>
        <w:autoSpaceDE w:val="0"/>
        <w:autoSpaceDN w:val="0"/>
        <w:adjustRightInd w:val="0"/>
        <w:spacing w:after="0"/>
        <w:jc w:val="left"/>
      </w:pPr>
      <w:r>
        <w:rPr>
          <w:rFonts w:cs="Calibri"/>
          <w:b/>
          <w:bCs/>
          <w:color w:val="000000"/>
        </w:rPr>
        <w:t xml:space="preserve">Desarrollo Físico Sostenible </w:t>
      </w:r>
      <w:r w:rsidRPr="00E87E0E">
        <w:rPr>
          <w:rFonts w:cs="Calibri"/>
          <w:b/>
          <w:bCs/>
          <w:color w:val="000000"/>
        </w:rPr>
        <w:t xml:space="preserve"> </w:t>
      </w:r>
      <w:r w:rsidRPr="00E87E0E">
        <w:rPr>
          <w:rFonts w:cs="Calibri"/>
          <w:color w:val="000000"/>
        </w:rPr>
        <w:t xml:space="preserve">= </w:t>
      </w:r>
      <w:r w:rsidRPr="00C801DB">
        <w:rPr>
          <w:rFonts w:cs="Calibri"/>
          <w:color w:val="000000"/>
        </w:rPr>
        <w:t>GAU * 30% + GEC * 10% + GSA * 10% + SIF * 50%</w:t>
      </w:r>
    </w:p>
    <w:p w:rsidR="000D7B00" w:rsidRDefault="000D7B00" w:rsidP="000D7B00">
      <w:pPr>
        <w:autoSpaceDE w:val="0"/>
        <w:autoSpaceDN w:val="0"/>
        <w:adjustRightInd w:val="0"/>
        <w:spacing w:after="0"/>
        <w:jc w:val="left"/>
      </w:pPr>
    </w:p>
    <w:p w:rsidR="000D7B00" w:rsidRPr="003131AE" w:rsidRDefault="000D7B00" w:rsidP="00C21E52">
      <w:pPr>
        <w:pStyle w:val="Prrafodelista"/>
        <w:numPr>
          <w:ilvl w:val="0"/>
          <w:numId w:val="31"/>
        </w:numPr>
        <w:autoSpaceDE w:val="0"/>
        <w:autoSpaceDN w:val="0"/>
        <w:adjustRightInd w:val="0"/>
        <w:spacing w:after="70"/>
      </w:pPr>
      <w:r>
        <w:t>GAU: Gestión ambiental Universitaria</w:t>
      </w:r>
    </w:p>
    <w:p w:rsidR="000D7B00" w:rsidRPr="003131AE" w:rsidRDefault="000D7B00" w:rsidP="00C21E52">
      <w:pPr>
        <w:pStyle w:val="Prrafodelista"/>
        <w:numPr>
          <w:ilvl w:val="0"/>
          <w:numId w:val="31"/>
        </w:numPr>
        <w:autoSpaceDE w:val="0"/>
        <w:autoSpaceDN w:val="0"/>
        <w:adjustRightInd w:val="0"/>
        <w:spacing w:after="70"/>
      </w:pPr>
      <w:r>
        <w:t>GEC: Gestión estratégica del campus</w:t>
      </w:r>
    </w:p>
    <w:p w:rsidR="000D7B00" w:rsidRPr="003131AE" w:rsidRDefault="000D7B00" w:rsidP="00C21E52">
      <w:pPr>
        <w:pStyle w:val="Prrafodelista"/>
        <w:numPr>
          <w:ilvl w:val="0"/>
          <w:numId w:val="31"/>
        </w:numPr>
        <w:autoSpaceDE w:val="0"/>
        <w:autoSpaceDN w:val="0"/>
        <w:adjustRightInd w:val="0"/>
        <w:spacing w:after="70"/>
      </w:pPr>
      <w:r>
        <w:t>GSA: Gestión de sedes alternas</w:t>
      </w:r>
    </w:p>
    <w:p w:rsidR="000D7B00" w:rsidRDefault="000D7B00" w:rsidP="00C21E52">
      <w:pPr>
        <w:pStyle w:val="Prrafodelista"/>
        <w:numPr>
          <w:ilvl w:val="0"/>
          <w:numId w:val="31"/>
        </w:numPr>
        <w:autoSpaceDE w:val="0"/>
        <w:autoSpaceDN w:val="0"/>
        <w:adjustRightInd w:val="0"/>
        <w:spacing w:after="0"/>
      </w:pPr>
      <w:r>
        <w:t>SIF: Sostenibilidad de la infraestructura física</w:t>
      </w:r>
    </w:p>
    <w:p w:rsidR="002F438E" w:rsidRPr="00891B60" w:rsidRDefault="002F438E" w:rsidP="002F438E">
      <w:pPr>
        <w:pStyle w:val="Prrafodelista"/>
        <w:autoSpaceDE w:val="0"/>
        <w:autoSpaceDN w:val="0"/>
        <w:adjustRightInd w:val="0"/>
        <w:spacing w:after="0"/>
      </w:pPr>
    </w:p>
    <w:p w:rsidR="000D7B00" w:rsidRDefault="000D7B00" w:rsidP="000D7B00">
      <w:pPr>
        <w:jc w:val="center"/>
        <w:rPr>
          <w:b/>
          <w:color w:val="000000" w:themeColor="text1"/>
        </w:rPr>
      </w:pPr>
      <w:r>
        <w:rPr>
          <w:b/>
          <w:color w:val="000000" w:themeColor="text1"/>
        </w:rPr>
        <w:t>Logros alcanzados</w:t>
      </w:r>
      <w:r w:rsidRPr="00647FA1">
        <w:rPr>
          <w:b/>
          <w:color w:val="000000" w:themeColor="text1"/>
        </w:rPr>
        <w:t xml:space="preserve"> </w:t>
      </w:r>
      <w:r w:rsidRPr="00891B60">
        <w:rPr>
          <w:b/>
          <w:color w:val="000000" w:themeColor="text1"/>
        </w:rPr>
        <w:t xml:space="preserve">Desarrollo Físico Sostenible </w:t>
      </w:r>
      <w:r w:rsidRPr="00647FA1">
        <w:rPr>
          <w:b/>
          <w:color w:val="000000" w:themeColor="text1"/>
        </w:rPr>
        <w:t xml:space="preserve">para el año </w:t>
      </w:r>
      <w:r>
        <w:rPr>
          <w:b/>
          <w:color w:val="000000" w:themeColor="text1"/>
        </w:rPr>
        <w:t xml:space="preserve">2009 – </w:t>
      </w:r>
      <w:r w:rsidRPr="00647FA1">
        <w:rPr>
          <w:b/>
          <w:color w:val="000000" w:themeColor="text1"/>
        </w:rPr>
        <w:t>2012</w:t>
      </w:r>
      <w:r w:rsidRPr="0069072F">
        <w:rPr>
          <w:noProof/>
          <w:lang w:val="es-CO" w:eastAsia="es-CO"/>
        </w:rPr>
        <w:drawing>
          <wp:inline distT="0" distB="0" distL="0" distR="0">
            <wp:extent cx="4591050" cy="1590675"/>
            <wp:effectExtent l="0" t="0" r="0" b="0"/>
            <wp:docPr id="52" name="1 Gráfico"/>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0D7B00" w:rsidRDefault="000D7B00" w:rsidP="000D7B00">
      <w:pPr>
        <w:spacing w:after="0"/>
        <w:jc w:val="center"/>
        <w:rPr>
          <w:b/>
          <w:i/>
          <w:sz w:val="20"/>
          <w:szCs w:val="20"/>
        </w:rPr>
      </w:pPr>
      <w:r w:rsidRPr="00354DFA">
        <w:rPr>
          <w:b/>
          <w:i/>
          <w:sz w:val="20"/>
          <w:szCs w:val="20"/>
        </w:rPr>
        <w:t xml:space="preserve">Fuente: </w:t>
      </w:r>
      <w:r>
        <w:rPr>
          <w:b/>
          <w:i/>
          <w:sz w:val="20"/>
          <w:szCs w:val="20"/>
        </w:rPr>
        <w:t>Informes de Gestión</w:t>
      </w:r>
    </w:p>
    <w:p w:rsidR="000D7B00" w:rsidRDefault="000D7B00" w:rsidP="000D7B00">
      <w:pPr>
        <w:spacing w:after="0"/>
        <w:jc w:val="center"/>
        <w:rPr>
          <w:b/>
          <w:i/>
          <w:sz w:val="20"/>
          <w:szCs w:val="20"/>
        </w:rPr>
      </w:pPr>
    </w:p>
    <w:p w:rsidR="00F15F2D" w:rsidRDefault="002F438E" w:rsidP="000D7B00">
      <w:pPr>
        <w:spacing w:after="0"/>
        <w:jc w:val="center"/>
        <w:rPr>
          <w:b/>
          <w:i/>
          <w:sz w:val="20"/>
          <w:szCs w:val="20"/>
        </w:rPr>
      </w:pPr>
      <w:r>
        <w:rPr>
          <w:b/>
          <w:i/>
          <w:sz w:val="20"/>
          <w:szCs w:val="20"/>
        </w:rPr>
        <w:t>.</w:t>
      </w:r>
    </w:p>
    <w:tbl>
      <w:tblPr>
        <w:tblStyle w:val="Cuadrculaclara-nfasis1"/>
        <w:tblW w:w="0" w:type="auto"/>
        <w:tblLook w:val="04A0" w:firstRow="1" w:lastRow="0" w:firstColumn="1" w:lastColumn="0" w:noHBand="0" w:noVBand="1"/>
      </w:tblPr>
      <w:tblGrid>
        <w:gridCol w:w="675"/>
        <w:gridCol w:w="8303"/>
      </w:tblGrid>
      <w:tr w:rsidR="002F438E" w:rsidRPr="002F438E" w:rsidTr="002F438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75" w:type="dxa"/>
          </w:tcPr>
          <w:p w:rsidR="002F438E" w:rsidRPr="002F438E" w:rsidRDefault="002F438E" w:rsidP="002F438E">
            <w:pPr>
              <w:jc w:val="center"/>
              <w:rPr>
                <w:sz w:val="18"/>
                <w:szCs w:val="18"/>
              </w:rPr>
            </w:pPr>
            <w:r w:rsidRPr="002F438E">
              <w:rPr>
                <w:sz w:val="18"/>
                <w:szCs w:val="18"/>
              </w:rPr>
              <w:t>Año</w:t>
            </w:r>
          </w:p>
        </w:tc>
        <w:tc>
          <w:tcPr>
            <w:tcW w:w="8303" w:type="dxa"/>
          </w:tcPr>
          <w:p w:rsidR="002F438E" w:rsidRPr="002F438E" w:rsidRDefault="002F438E" w:rsidP="002F438E">
            <w:pPr>
              <w:jc w:val="center"/>
              <w:cnfStyle w:val="100000000000" w:firstRow="1" w:lastRow="0" w:firstColumn="0" w:lastColumn="0" w:oddVBand="0" w:evenVBand="0" w:oddHBand="0" w:evenHBand="0" w:firstRowFirstColumn="0" w:firstRowLastColumn="0" w:lastRowFirstColumn="0" w:lastRowLastColumn="0"/>
              <w:rPr>
                <w:sz w:val="18"/>
                <w:szCs w:val="18"/>
              </w:rPr>
            </w:pPr>
            <w:r w:rsidRPr="002F438E">
              <w:rPr>
                <w:sz w:val="18"/>
                <w:szCs w:val="18"/>
              </w:rPr>
              <w:t>Resultados</w:t>
            </w:r>
          </w:p>
        </w:tc>
      </w:tr>
      <w:tr w:rsidR="002F438E" w:rsidRPr="002F438E" w:rsidTr="009D436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75" w:type="dxa"/>
            <w:vAlign w:val="center"/>
          </w:tcPr>
          <w:p w:rsidR="002F438E" w:rsidRPr="002F438E" w:rsidRDefault="002F438E" w:rsidP="009D4369">
            <w:pPr>
              <w:jc w:val="center"/>
              <w:rPr>
                <w:b w:val="0"/>
                <w:sz w:val="18"/>
                <w:szCs w:val="18"/>
              </w:rPr>
            </w:pPr>
            <w:r>
              <w:rPr>
                <w:b w:val="0"/>
                <w:sz w:val="18"/>
                <w:szCs w:val="18"/>
              </w:rPr>
              <w:t>2009</w:t>
            </w:r>
          </w:p>
        </w:tc>
        <w:tc>
          <w:tcPr>
            <w:tcW w:w="8303" w:type="dxa"/>
          </w:tcPr>
          <w:p w:rsidR="002F438E" w:rsidRPr="002F438E" w:rsidRDefault="002F438E" w:rsidP="00C21E52">
            <w:pPr>
              <w:pStyle w:val="Prrafodelista"/>
              <w:numPr>
                <w:ilvl w:val="0"/>
                <w:numId w:val="41"/>
              </w:numPr>
              <w:spacing w:after="0"/>
              <w:ind w:left="318"/>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2F438E">
              <w:rPr>
                <w:iCs/>
                <w:color w:val="000000" w:themeColor="text1"/>
                <w:sz w:val="20"/>
                <w:szCs w:val="20"/>
              </w:rPr>
              <w:t xml:space="preserve">Se dio inicio a la Construcción del </w:t>
            </w:r>
            <w:r>
              <w:rPr>
                <w:iCs/>
                <w:color w:val="000000" w:themeColor="text1"/>
                <w:sz w:val="20"/>
                <w:szCs w:val="20"/>
              </w:rPr>
              <w:t>Módulo sur.</w:t>
            </w:r>
          </w:p>
          <w:p w:rsidR="002F438E" w:rsidRPr="002F438E" w:rsidRDefault="002F438E" w:rsidP="00C21E52">
            <w:pPr>
              <w:pStyle w:val="Prrafodelista"/>
              <w:numPr>
                <w:ilvl w:val="0"/>
                <w:numId w:val="41"/>
              </w:numPr>
              <w:spacing w:after="200" w:line="276" w:lineRule="auto"/>
              <w:ind w:left="318"/>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2F438E">
              <w:rPr>
                <w:iCs/>
                <w:color w:val="000000" w:themeColor="text1"/>
                <w:sz w:val="20"/>
                <w:szCs w:val="20"/>
              </w:rPr>
              <w:t>Construcción del centro de procesamiento de datos.</w:t>
            </w:r>
          </w:p>
          <w:p w:rsidR="002F438E" w:rsidRPr="002F438E" w:rsidRDefault="002F438E" w:rsidP="00C21E52">
            <w:pPr>
              <w:pStyle w:val="Prrafodelista"/>
              <w:numPr>
                <w:ilvl w:val="0"/>
                <w:numId w:val="41"/>
              </w:numPr>
              <w:spacing w:after="200" w:line="276" w:lineRule="auto"/>
              <w:ind w:left="318"/>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2F438E">
              <w:rPr>
                <w:iCs/>
                <w:color w:val="000000" w:themeColor="text1"/>
                <w:sz w:val="20"/>
                <w:szCs w:val="20"/>
              </w:rPr>
              <w:t>Se intervino el Laboratorio de Genética Médica en convenio con la ESE Salud Pereira para el funcionamiento en las nuevas instalaciones y se diseñó el proceso de intervención en la sede de ciencias clínicas.</w:t>
            </w:r>
          </w:p>
          <w:p w:rsidR="002F438E" w:rsidRPr="002F438E" w:rsidRDefault="002F438E" w:rsidP="00C21E52">
            <w:pPr>
              <w:pStyle w:val="Prrafodelista"/>
              <w:numPr>
                <w:ilvl w:val="0"/>
                <w:numId w:val="41"/>
              </w:numPr>
              <w:spacing w:after="200" w:line="276" w:lineRule="auto"/>
              <w:ind w:left="318"/>
              <w:cnfStyle w:val="000000100000" w:firstRow="0" w:lastRow="0" w:firstColumn="0" w:lastColumn="0" w:oddVBand="0" w:evenVBand="0" w:oddHBand="1" w:evenHBand="0" w:firstRowFirstColumn="0" w:firstRowLastColumn="0" w:lastRowFirstColumn="0" w:lastRowLastColumn="0"/>
              <w:rPr>
                <w:b/>
                <w:iCs/>
                <w:color w:val="000000" w:themeColor="text1"/>
                <w:sz w:val="20"/>
                <w:szCs w:val="20"/>
              </w:rPr>
            </w:pPr>
            <w:r w:rsidRPr="002F438E">
              <w:rPr>
                <w:iCs/>
                <w:color w:val="000000" w:themeColor="text1"/>
                <w:sz w:val="20"/>
                <w:szCs w:val="20"/>
              </w:rPr>
              <w:t xml:space="preserve">El Jardín Botánico a través de su programa Coordinación científica, realiza las labores de curaduría de los bosques de la Universidad y realiza monitoreo permanente para garantizar la </w:t>
            </w:r>
            <w:r w:rsidRPr="002F438E">
              <w:rPr>
                <w:iCs/>
                <w:color w:val="000000" w:themeColor="text1"/>
                <w:sz w:val="20"/>
                <w:szCs w:val="20"/>
              </w:rPr>
              <w:lastRenderedPageBreak/>
              <w:t>sostenibilidad en área y calidad ambiental de las mismas.</w:t>
            </w:r>
          </w:p>
        </w:tc>
      </w:tr>
      <w:tr w:rsidR="002F438E" w:rsidRPr="002F438E" w:rsidTr="009D436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75" w:type="dxa"/>
            <w:vAlign w:val="center"/>
          </w:tcPr>
          <w:p w:rsidR="002F438E" w:rsidRPr="002F438E" w:rsidRDefault="002F438E" w:rsidP="009D4369">
            <w:pPr>
              <w:jc w:val="center"/>
              <w:rPr>
                <w:b w:val="0"/>
                <w:sz w:val="18"/>
                <w:szCs w:val="18"/>
              </w:rPr>
            </w:pPr>
            <w:r>
              <w:rPr>
                <w:b w:val="0"/>
                <w:sz w:val="18"/>
                <w:szCs w:val="18"/>
              </w:rPr>
              <w:lastRenderedPageBreak/>
              <w:t>2010</w:t>
            </w:r>
          </w:p>
        </w:tc>
        <w:tc>
          <w:tcPr>
            <w:tcW w:w="8303" w:type="dxa"/>
          </w:tcPr>
          <w:p w:rsidR="002F438E" w:rsidRPr="002F438E" w:rsidRDefault="002F438E" w:rsidP="00C21E52">
            <w:pPr>
              <w:pStyle w:val="Prrafodelista"/>
              <w:numPr>
                <w:ilvl w:val="0"/>
                <w:numId w:val="41"/>
              </w:numPr>
              <w:spacing w:after="200" w:line="276" w:lineRule="auto"/>
              <w:ind w:left="318"/>
              <w:cnfStyle w:val="000000010000" w:firstRow="0" w:lastRow="0" w:firstColumn="0" w:lastColumn="0" w:oddVBand="0" w:evenVBand="0" w:oddHBand="0" w:evenHBand="1" w:firstRowFirstColumn="0" w:firstRowLastColumn="0" w:lastRowFirstColumn="0" w:lastRowLastColumn="0"/>
              <w:rPr>
                <w:iCs/>
                <w:color w:val="000000" w:themeColor="text1"/>
                <w:sz w:val="20"/>
                <w:szCs w:val="20"/>
              </w:rPr>
            </w:pPr>
            <w:r w:rsidRPr="002F438E">
              <w:rPr>
                <w:iCs/>
                <w:color w:val="000000" w:themeColor="text1"/>
                <w:sz w:val="20"/>
                <w:szCs w:val="20"/>
              </w:rPr>
              <w:t>Durante el año 2010 el área construida de la universidad tuvo un incremento del 3,13%, pasando de 59.873,87m2 en el 2009 a 61.745,56 m2; este crecimiento se debe principalmente a la construcción del Bloque Sur del Módulo Interdisciplinario, con el cual se puso a disposición de la comunidad universitaria un total de 16 aulas más; con capacidad para 280 estudiantes de todas las facultades.</w:t>
            </w:r>
          </w:p>
          <w:p w:rsidR="002F438E" w:rsidRPr="002F438E" w:rsidRDefault="002F438E" w:rsidP="00C21E52">
            <w:pPr>
              <w:pStyle w:val="Prrafodelista"/>
              <w:numPr>
                <w:ilvl w:val="0"/>
                <w:numId w:val="41"/>
              </w:numPr>
              <w:spacing w:after="200" w:line="276" w:lineRule="auto"/>
              <w:ind w:left="318"/>
              <w:cnfStyle w:val="000000010000" w:firstRow="0" w:lastRow="0" w:firstColumn="0" w:lastColumn="0" w:oddVBand="0" w:evenVBand="0" w:oddHBand="0" w:evenHBand="1" w:firstRowFirstColumn="0" w:firstRowLastColumn="0" w:lastRowFirstColumn="0" w:lastRowLastColumn="0"/>
              <w:rPr>
                <w:iCs/>
                <w:color w:val="000000" w:themeColor="text1"/>
                <w:sz w:val="20"/>
                <w:szCs w:val="20"/>
              </w:rPr>
            </w:pPr>
            <w:r w:rsidRPr="002F438E">
              <w:rPr>
                <w:iCs/>
                <w:color w:val="000000" w:themeColor="text1"/>
                <w:sz w:val="20"/>
                <w:szCs w:val="20"/>
              </w:rPr>
              <w:t>Construcción de Laboratorio E20, módulos de estudios y la Sede de Ciencias Clínicas.</w:t>
            </w:r>
          </w:p>
          <w:p w:rsidR="002F438E" w:rsidRPr="002F438E" w:rsidRDefault="002F438E" w:rsidP="00C21E52">
            <w:pPr>
              <w:pStyle w:val="Prrafodelista"/>
              <w:numPr>
                <w:ilvl w:val="0"/>
                <w:numId w:val="41"/>
              </w:numPr>
              <w:spacing w:after="200" w:line="276" w:lineRule="auto"/>
              <w:ind w:left="318"/>
              <w:cnfStyle w:val="000000010000" w:firstRow="0" w:lastRow="0" w:firstColumn="0" w:lastColumn="0" w:oddVBand="0" w:evenVBand="0" w:oddHBand="0" w:evenHBand="1" w:firstRowFirstColumn="0" w:firstRowLastColumn="0" w:lastRowFirstColumn="0" w:lastRowLastColumn="0"/>
              <w:rPr>
                <w:iCs/>
                <w:color w:val="000000" w:themeColor="text1"/>
                <w:sz w:val="20"/>
                <w:szCs w:val="20"/>
              </w:rPr>
            </w:pPr>
            <w:r w:rsidRPr="002F438E">
              <w:rPr>
                <w:iCs/>
                <w:color w:val="000000" w:themeColor="text1"/>
                <w:sz w:val="20"/>
                <w:szCs w:val="20"/>
              </w:rPr>
              <w:t>Se desarrollaron programas que promueven la educación ambiental y el desarrollo sostenible</w:t>
            </w:r>
          </w:p>
          <w:p w:rsidR="002F438E" w:rsidRPr="002F438E" w:rsidRDefault="002F438E" w:rsidP="00C21E52">
            <w:pPr>
              <w:pStyle w:val="Prrafodelista"/>
              <w:numPr>
                <w:ilvl w:val="0"/>
                <w:numId w:val="41"/>
              </w:numPr>
              <w:spacing w:after="200" w:line="276" w:lineRule="auto"/>
              <w:ind w:left="318"/>
              <w:cnfStyle w:val="000000010000" w:firstRow="0" w:lastRow="0" w:firstColumn="0" w:lastColumn="0" w:oddVBand="0" w:evenVBand="0" w:oddHBand="0" w:evenHBand="1" w:firstRowFirstColumn="0" w:firstRowLastColumn="0" w:lastRowFirstColumn="0" w:lastRowLastColumn="0"/>
              <w:rPr>
                <w:iCs/>
                <w:color w:val="000000" w:themeColor="text1"/>
                <w:sz w:val="20"/>
                <w:szCs w:val="20"/>
              </w:rPr>
            </w:pPr>
            <w:r w:rsidRPr="002F438E">
              <w:rPr>
                <w:iCs/>
                <w:color w:val="000000" w:themeColor="text1"/>
                <w:sz w:val="20"/>
                <w:szCs w:val="20"/>
              </w:rPr>
              <w:t>Se aprobó la Política Ambiental Institucional.</w:t>
            </w:r>
          </w:p>
          <w:p w:rsidR="002F438E" w:rsidRPr="002F438E" w:rsidRDefault="002F438E" w:rsidP="00C21E52">
            <w:pPr>
              <w:pStyle w:val="Prrafodelista"/>
              <w:numPr>
                <w:ilvl w:val="0"/>
                <w:numId w:val="41"/>
              </w:numPr>
              <w:spacing w:after="200" w:line="276" w:lineRule="auto"/>
              <w:ind w:left="318"/>
              <w:cnfStyle w:val="000000010000" w:firstRow="0" w:lastRow="0" w:firstColumn="0" w:lastColumn="0" w:oddVBand="0" w:evenVBand="0" w:oddHBand="0" w:evenHBand="1" w:firstRowFirstColumn="0" w:firstRowLastColumn="0" w:lastRowFirstColumn="0" w:lastRowLastColumn="0"/>
              <w:rPr>
                <w:sz w:val="18"/>
                <w:szCs w:val="18"/>
              </w:rPr>
            </w:pPr>
            <w:r w:rsidRPr="002F438E">
              <w:rPr>
                <w:iCs/>
                <w:color w:val="000000" w:themeColor="text1"/>
                <w:sz w:val="20"/>
                <w:szCs w:val="20"/>
              </w:rPr>
              <w:t>El Jardín Botánico categorizado como "Natural o Silvestre" según la Organización Internacional para la conservación en Jardines Botánicos (BGCI), lo que lo hace ser muy diferente a los que se encuentran en las principales ciudades de Colombia, Estados Unidos o Europa.</w:t>
            </w:r>
          </w:p>
        </w:tc>
      </w:tr>
      <w:tr w:rsidR="002F438E" w:rsidRPr="002F438E" w:rsidTr="009D436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75" w:type="dxa"/>
            <w:vAlign w:val="center"/>
          </w:tcPr>
          <w:p w:rsidR="002F438E" w:rsidRPr="002F438E" w:rsidRDefault="002F438E" w:rsidP="009D4369">
            <w:pPr>
              <w:jc w:val="center"/>
              <w:rPr>
                <w:b w:val="0"/>
                <w:sz w:val="18"/>
                <w:szCs w:val="18"/>
              </w:rPr>
            </w:pPr>
            <w:r>
              <w:rPr>
                <w:b w:val="0"/>
                <w:sz w:val="18"/>
                <w:szCs w:val="18"/>
              </w:rPr>
              <w:t>2011</w:t>
            </w:r>
          </w:p>
        </w:tc>
        <w:tc>
          <w:tcPr>
            <w:tcW w:w="8303" w:type="dxa"/>
          </w:tcPr>
          <w:p w:rsidR="002F438E" w:rsidRPr="002F438E" w:rsidRDefault="002F438E" w:rsidP="00C21E52">
            <w:pPr>
              <w:pStyle w:val="Prrafodelista"/>
              <w:numPr>
                <w:ilvl w:val="0"/>
                <w:numId w:val="41"/>
              </w:numPr>
              <w:spacing w:after="200" w:line="276" w:lineRule="auto"/>
              <w:ind w:left="318"/>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2F438E">
              <w:rPr>
                <w:iCs/>
                <w:color w:val="000000" w:themeColor="text1"/>
                <w:sz w:val="20"/>
                <w:szCs w:val="20"/>
              </w:rPr>
              <w:t>Índice de construcción 2,19; se logró la puesta en funcionamiento de la  Sede de Ciencias  clínicas; el área construida de la Universidad pasó de 61.745,56 m2 en el 2010 a 63.691,34 m2, generándose un incremento del 3,15%.</w:t>
            </w:r>
          </w:p>
          <w:p w:rsidR="002F438E" w:rsidRPr="002F438E" w:rsidRDefault="002F438E" w:rsidP="00C21E52">
            <w:pPr>
              <w:pStyle w:val="Prrafodelista"/>
              <w:numPr>
                <w:ilvl w:val="0"/>
                <w:numId w:val="41"/>
              </w:numPr>
              <w:spacing w:after="200" w:line="276" w:lineRule="auto"/>
              <w:ind w:left="318"/>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2F438E">
              <w:rPr>
                <w:iCs/>
                <w:color w:val="000000" w:themeColor="text1"/>
                <w:sz w:val="20"/>
                <w:szCs w:val="20"/>
              </w:rPr>
              <w:t>Inicio de adecuaciones a bienestar institucional e intervención estructural del Galpón</w:t>
            </w:r>
          </w:p>
          <w:p w:rsidR="002F438E" w:rsidRPr="002F438E" w:rsidRDefault="002F438E" w:rsidP="00C21E52">
            <w:pPr>
              <w:pStyle w:val="Prrafodelista"/>
              <w:numPr>
                <w:ilvl w:val="0"/>
                <w:numId w:val="41"/>
              </w:numPr>
              <w:spacing w:after="200" w:line="276" w:lineRule="auto"/>
              <w:ind w:left="318"/>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2F438E">
              <w:rPr>
                <w:iCs/>
                <w:color w:val="000000" w:themeColor="text1"/>
                <w:sz w:val="20"/>
                <w:szCs w:val="20"/>
              </w:rPr>
              <w:t>Se logró la construcción de la Sede Administrativa del Jardín Botánico, el diseño detallado del Centro de Interpretación Ambiental, el diseño del observatorio de fauna y avifauna y la formulación del Plan de Emergencias medioambiental de la UTP.</w:t>
            </w:r>
          </w:p>
          <w:p w:rsidR="002F438E" w:rsidRPr="002F438E" w:rsidRDefault="002F438E" w:rsidP="00C21E52">
            <w:pPr>
              <w:pStyle w:val="Prrafodelista"/>
              <w:numPr>
                <w:ilvl w:val="0"/>
                <w:numId w:val="41"/>
              </w:numPr>
              <w:spacing w:after="200" w:line="276" w:lineRule="auto"/>
              <w:ind w:left="318"/>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2F438E">
              <w:rPr>
                <w:iCs/>
                <w:color w:val="000000" w:themeColor="text1"/>
                <w:sz w:val="20"/>
                <w:szCs w:val="20"/>
              </w:rPr>
              <w:t>El porcentaje de áreas en conservación ambiental  de la universidad permanece en 61,41% del total del área del campus</w:t>
            </w:r>
          </w:p>
          <w:p w:rsidR="002F438E" w:rsidRPr="002F438E" w:rsidRDefault="002F438E" w:rsidP="00C21E52">
            <w:pPr>
              <w:pStyle w:val="Prrafodelista"/>
              <w:numPr>
                <w:ilvl w:val="0"/>
                <w:numId w:val="41"/>
              </w:numPr>
              <w:spacing w:after="200" w:line="276" w:lineRule="auto"/>
              <w:ind w:left="318"/>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2F438E">
              <w:rPr>
                <w:iCs/>
                <w:color w:val="000000" w:themeColor="text1"/>
                <w:sz w:val="20"/>
                <w:szCs w:val="20"/>
              </w:rPr>
              <w:t xml:space="preserve">Se han  incrementado las especies en conservación </w:t>
            </w:r>
            <w:r>
              <w:rPr>
                <w:iCs/>
                <w:color w:val="000000" w:themeColor="text1"/>
                <w:sz w:val="20"/>
                <w:szCs w:val="20"/>
              </w:rPr>
              <w:t xml:space="preserve">en </w:t>
            </w:r>
            <w:r w:rsidRPr="002F438E">
              <w:rPr>
                <w:iCs/>
                <w:color w:val="000000" w:themeColor="text1"/>
                <w:sz w:val="20"/>
                <w:szCs w:val="20"/>
              </w:rPr>
              <w:t>402</w:t>
            </w:r>
            <w:r>
              <w:rPr>
                <w:iCs/>
                <w:color w:val="000000" w:themeColor="text1"/>
                <w:sz w:val="20"/>
                <w:szCs w:val="20"/>
              </w:rPr>
              <w:t>.</w:t>
            </w:r>
          </w:p>
          <w:p w:rsidR="002F438E" w:rsidRPr="002F438E" w:rsidRDefault="002F438E" w:rsidP="00C21E52">
            <w:pPr>
              <w:pStyle w:val="Prrafodelista"/>
              <w:numPr>
                <w:ilvl w:val="0"/>
                <w:numId w:val="41"/>
              </w:numPr>
              <w:spacing w:after="200" w:line="276" w:lineRule="auto"/>
              <w:ind w:left="318"/>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2F438E">
              <w:rPr>
                <w:iCs/>
                <w:color w:val="000000" w:themeColor="text1"/>
                <w:sz w:val="20"/>
                <w:szCs w:val="20"/>
              </w:rPr>
              <w:t>Materialización del esfuerzo de gestión de más de siete años, al lograr la credibilidad de la institucionalidad regional para el encargo de proyectos ambientales.</w:t>
            </w:r>
          </w:p>
          <w:p w:rsidR="002F438E" w:rsidRPr="002F438E" w:rsidRDefault="002F438E" w:rsidP="00C21E52">
            <w:pPr>
              <w:pStyle w:val="Prrafodelista"/>
              <w:numPr>
                <w:ilvl w:val="0"/>
                <w:numId w:val="41"/>
              </w:numPr>
              <w:spacing w:after="200" w:line="276" w:lineRule="auto"/>
              <w:ind w:left="318"/>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2F438E">
              <w:rPr>
                <w:iCs/>
                <w:color w:val="000000" w:themeColor="text1"/>
                <w:sz w:val="20"/>
                <w:szCs w:val="20"/>
              </w:rPr>
              <w:t>Estudio de Factibilidad para la Creación de un Campo Escuela de Educación Experiencial en El Jardín Botánico Universidad Tecnológica de Pereira.</w:t>
            </w:r>
          </w:p>
          <w:p w:rsidR="002F438E" w:rsidRPr="002F438E" w:rsidRDefault="002F438E" w:rsidP="00C21E52">
            <w:pPr>
              <w:pStyle w:val="Prrafodelista"/>
              <w:numPr>
                <w:ilvl w:val="0"/>
                <w:numId w:val="41"/>
              </w:numPr>
              <w:spacing w:after="200" w:line="276" w:lineRule="auto"/>
              <w:ind w:left="318"/>
              <w:cnfStyle w:val="000000100000" w:firstRow="0" w:lastRow="0" w:firstColumn="0" w:lastColumn="0" w:oddVBand="0" w:evenVBand="0" w:oddHBand="1" w:evenHBand="0" w:firstRowFirstColumn="0" w:firstRowLastColumn="0" w:lastRowFirstColumn="0" w:lastRowLastColumn="0"/>
              <w:rPr>
                <w:sz w:val="18"/>
                <w:szCs w:val="18"/>
              </w:rPr>
            </w:pPr>
            <w:r w:rsidRPr="002F438E">
              <w:rPr>
                <w:iCs/>
                <w:color w:val="000000" w:themeColor="text1"/>
                <w:sz w:val="20"/>
                <w:szCs w:val="20"/>
              </w:rPr>
              <w:t>Se desarrolló el componente denominado: “Implementación de una política de gestión ambiental en la universidad”, dentro del cual se describen los siguientes programas: UTP Recicla,  Acciones de protección, mercado agroecológico y cátedra ambiental</w:t>
            </w:r>
            <w:r>
              <w:rPr>
                <w:iCs/>
                <w:color w:val="000000" w:themeColor="text1"/>
                <w:sz w:val="20"/>
                <w:szCs w:val="20"/>
              </w:rPr>
              <w:t>.</w:t>
            </w:r>
          </w:p>
        </w:tc>
      </w:tr>
    </w:tbl>
    <w:p w:rsidR="002F438E" w:rsidRDefault="002F438E" w:rsidP="000D7B00">
      <w:pPr>
        <w:spacing w:after="0"/>
        <w:jc w:val="center"/>
        <w:rPr>
          <w:b/>
          <w:i/>
          <w:sz w:val="20"/>
          <w:szCs w:val="20"/>
        </w:rPr>
      </w:pPr>
    </w:p>
    <w:p w:rsidR="000D7B00" w:rsidRDefault="002F438E" w:rsidP="000D7B00">
      <w:pPr>
        <w:jc w:val="center"/>
        <w:rPr>
          <w:b/>
          <w:i/>
          <w:sz w:val="20"/>
        </w:rPr>
      </w:pPr>
      <w:r>
        <w:rPr>
          <w:b/>
          <w:i/>
          <w:sz w:val="20"/>
        </w:rPr>
        <w:t xml:space="preserve">Fuente: </w:t>
      </w:r>
      <w:r w:rsidR="009D4369">
        <w:rPr>
          <w:b/>
          <w:i/>
          <w:sz w:val="20"/>
        </w:rPr>
        <w:t>Informes de Gestión</w:t>
      </w:r>
    </w:p>
    <w:p w:rsidR="000D7B00" w:rsidRDefault="000D7B00" w:rsidP="000D7B00">
      <w:pPr>
        <w:rPr>
          <w:b/>
          <w:i/>
          <w:sz w:val="20"/>
        </w:rPr>
      </w:pPr>
    </w:p>
    <w:p w:rsidR="000D7B00" w:rsidRPr="00A3078A" w:rsidRDefault="000D7B00" w:rsidP="00732E87">
      <w:pPr>
        <w:pStyle w:val="Ttulo2"/>
        <w:numPr>
          <w:ilvl w:val="1"/>
          <w:numId w:val="21"/>
        </w:numPr>
        <w:spacing w:line="276" w:lineRule="auto"/>
      </w:pPr>
      <w:bookmarkStart w:id="67" w:name="_Toc350238217"/>
      <w:bookmarkStart w:id="68" w:name="_Toc354671320"/>
      <w:r w:rsidRPr="00A3078A">
        <w:t>Desarrollo Informático y de Comunicaciones</w:t>
      </w:r>
      <w:bookmarkEnd w:id="65"/>
      <w:bookmarkEnd w:id="66"/>
      <w:bookmarkEnd w:id="67"/>
      <w:bookmarkEnd w:id="68"/>
    </w:p>
    <w:p w:rsidR="000D7B00" w:rsidRPr="00A96815" w:rsidRDefault="000D7B00" w:rsidP="000D7B00"/>
    <w:p w:rsidR="000D7B00" w:rsidRPr="00A96815" w:rsidRDefault="000D7B00" w:rsidP="000D7B00">
      <w:pPr>
        <w:rPr>
          <w:rFonts w:eastAsiaTheme="minorEastAsia"/>
          <w:lang w:bidi="en-US"/>
        </w:rPr>
      </w:pPr>
      <w:r w:rsidRPr="008A4A11">
        <w:t>El desarrollo informático y de comunicaciones enfoca la gestión de la Universidad con respecto a sus sistemas de información, los servicios automatizados, la sostenibilidad de hardware y software y los sistemas de comunicaci</w:t>
      </w:r>
      <w:r>
        <w:t xml:space="preserve">ón, </w:t>
      </w:r>
      <w:r>
        <w:rPr>
          <w:rFonts w:eastAsiaTheme="minorEastAsia"/>
          <w:lang w:bidi="en-US"/>
        </w:rPr>
        <w:t xml:space="preserve">el </w:t>
      </w:r>
      <w:r w:rsidRPr="009433B2">
        <w:rPr>
          <w:rFonts w:eastAsiaTheme="minorEastAsia"/>
          <w:lang w:bidi="en-US"/>
        </w:rPr>
        <w:t xml:space="preserve"> Desarrollo </w:t>
      </w:r>
      <w:r>
        <w:rPr>
          <w:rFonts w:eastAsiaTheme="minorEastAsia"/>
          <w:lang w:bidi="en-US"/>
        </w:rPr>
        <w:t>informativo y de comunicaciones , resultados que se detallan a continuación</w:t>
      </w:r>
      <w:r w:rsidRPr="009433B2">
        <w:rPr>
          <w:rFonts w:eastAsiaTheme="minorEastAsia"/>
          <w:lang w:bidi="en-US"/>
        </w:rPr>
        <w:t>:</w:t>
      </w:r>
    </w:p>
    <w:p w:rsidR="000D7B00" w:rsidRPr="00732E87" w:rsidRDefault="000D7B00" w:rsidP="00732E87">
      <w:pPr>
        <w:pStyle w:val="Ttulo3"/>
      </w:pPr>
      <w:bookmarkStart w:id="69" w:name="_Toc350238218"/>
      <w:bookmarkStart w:id="70" w:name="_Toc354671321"/>
      <w:r w:rsidRPr="00732E87">
        <w:lastRenderedPageBreak/>
        <w:t>Automatización de Recursos Físicos</w:t>
      </w:r>
      <w:bookmarkEnd w:id="69"/>
      <w:bookmarkEnd w:id="70"/>
    </w:p>
    <w:p w:rsidR="000D7B00" w:rsidRPr="00FE5269" w:rsidRDefault="000D7B00" w:rsidP="000D7B00">
      <w:pPr>
        <w:spacing w:after="0"/>
        <w:rPr>
          <w:b/>
          <w:color w:val="000000" w:themeColor="text1"/>
        </w:rPr>
      </w:pPr>
    </w:p>
    <w:p w:rsidR="000D7B00" w:rsidRPr="00F55B93" w:rsidRDefault="000D7B00" w:rsidP="000D7B00">
      <w:pPr>
        <w:autoSpaceDE w:val="0"/>
        <w:autoSpaceDN w:val="0"/>
        <w:adjustRightInd w:val="0"/>
        <w:spacing w:after="0"/>
      </w:pPr>
      <w:r w:rsidRPr="00F55B93">
        <w:t>Este componente permite tener una Infraestructura física automatizada con ejecución controlada y regulada, permitiendo su utilización de</w:t>
      </w:r>
      <w:r>
        <w:t xml:space="preserve"> forma racional, ágil y segura.</w:t>
      </w:r>
    </w:p>
    <w:p w:rsidR="000D7B00" w:rsidRPr="007B21CF" w:rsidRDefault="000D7B00" w:rsidP="000D7B00">
      <w:pPr>
        <w:autoSpaceDE w:val="0"/>
        <w:autoSpaceDN w:val="0"/>
        <w:adjustRightInd w:val="0"/>
        <w:spacing w:after="0"/>
        <w:rPr>
          <w:rFonts w:ascii="Maiandra GD" w:hAnsi="Maiandra GD"/>
          <w:sz w:val="20"/>
        </w:rPr>
      </w:pPr>
    </w:p>
    <w:p w:rsidR="000D7B00" w:rsidRDefault="000D7B00" w:rsidP="000D7B00">
      <w:pPr>
        <w:autoSpaceDE w:val="0"/>
        <w:autoSpaceDN w:val="0"/>
        <w:adjustRightInd w:val="0"/>
        <w:spacing w:after="0"/>
      </w:pPr>
      <w:r>
        <w:t xml:space="preserve">Para la vigencia 2012 este componente conto con </w:t>
      </w:r>
      <w:r w:rsidRPr="00FE5269">
        <w:t xml:space="preserve">un cumplimiento </w:t>
      </w:r>
      <w:r>
        <w:t xml:space="preserve">con respecto a la meta de </w:t>
      </w:r>
      <w:r w:rsidRPr="00FE5269">
        <w:t xml:space="preserve"> </w:t>
      </w:r>
      <w:r w:rsidRPr="00FE5269">
        <w:rPr>
          <w:b/>
        </w:rPr>
        <w:t>97</w:t>
      </w:r>
      <w:r w:rsidRPr="00F55B93">
        <w:rPr>
          <w:b/>
        </w:rPr>
        <w:t>,33%</w:t>
      </w:r>
      <w:r w:rsidRPr="00FE5269">
        <w:rPr>
          <w:b/>
        </w:rPr>
        <w:t>,</w:t>
      </w:r>
      <w:r w:rsidRPr="00FE5269">
        <w:t xml:space="preserve"> realizándose las actividades</w:t>
      </w:r>
      <w:r>
        <w:t xml:space="preserve"> como:</w:t>
      </w:r>
    </w:p>
    <w:p w:rsidR="000D7B00" w:rsidRDefault="000D7B00" w:rsidP="000D7B00">
      <w:pPr>
        <w:autoSpaceDE w:val="0"/>
        <w:autoSpaceDN w:val="0"/>
        <w:adjustRightInd w:val="0"/>
        <w:spacing w:after="0"/>
      </w:pPr>
    </w:p>
    <w:p w:rsidR="000D7B00" w:rsidRDefault="000D7B00" w:rsidP="00C21E52">
      <w:pPr>
        <w:pStyle w:val="Prrafodelista"/>
        <w:numPr>
          <w:ilvl w:val="0"/>
          <w:numId w:val="33"/>
        </w:numPr>
        <w:autoSpaceDE w:val="0"/>
        <w:autoSpaceDN w:val="0"/>
        <w:adjustRightInd w:val="0"/>
        <w:spacing w:after="0"/>
      </w:pPr>
      <w:r>
        <w:t>I</w:t>
      </w:r>
      <w:r w:rsidRPr="00FE5269">
        <w:t xml:space="preserve">nstalación de paneles de control de iluminación </w:t>
      </w:r>
      <w:r>
        <w:t>que</w:t>
      </w:r>
      <w:r w:rsidRPr="00FE5269">
        <w:t xml:space="preserve"> permiten integrar el sistema de iluminación al software de automatización, y realizar un control</w:t>
      </w:r>
      <w:r>
        <w:t xml:space="preserve"> de</w:t>
      </w:r>
      <w:r w:rsidRPr="00FE5269">
        <w:t xml:space="preserve"> horario de</w:t>
      </w:r>
      <w:r>
        <w:t xml:space="preserve"> los circuitos de iluminación.</w:t>
      </w:r>
    </w:p>
    <w:p w:rsidR="000D7B00" w:rsidRDefault="000D7B00" w:rsidP="00C21E52">
      <w:pPr>
        <w:pStyle w:val="Prrafodelista"/>
        <w:numPr>
          <w:ilvl w:val="0"/>
          <w:numId w:val="33"/>
        </w:numPr>
        <w:autoSpaceDE w:val="0"/>
        <w:autoSpaceDN w:val="0"/>
        <w:adjustRightInd w:val="0"/>
        <w:spacing w:after="0"/>
      </w:pPr>
      <w:r>
        <w:t>I</w:t>
      </w:r>
      <w:r w:rsidR="00EC5B2E">
        <w:t>nstalación de un caudalí</w:t>
      </w:r>
      <w:r w:rsidRPr="00FE5269">
        <w:t xml:space="preserve">metro y de un analizador de redes, para monitorear el consumo de agua y energía en el edificio de industrial. </w:t>
      </w:r>
    </w:p>
    <w:p w:rsidR="000D7B00" w:rsidRDefault="000D7B00" w:rsidP="00C21E52">
      <w:pPr>
        <w:pStyle w:val="Prrafodelista"/>
        <w:numPr>
          <w:ilvl w:val="0"/>
          <w:numId w:val="33"/>
        </w:numPr>
        <w:autoSpaceDE w:val="0"/>
        <w:autoSpaceDN w:val="0"/>
        <w:adjustRightInd w:val="0"/>
        <w:spacing w:after="0"/>
      </w:pPr>
      <w:r>
        <w:t>Instalación</w:t>
      </w:r>
      <w:r w:rsidRPr="00FE5269">
        <w:t xml:space="preserve"> en los pisos segundo y tercero </w:t>
      </w:r>
      <w:r>
        <w:t>de Ingeniería Industrial los sistemas</w:t>
      </w:r>
      <w:r w:rsidRPr="00FE5269">
        <w:t xml:space="preserve"> de luminarias tipo LED las cuales nos ofrecen un 50% de ahorro en el consumo de energía convencional con luminarias fluorescentes de 2x32 W. </w:t>
      </w:r>
    </w:p>
    <w:p w:rsidR="000D7B00" w:rsidRDefault="000D7B00" w:rsidP="00C21E52">
      <w:pPr>
        <w:pStyle w:val="Prrafodelista"/>
        <w:numPr>
          <w:ilvl w:val="0"/>
          <w:numId w:val="33"/>
        </w:numPr>
        <w:spacing w:after="0"/>
        <w:rPr>
          <w:rFonts w:cs="Arial"/>
        </w:rPr>
      </w:pPr>
      <w:r>
        <w:rPr>
          <w:rFonts w:cs="Arial"/>
        </w:rPr>
        <w:t>I</w:t>
      </w:r>
      <w:r w:rsidRPr="0049310A">
        <w:rPr>
          <w:rFonts w:cs="Arial"/>
        </w:rPr>
        <w:t xml:space="preserve">nstalación de sensores de movimiento en los baños </w:t>
      </w:r>
      <w:r>
        <w:rPr>
          <w:rFonts w:cs="Arial"/>
        </w:rPr>
        <w:t xml:space="preserve">del edificio de industrial </w:t>
      </w:r>
      <w:r w:rsidRPr="0049310A">
        <w:rPr>
          <w:rFonts w:cs="Arial"/>
        </w:rPr>
        <w:t xml:space="preserve"> de modo que las luminarias solo</w:t>
      </w:r>
      <w:r>
        <w:rPr>
          <w:rFonts w:cs="Arial"/>
        </w:rPr>
        <w:t xml:space="preserve"> se</w:t>
      </w:r>
      <w:r w:rsidRPr="0049310A">
        <w:rPr>
          <w:rFonts w:cs="Arial"/>
        </w:rPr>
        <w:t xml:space="preserve"> encie</w:t>
      </w:r>
      <w:r>
        <w:rPr>
          <w:rFonts w:cs="Arial"/>
        </w:rPr>
        <w:t>ndan cuando son requeridas.</w:t>
      </w:r>
    </w:p>
    <w:p w:rsidR="000D7B00" w:rsidRPr="0049310A" w:rsidRDefault="000D7B00" w:rsidP="00C21E52">
      <w:pPr>
        <w:pStyle w:val="Prrafodelista"/>
        <w:numPr>
          <w:ilvl w:val="0"/>
          <w:numId w:val="33"/>
        </w:numPr>
        <w:spacing w:after="0"/>
        <w:rPr>
          <w:rFonts w:cs="Arial"/>
        </w:rPr>
      </w:pPr>
      <w:r>
        <w:rPr>
          <w:rFonts w:cs="Arial"/>
        </w:rPr>
        <w:t>Proceso</w:t>
      </w:r>
      <w:r w:rsidRPr="0049310A">
        <w:rPr>
          <w:rFonts w:cs="Arial"/>
        </w:rPr>
        <w:t xml:space="preserve"> de regulación y marcado del cableado estructurado del centro de datos.</w:t>
      </w:r>
    </w:p>
    <w:p w:rsidR="000D7B00" w:rsidRPr="0049310A" w:rsidRDefault="000D7B00" w:rsidP="00C21E52">
      <w:pPr>
        <w:pStyle w:val="Prrafodelista"/>
        <w:numPr>
          <w:ilvl w:val="0"/>
          <w:numId w:val="33"/>
        </w:numPr>
        <w:spacing w:after="0"/>
        <w:rPr>
          <w:rFonts w:cs="Arial"/>
        </w:rPr>
      </w:pPr>
      <w:r>
        <w:rPr>
          <w:rFonts w:cs="Arial"/>
        </w:rPr>
        <w:t>Se llevó a cabo la r</w:t>
      </w:r>
      <w:r w:rsidRPr="0049310A">
        <w:rPr>
          <w:rFonts w:cs="Arial"/>
        </w:rPr>
        <w:t>enovación de equipo de cómputo para la Administración, Docencia y Laboratorios.</w:t>
      </w:r>
    </w:p>
    <w:p w:rsidR="000D7B00" w:rsidRPr="00A96815" w:rsidRDefault="000D7B00" w:rsidP="00C21E52">
      <w:pPr>
        <w:pStyle w:val="Prrafodelista"/>
        <w:numPr>
          <w:ilvl w:val="0"/>
          <w:numId w:val="33"/>
        </w:numPr>
        <w:spacing w:after="0"/>
        <w:rPr>
          <w:rFonts w:cs="Arial"/>
        </w:rPr>
      </w:pPr>
      <w:r>
        <w:rPr>
          <w:rFonts w:cs="Arial"/>
        </w:rPr>
        <w:t>Se realizaron los m</w:t>
      </w:r>
      <w:r w:rsidRPr="0049310A">
        <w:rPr>
          <w:rFonts w:cs="Arial"/>
        </w:rPr>
        <w:t>antenimientos preventivos y correctivos a equipos de cómputo en la Universidad</w:t>
      </w:r>
    </w:p>
    <w:p w:rsidR="000D7B00" w:rsidRPr="00732E87" w:rsidRDefault="000D7B00" w:rsidP="00732E87">
      <w:pPr>
        <w:pStyle w:val="Ttulo3"/>
      </w:pPr>
      <w:bookmarkStart w:id="71" w:name="_Toc350238219"/>
      <w:bookmarkStart w:id="72" w:name="_Toc354671322"/>
      <w:r w:rsidRPr="00732E87">
        <w:t>Sistemas de información</w:t>
      </w:r>
      <w:bookmarkEnd w:id="71"/>
      <w:bookmarkEnd w:id="72"/>
    </w:p>
    <w:p w:rsidR="000D7B00" w:rsidRDefault="000D7B00" w:rsidP="000D7B00"/>
    <w:p w:rsidR="000D7B00" w:rsidRPr="00B90D83" w:rsidRDefault="000D7B00" w:rsidP="000D7B00">
      <w:pPr>
        <w:rPr>
          <w:rFonts w:eastAsiaTheme="minorEastAsia"/>
        </w:rPr>
      </w:pPr>
      <w:r w:rsidRPr="00B90D83">
        <w:rPr>
          <w:rFonts w:eastAsiaTheme="minorEastAsia"/>
        </w:rPr>
        <w:t xml:space="preserve">Este componente permite la implementación de los Sistemas de información, en procesos de mejoramiento continuo y orientado a proporcionar información para el desarrollo del conocimiento y la toma de decisiones, atendiendo el cumplimiento de la </w:t>
      </w:r>
      <w:r>
        <w:rPr>
          <w:rFonts w:eastAsiaTheme="minorEastAsia"/>
        </w:rPr>
        <w:t>misión y visión institucional.</w:t>
      </w:r>
    </w:p>
    <w:p w:rsidR="000D7B00" w:rsidRDefault="000D7B00" w:rsidP="000D7B00">
      <w:pPr>
        <w:rPr>
          <w:rFonts w:eastAsiaTheme="minorEastAsia"/>
        </w:rPr>
      </w:pPr>
      <w:r w:rsidRPr="00B90D83">
        <w:rPr>
          <w:rFonts w:eastAsiaTheme="minorEastAsia"/>
        </w:rPr>
        <w:t xml:space="preserve">Para la vigencia de </w:t>
      </w:r>
      <w:r w:rsidRPr="00674FA7">
        <w:rPr>
          <w:rFonts w:eastAsiaTheme="minorEastAsia"/>
          <w:b/>
        </w:rPr>
        <w:t>2012</w:t>
      </w:r>
      <w:r w:rsidRPr="00B90D83">
        <w:rPr>
          <w:rFonts w:eastAsiaTheme="minorEastAsia"/>
        </w:rPr>
        <w:t xml:space="preserve">, </w:t>
      </w:r>
      <w:r>
        <w:rPr>
          <w:rFonts w:eastAsiaTheme="minorEastAsia"/>
        </w:rPr>
        <w:t>se desarrollaran las siguientes actividades</w:t>
      </w:r>
      <w:r w:rsidRPr="00B90D83">
        <w:rPr>
          <w:rFonts w:eastAsiaTheme="minorEastAsia"/>
        </w:rPr>
        <w:t xml:space="preserve">: </w:t>
      </w:r>
    </w:p>
    <w:tbl>
      <w:tblPr>
        <w:tblStyle w:val="Cuadrculaclara-nfasis1"/>
        <w:tblW w:w="0" w:type="auto"/>
        <w:jc w:val="center"/>
        <w:tblLook w:val="04A0" w:firstRow="1" w:lastRow="0" w:firstColumn="1" w:lastColumn="0" w:noHBand="0" w:noVBand="1"/>
      </w:tblPr>
      <w:tblGrid>
        <w:gridCol w:w="5233"/>
        <w:gridCol w:w="1313"/>
      </w:tblGrid>
      <w:tr w:rsidR="00674FA7" w:rsidRPr="00674FA7" w:rsidTr="003F7A7D">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5233" w:type="dxa"/>
          </w:tcPr>
          <w:p w:rsidR="000D7B00" w:rsidRPr="00674FA7" w:rsidRDefault="000D7B00" w:rsidP="005550DB">
            <w:pPr>
              <w:jc w:val="center"/>
              <w:rPr>
                <w:rFonts w:eastAsiaTheme="minorEastAsia"/>
                <w:sz w:val="18"/>
                <w:szCs w:val="18"/>
              </w:rPr>
            </w:pPr>
            <w:r w:rsidRPr="00674FA7">
              <w:rPr>
                <w:rFonts w:eastAsiaTheme="minorEastAsia"/>
                <w:sz w:val="18"/>
                <w:szCs w:val="18"/>
              </w:rPr>
              <w:t>PROYECTOS</w:t>
            </w:r>
          </w:p>
        </w:tc>
        <w:tc>
          <w:tcPr>
            <w:tcW w:w="1313" w:type="dxa"/>
          </w:tcPr>
          <w:p w:rsidR="000D7B00" w:rsidRPr="00674FA7" w:rsidRDefault="000D7B00" w:rsidP="005550DB">
            <w:pPr>
              <w:jc w:val="center"/>
              <w:cnfStyle w:val="100000000000" w:firstRow="1" w:lastRow="0" w:firstColumn="0" w:lastColumn="0" w:oddVBand="0" w:evenVBand="0" w:oddHBand="0" w:evenHBand="0" w:firstRowFirstColumn="0" w:firstRowLastColumn="0" w:lastRowFirstColumn="0" w:lastRowLastColumn="0"/>
              <w:rPr>
                <w:rFonts w:eastAsiaTheme="minorEastAsia"/>
                <w:sz w:val="18"/>
                <w:szCs w:val="18"/>
              </w:rPr>
            </w:pPr>
            <w:r w:rsidRPr="00674FA7">
              <w:rPr>
                <w:rFonts w:eastAsiaTheme="minorEastAsia"/>
                <w:sz w:val="18"/>
                <w:szCs w:val="18"/>
              </w:rPr>
              <w:t>% AVANCE</w:t>
            </w:r>
          </w:p>
        </w:tc>
      </w:tr>
      <w:tr w:rsidR="000D7B00" w:rsidRPr="00674FA7" w:rsidTr="00674FA7">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5233" w:type="dxa"/>
            <w:vAlign w:val="center"/>
          </w:tcPr>
          <w:p w:rsidR="000D7B00" w:rsidRPr="00674FA7" w:rsidRDefault="000D7B00" w:rsidP="00674FA7">
            <w:pPr>
              <w:jc w:val="left"/>
              <w:rPr>
                <w:rFonts w:eastAsiaTheme="minorEastAsia"/>
                <w:sz w:val="18"/>
                <w:szCs w:val="18"/>
              </w:rPr>
            </w:pPr>
            <w:r w:rsidRPr="00674FA7">
              <w:rPr>
                <w:rFonts w:eastAsiaTheme="minorEastAsia"/>
                <w:sz w:val="18"/>
                <w:szCs w:val="18"/>
              </w:rPr>
              <w:t>Sistema para la Vicerrectoría de Responsabilidad Social</w:t>
            </w:r>
          </w:p>
        </w:tc>
        <w:tc>
          <w:tcPr>
            <w:tcW w:w="1313" w:type="dxa"/>
          </w:tcPr>
          <w:p w:rsidR="000D7B00" w:rsidRPr="00674FA7" w:rsidRDefault="000D7B00" w:rsidP="005550DB">
            <w:pPr>
              <w:jc w:val="center"/>
              <w:cnfStyle w:val="000000100000" w:firstRow="0" w:lastRow="0" w:firstColumn="0" w:lastColumn="0" w:oddVBand="0" w:evenVBand="0" w:oddHBand="1" w:evenHBand="0" w:firstRowFirstColumn="0" w:firstRowLastColumn="0" w:lastRowFirstColumn="0" w:lastRowLastColumn="0"/>
              <w:rPr>
                <w:rFonts w:eastAsiaTheme="minorEastAsia"/>
                <w:sz w:val="18"/>
                <w:szCs w:val="18"/>
              </w:rPr>
            </w:pPr>
            <w:r w:rsidRPr="00674FA7">
              <w:rPr>
                <w:rFonts w:eastAsiaTheme="minorEastAsia"/>
                <w:sz w:val="18"/>
                <w:szCs w:val="18"/>
              </w:rPr>
              <w:t>100%</w:t>
            </w:r>
          </w:p>
        </w:tc>
      </w:tr>
      <w:tr w:rsidR="000D7B00" w:rsidRPr="00674FA7" w:rsidTr="00674FA7">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5233" w:type="dxa"/>
            <w:vAlign w:val="center"/>
          </w:tcPr>
          <w:p w:rsidR="000D7B00" w:rsidRPr="00674FA7" w:rsidRDefault="000D7B00" w:rsidP="00674FA7">
            <w:pPr>
              <w:jc w:val="left"/>
              <w:rPr>
                <w:rFonts w:eastAsiaTheme="minorEastAsia"/>
                <w:sz w:val="18"/>
                <w:szCs w:val="18"/>
              </w:rPr>
            </w:pPr>
            <w:r w:rsidRPr="00674FA7">
              <w:rPr>
                <w:rFonts w:eastAsiaTheme="minorEastAsia"/>
                <w:sz w:val="18"/>
                <w:szCs w:val="18"/>
              </w:rPr>
              <w:t>Web Institucional</w:t>
            </w:r>
          </w:p>
        </w:tc>
        <w:tc>
          <w:tcPr>
            <w:tcW w:w="1313" w:type="dxa"/>
          </w:tcPr>
          <w:p w:rsidR="000D7B00" w:rsidRPr="00674FA7" w:rsidRDefault="000D7B00" w:rsidP="005550DB">
            <w:pPr>
              <w:jc w:val="center"/>
              <w:cnfStyle w:val="000000010000" w:firstRow="0" w:lastRow="0" w:firstColumn="0" w:lastColumn="0" w:oddVBand="0" w:evenVBand="0" w:oddHBand="0" w:evenHBand="1" w:firstRowFirstColumn="0" w:firstRowLastColumn="0" w:lastRowFirstColumn="0" w:lastRowLastColumn="0"/>
              <w:rPr>
                <w:rFonts w:eastAsiaTheme="minorEastAsia"/>
                <w:sz w:val="18"/>
                <w:szCs w:val="18"/>
              </w:rPr>
            </w:pPr>
            <w:r w:rsidRPr="00674FA7">
              <w:rPr>
                <w:rFonts w:eastAsiaTheme="minorEastAsia"/>
                <w:sz w:val="18"/>
                <w:szCs w:val="18"/>
              </w:rPr>
              <w:t>100%</w:t>
            </w:r>
          </w:p>
        </w:tc>
      </w:tr>
      <w:tr w:rsidR="000D7B00" w:rsidRPr="00674FA7" w:rsidTr="00674FA7">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5233" w:type="dxa"/>
            <w:vAlign w:val="center"/>
          </w:tcPr>
          <w:p w:rsidR="000D7B00" w:rsidRPr="00674FA7" w:rsidRDefault="000D7B00" w:rsidP="00674FA7">
            <w:pPr>
              <w:jc w:val="left"/>
              <w:rPr>
                <w:rFonts w:eastAsiaTheme="minorEastAsia"/>
                <w:sz w:val="18"/>
                <w:szCs w:val="18"/>
              </w:rPr>
            </w:pPr>
            <w:r w:rsidRPr="00674FA7">
              <w:rPr>
                <w:rFonts w:eastAsiaTheme="minorEastAsia"/>
                <w:sz w:val="18"/>
                <w:szCs w:val="18"/>
              </w:rPr>
              <w:t>Diseño</w:t>
            </w:r>
          </w:p>
        </w:tc>
        <w:tc>
          <w:tcPr>
            <w:tcW w:w="1313" w:type="dxa"/>
          </w:tcPr>
          <w:p w:rsidR="000D7B00" w:rsidRPr="00674FA7" w:rsidRDefault="000D7B00" w:rsidP="005550DB">
            <w:pPr>
              <w:jc w:val="center"/>
              <w:cnfStyle w:val="000000100000" w:firstRow="0" w:lastRow="0" w:firstColumn="0" w:lastColumn="0" w:oddVBand="0" w:evenVBand="0" w:oddHBand="1" w:evenHBand="0" w:firstRowFirstColumn="0" w:firstRowLastColumn="0" w:lastRowFirstColumn="0" w:lastRowLastColumn="0"/>
              <w:rPr>
                <w:rFonts w:eastAsiaTheme="minorEastAsia"/>
                <w:sz w:val="18"/>
                <w:szCs w:val="18"/>
              </w:rPr>
            </w:pPr>
            <w:r w:rsidRPr="00674FA7">
              <w:rPr>
                <w:rFonts w:eastAsiaTheme="minorEastAsia"/>
                <w:sz w:val="18"/>
                <w:szCs w:val="18"/>
              </w:rPr>
              <w:t>100%</w:t>
            </w:r>
          </w:p>
        </w:tc>
      </w:tr>
      <w:tr w:rsidR="000D7B00" w:rsidRPr="00674FA7" w:rsidTr="00674FA7">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5233" w:type="dxa"/>
            <w:vAlign w:val="center"/>
          </w:tcPr>
          <w:p w:rsidR="000D7B00" w:rsidRPr="00674FA7" w:rsidRDefault="000D7B00" w:rsidP="00674FA7">
            <w:pPr>
              <w:jc w:val="left"/>
              <w:rPr>
                <w:rFonts w:eastAsiaTheme="minorEastAsia"/>
                <w:sz w:val="18"/>
                <w:szCs w:val="18"/>
              </w:rPr>
            </w:pPr>
            <w:r w:rsidRPr="00674FA7">
              <w:rPr>
                <w:rFonts w:eastAsiaTheme="minorEastAsia"/>
                <w:sz w:val="18"/>
                <w:szCs w:val="18"/>
              </w:rPr>
              <w:t>Software Académico</w:t>
            </w:r>
          </w:p>
        </w:tc>
        <w:tc>
          <w:tcPr>
            <w:tcW w:w="1313" w:type="dxa"/>
          </w:tcPr>
          <w:p w:rsidR="000D7B00" w:rsidRPr="00674FA7" w:rsidRDefault="000D7B00" w:rsidP="005550DB">
            <w:pPr>
              <w:jc w:val="center"/>
              <w:cnfStyle w:val="000000010000" w:firstRow="0" w:lastRow="0" w:firstColumn="0" w:lastColumn="0" w:oddVBand="0" w:evenVBand="0" w:oddHBand="0" w:evenHBand="1" w:firstRowFirstColumn="0" w:firstRowLastColumn="0" w:lastRowFirstColumn="0" w:lastRowLastColumn="0"/>
              <w:rPr>
                <w:rFonts w:eastAsiaTheme="minorEastAsia"/>
                <w:sz w:val="18"/>
                <w:szCs w:val="18"/>
              </w:rPr>
            </w:pPr>
            <w:r w:rsidRPr="00674FA7">
              <w:rPr>
                <w:rFonts w:eastAsiaTheme="minorEastAsia"/>
                <w:sz w:val="18"/>
                <w:szCs w:val="18"/>
              </w:rPr>
              <w:t>65%</w:t>
            </w:r>
          </w:p>
        </w:tc>
      </w:tr>
      <w:tr w:rsidR="000D7B00" w:rsidRPr="00674FA7" w:rsidTr="00674FA7">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5233" w:type="dxa"/>
            <w:vAlign w:val="center"/>
          </w:tcPr>
          <w:p w:rsidR="000D7B00" w:rsidRPr="00674FA7" w:rsidRDefault="000D7B00" w:rsidP="00674FA7">
            <w:pPr>
              <w:jc w:val="left"/>
              <w:rPr>
                <w:rFonts w:eastAsiaTheme="minorEastAsia"/>
                <w:sz w:val="18"/>
                <w:szCs w:val="18"/>
              </w:rPr>
            </w:pPr>
            <w:r w:rsidRPr="00674FA7">
              <w:rPr>
                <w:rFonts w:eastAsiaTheme="minorEastAsia"/>
                <w:sz w:val="18"/>
                <w:szCs w:val="18"/>
              </w:rPr>
              <w:t>Sistema Financiero</w:t>
            </w:r>
          </w:p>
        </w:tc>
        <w:tc>
          <w:tcPr>
            <w:tcW w:w="1313" w:type="dxa"/>
          </w:tcPr>
          <w:p w:rsidR="000D7B00" w:rsidRPr="00674FA7" w:rsidRDefault="000D7B00" w:rsidP="005550DB">
            <w:pPr>
              <w:jc w:val="center"/>
              <w:cnfStyle w:val="000000100000" w:firstRow="0" w:lastRow="0" w:firstColumn="0" w:lastColumn="0" w:oddVBand="0" w:evenVBand="0" w:oddHBand="1" w:evenHBand="0" w:firstRowFirstColumn="0" w:firstRowLastColumn="0" w:lastRowFirstColumn="0" w:lastRowLastColumn="0"/>
              <w:rPr>
                <w:rFonts w:eastAsiaTheme="minorEastAsia"/>
                <w:sz w:val="18"/>
                <w:szCs w:val="18"/>
              </w:rPr>
            </w:pPr>
            <w:r w:rsidRPr="00674FA7">
              <w:rPr>
                <w:rFonts w:eastAsiaTheme="minorEastAsia"/>
                <w:sz w:val="18"/>
                <w:szCs w:val="18"/>
              </w:rPr>
              <w:t>60%</w:t>
            </w:r>
          </w:p>
        </w:tc>
      </w:tr>
      <w:tr w:rsidR="000D7B00" w:rsidRPr="00674FA7" w:rsidTr="00674FA7">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5233" w:type="dxa"/>
            <w:vAlign w:val="center"/>
          </w:tcPr>
          <w:p w:rsidR="000D7B00" w:rsidRPr="00674FA7" w:rsidRDefault="000D7B00" w:rsidP="00674FA7">
            <w:pPr>
              <w:jc w:val="left"/>
              <w:rPr>
                <w:rFonts w:eastAsiaTheme="minorEastAsia"/>
                <w:sz w:val="18"/>
                <w:szCs w:val="18"/>
              </w:rPr>
            </w:pPr>
            <w:r w:rsidRPr="00674FA7">
              <w:rPr>
                <w:rFonts w:eastAsiaTheme="minorEastAsia"/>
                <w:sz w:val="18"/>
                <w:szCs w:val="18"/>
              </w:rPr>
              <w:t>Sistema de Personal</w:t>
            </w:r>
          </w:p>
        </w:tc>
        <w:tc>
          <w:tcPr>
            <w:tcW w:w="1313" w:type="dxa"/>
          </w:tcPr>
          <w:p w:rsidR="000D7B00" w:rsidRPr="00674FA7" w:rsidRDefault="000D7B00" w:rsidP="005550DB">
            <w:pPr>
              <w:jc w:val="center"/>
              <w:cnfStyle w:val="000000010000" w:firstRow="0" w:lastRow="0" w:firstColumn="0" w:lastColumn="0" w:oddVBand="0" w:evenVBand="0" w:oddHBand="0" w:evenHBand="1" w:firstRowFirstColumn="0" w:firstRowLastColumn="0" w:lastRowFirstColumn="0" w:lastRowLastColumn="0"/>
              <w:rPr>
                <w:rFonts w:eastAsiaTheme="minorEastAsia"/>
                <w:sz w:val="18"/>
                <w:szCs w:val="18"/>
              </w:rPr>
            </w:pPr>
            <w:r w:rsidRPr="00674FA7">
              <w:rPr>
                <w:rFonts w:eastAsiaTheme="minorEastAsia"/>
                <w:sz w:val="18"/>
                <w:szCs w:val="18"/>
              </w:rPr>
              <w:t>62%</w:t>
            </w:r>
          </w:p>
        </w:tc>
      </w:tr>
      <w:tr w:rsidR="000D7B00" w:rsidRPr="00674FA7" w:rsidTr="00674FA7">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5233" w:type="dxa"/>
            <w:vAlign w:val="center"/>
          </w:tcPr>
          <w:p w:rsidR="000D7B00" w:rsidRPr="00674FA7" w:rsidRDefault="000D7B00" w:rsidP="00674FA7">
            <w:pPr>
              <w:jc w:val="left"/>
              <w:rPr>
                <w:rFonts w:eastAsiaTheme="minorEastAsia"/>
                <w:sz w:val="18"/>
                <w:szCs w:val="18"/>
              </w:rPr>
            </w:pPr>
            <w:r w:rsidRPr="00674FA7">
              <w:rPr>
                <w:rFonts w:eastAsiaTheme="minorEastAsia"/>
                <w:sz w:val="18"/>
                <w:szCs w:val="18"/>
              </w:rPr>
              <w:t>Observatorio del Egresado</w:t>
            </w:r>
          </w:p>
        </w:tc>
        <w:tc>
          <w:tcPr>
            <w:tcW w:w="1313" w:type="dxa"/>
          </w:tcPr>
          <w:p w:rsidR="000D7B00" w:rsidRPr="00674FA7" w:rsidRDefault="000D7B00" w:rsidP="005550DB">
            <w:pPr>
              <w:jc w:val="center"/>
              <w:cnfStyle w:val="000000100000" w:firstRow="0" w:lastRow="0" w:firstColumn="0" w:lastColumn="0" w:oddVBand="0" w:evenVBand="0" w:oddHBand="1" w:evenHBand="0" w:firstRowFirstColumn="0" w:firstRowLastColumn="0" w:lastRowFirstColumn="0" w:lastRowLastColumn="0"/>
              <w:rPr>
                <w:rFonts w:eastAsiaTheme="minorEastAsia"/>
                <w:sz w:val="18"/>
                <w:szCs w:val="18"/>
              </w:rPr>
            </w:pPr>
            <w:r w:rsidRPr="00674FA7">
              <w:rPr>
                <w:rFonts w:eastAsiaTheme="minorEastAsia"/>
                <w:sz w:val="18"/>
                <w:szCs w:val="18"/>
              </w:rPr>
              <w:t>88%</w:t>
            </w:r>
          </w:p>
        </w:tc>
      </w:tr>
      <w:tr w:rsidR="000D7B00" w:rsidRPr="00674FA7" w:rsidTr="00674FA7">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5233" w:type="dxa"/>
            <w:vAlign w:val="center"/>
          </w:tcPr>
          <w:p w:rsidR="000D7B00" w:rsidRPr="00674FA7" w:rsidRDefault="000D7B00" w:rsidP="00674FA7">
            <w:pPr>
              <w:jc w:val="left"/>
              <w:rPr>
                <w:rFonts w:eastAsiaTheme="minorEastAsia"/>
                <w:sz w:val="18"/>
                <w:szCs w:val="18"/>
              </w:rPr>
            </w:pPr>
            <w:r w:rsidRPr="00674FA7">
              <w:rPr>
                <w:rFonts w:eastAsiaTheme="minorEastAsia"/>
                <w:sz w:val="18"/>
                <w:szCs w:val="18"/>
              </w:rPr>
              <w:t>Gestión de Tramites</w:t>
            </w:r>
          </w:p>
        </w:tc>
        <w:tc>
          <w:tcPr>
            <w:tcW w:w="1313" w:type="dxa"/>
          </w:tcPr>
          <w:p w:rsidR="000D7B00" w:rsidRPr="00674FA7" w:rsidRDefault="000D7B00" w:rsidP="005550DB">
            <w:pPr>
              <w:jc w:val="center"/>
              <w:cnfStyle w:val="000000010000" w:firstRow="0" w:lastRow="0" w:firstColumn="0" w:lastColumn="0" w:oddVBand="0" w:evenVBand="0" w:oddHBand="0" w:evenHBand="1" w:firstRowFirstColumn="0" w:firstRowLastColumn="0" w:lastRowFirstColumn="0" w:lastRowLastColumn="0"/>
              <w:rPr>
                <w:rFonts w:eastAsiaTheme="minorEastAsia"/>
                <w:sz w:val="18"/>
                <w:szCs w:val="18"/>
              </w:rPr>
            </w:pPr>
            <w:r w:rsidRPr="00674FA7">
              <w:rPr>
                <w:rFonts w:eastAsiaTheme="minorEastAsia"/>
                <w:sz w:val="18"/>
                <w:szCs w:val="18"/>
              </w:rPr>
              <w:t>80%</w:t>
            </w:r>
          </w:p>
        </w:tc>
      </w:tr>
      <w:tr w:rsidR="000D7B00" w:rsidRPr="00674FA7" w:rsidTr="00674FA7">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5233" w:type="dxa"/>
            <w:vAlign w:val="center"/>
          </w:tcPr>
          <w:p w:rsidR="000D7B00" w:rsidRPr="00674FA7" w:rsidRDefault="000D7B00" w:rsidP="00674FA7">
            <w:pPr>
              <w:jc w:val="left"/>
              <w:rPr>
                <w:rFonts w:eastAsiaTheme="minorEastAsia"/>
                <w:sz w:val="18"/>
                <w:szCs w:val="18"/>
              </w:rPr>
            </w:pPr>
            <w:r w:rsidRPr="00674FA7">
              <w:rPr>
                <w:rFonts w:eastAsiaTheme="minorEastAsia"/>
                <w:sz w:val="18"/>
                <w:szCs w:val="18"/>
              </w:rPr>
              <w:t>Sistema División de Servicios</w:t>
            </w:r>
          </w:p>
        </w:tc>
        <w:tc>
          <w:tcPr>
            <w:tcW w:w="1313" w:type="dxa"/>
          </w:tcPr>
          <w:p w:rsidR="000D7B00" w:rsidRPr="00674FA7" w:rsidRDefault="000D7B00" w:rsidP="005550DB">
            <w:pPr>
              <w:jc w:val="center"/>
              <w:cnfStyle w:val="000000100000" w:firstRow="0" w:lastRow="0" w:firstColumn="0" w:lastColumn="0" w:oddVBand="0" w:evenVBand="0" w:oddHBand="1" w:evenHBand="0" w:firstRowFirstColumn="0" w:firstRowLastColumn="0" w:lastRowFirstColumn="0" w:lastRowLastColumn="0"/>
              <w:rPr>
                <w:rFonts w:eastAsiaTheme="minorEastAsia"/>
                <w:sz w:val="18"/>
                <w:szCs w:val="18"/>
              </w:rPr>
            </w:pPr>
            <w:r w:rsidRPr="00674FA7">
              <w:rPr>
                <w:rFonts w:eastAsiaTheme="minorEastAsia"/>
                <w:sz w:val="18"/>
                <w:szCs w:val="18"/>
              </w:rPr>
              <w:t>95%</w:t>
            </w:r>
          </w:p>
        </w:tc>
      </w:tr>
      <w:tr w:rsidR="000D7B00" w:rsidRPr="00674FA7" w:rsidTr="00674FA7">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5233" w:type="dxa"/>
            <w:vAlign w:val="center"/>
          </w:tcPr>
          <w:p w:rsidR="000D7B00" w:rsidRPr="00674FA7" w:rsidRDefault="000D7B00" w:rsidP="00674FA7">
            <w:pPr>
              <w:jc w:val="left"/>
              <w:rPr>
                <w:rFonts w:eastAsiaTheme="minorEastAsia"/>
                <w:sz w:val="18"/>
                <w:szCs w:val="18"/>
              </w:rPr>
            </w:pPr>
            <w:r w:rsidRPr="00674FA7">
              <w:rPr>
                <w:rFonts w:eastAsiaTheme="minorEastAsia"/>
                <w:sz w:val="18"/>
                <w:szCs w:val="18"/>
              </w:rPr>
              <w:lastRenderedPageBreak/>
              <w:t>Sistema para le Vicerrectoría de Innovación</w:t>
            </w:r>
          </w:p>
        </w:tc>
        <w:tc>
          <w:tcPr>
            <w:tcW w:w="1313" w:type="dxa"/>
          </w:tcPr>
          <w:p w:rsidR="000D7B00" w:rsidRPr="00674FA7" w:rsidRDefault="000D7B00" w:rsidP="005550DB">
            <w:pPr>
              <w:jc w:val="center"/>
              <w:cnfStyle w:val="000000010000" w:firstRow="0" w:lastRow="0" w:firstColumn="0" w:lastColumn="0" w:oddVBand="0" w:evenVBand="0" w:oddHBand="0" w:evenHBand="1" w:firstRowFirstColumn="0" w:firstRowLastColumn="0" w:lastRowFirstColumn="0" w:lastRowLastColumn="0"/>
              <w:rPr>
                <w:rFonts w:eastAsiaTheme="minorEastAsia"/>
                <w:sz w:val="18"/>
                <w:szCs w:val="18"/>
              </w:rPr>
            </w:pPr>
            <w:r w:rsidRPr="00674FA7">
              <w:rPr>
                <w:rFonts w:eastAsiaTheme="minorEastAsia"/>
                <w:sz w:val="18"/>
                <w:szCs w:val="18"/>
              </w:rPr>
              <w:t>88%</w:t>
            </w:r>
          </w:p>
        </w:tc>
      </w:tr>
      <w:tr w:rsidR="000D7B00" w:rsidRPr="00674FA7" w:rsidTr="00674FA7">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5233" w:type="dxa"/>
            <w:vAlign w:val="center"/>
          </w:tcPr>
          <w:p w:rsidR="000D7B00" w:rsidRPr="00674FA7" w:rsidRDefault="000D7B00" w:rsidP="00674FA7">
            <w:pPr>
              <w:jc w:val="left"/>
              <w:rPr>
                <w:rFonts w:eastAsiaTheme="minorEastAsia"/>
                <w:sz w:val="18"/>
                <w:szCs w:val="18"/>
              </w:rPr>
            </w:pPr>
            <w:r w:rsidRPr="00674FA7">
              <w:rPr>
                <w:rFonts w:eastAsiaTheme="minorEastAsia"/>
                <w:sz w:val="18"/>
                <w:szCs w:val="18"/>
              </w:rPr>
              <w:t>Vicerrectoría Administrativa</w:t>
            </w:r>
          </w:p>
        </w:tc>
        <w:tc>
          <w:tcPr>
            <w:tcW w:w="1313" w:type="dxa"/>
          </w:tcPr>
          <w:p w:rsidR="000D7B00" w:rsidRPr="00674FA7" w:rsidRDefault="000D7B00" w:rsidP="005550DB">
            <w:pPr>
              <w:jc w:val="center"/>
              <w:cnfStyle w:val="000000100000" w:firstRow="0" w:lastRow="0" w:firstColumn="0" w:lastColumn="0" w:oddVBand="0" w:evenVBand="0" w:oddHBand="1" w:evenHBand="0" w:firstRowFirstColumn="0" w:firstRowLastColumn="0" w:lastRowFirstColumn="0" w:lastRowLastColumn="0"/>
              <w:rPr>
                <w:rFonts w:eastAsiaTheme="minorEastAsia"/>
                <w:sz w:val="18"/>
                <w:szCs w:val="18"/>
              </w:rPr>
            </w:pPr>
            <w:r w:rsidRPr="00674FA7">
              <w:rPr>
                <w:rFonts w:eastAsiaTheme="minorEastAsia"/>
                <w:sz w:val="18"/>
                <w:szCs w:val="18"/>
              </w:rPr>
              <w:t>87%</w:t>
            </w:r>
          </w:p>
        </w:tc>
      </w:tr>
      <w:tr w:rsidR="000D7B00" w:rsidRPr="00674FA7" w:rsidTr="00674FA7">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5233" w:type="dxa"/>
            <w:vAlign w:val="center"/>
          </w:tcPr>
          <w:p w:rsidR="000D7B00" w:rsidRPr="00674FA7" w:rsidRDefault="000D7B00" w:rsidP="00674FA7">
            <w:pPr>
              <w:jc w:val="left"/>
              <w:rPr>
                <w:rFonts w:eastAsiaTheme="minorEastAsia"/>
                <w:sz w:val="18"/>
                <w:szCs w:val="18"/>
              </w:rPr>
            </w:pPr>
            <w:r w:rsidRPr="00674FA7">
              <w:rPr>
                <w:rFonts w:eastAsiaTheme="minorEastAsia"/>
                <w:sz w:val="18"/>
                <w:szCs w:val="18"/>
              </w:rPr>
              <w:t>Seguridad de la Información</w:t>
            </w:r>
          </w:p>
        </w:tc>
        <w:tc>
          <w:tcPr>
            <w:tcW w:w="1313" w:type="dxa"/>
          </w:tcPr>
          <w:p w:rsidR="000D7B00" w:rsidRPr="00674FA7" w:rsidRDefault="000D7B00" w:rsidP="005550DB">
            <w:pPr>
              <w:jc w:val="center"/>
              <w:cnfStyle w:val="000000010000" w:firstRow="0" w:lastRow="0" w:firstColumn="0" w:lastColumn="0" w:oddVBand="0" w:evenVBand="0" w:oddHBand="0" w:evenHBand="1" w:firstRowFirstColumn="0" w:firstRowLastColumn="0" w:lastRowFirstColumn="0" w:lastRowLastColumn="0"/>
              <w:rPr>
                <w:rFonts w:eastAsiaTheme="minorEastAsia"/>
                <w:sz w:val="18"/>
                <w:szCs w:val="18"/>
              </w:rPr>
            </w:pPr>
            <w:r w:rsidRPr="00674FA7">
              <w:rPr>
                <w:rFonts w:eastAsiaTheme="minorEastAsia"/>
                <w:sz w:val="18"/>
                <w:szCs w:val="18"/>
              </w:rPr>
              <w:t>55%</w:t>
            </w:r>
          </w:p>
        </w:tc>
      </w:tr>
    </w:tbl>
    <w:p w:rsidR="000D7B00" w:rsidRDefault="000D7B00" w:rsidP="000D7B00">
      <w:pPr>
        <w:rPr>
          <w:rFonts w:eastAsiaTheme="minorEastAsia"/>
        </w:rPr>
      </w:pPr>
    </w:p>
    <w:p w:rsidR="000D7B00" w:rsidRPr="008A4A11" w:rsidRDefault="000D7B00" w:rsidP="000D7B00">
      <w:pPr>
        <w:rPr>
          <w:rFonts w:eastAsiaTheme="minorEastAsia"/>
        </w:rPr>
      </w:pPr>
      <w:r w:rsidRPr="008A4A11">
        <w:rPr>
          <w:rFonts w:eastAsiaTheme="minorEastAsia"/>
        </w:rPr>
        <w:t xml:space="preserve">El avance </w:t>
      </w:r>
      <w:r>
        <w:rPr>
          <w:rFonts w:eastAsiaTheme="minorEastAsia"/>
        </w:rPr>
        <w:t xml:space="preserve">de cumplimiento </w:t>
      </w:r>
      <w:r w:rsidRPr="008A4A11">
        <w:rPr>
          <w:rFonts w:eastAsiaTheme="minorEastAsia"/>
        </w:rPr>
        <w:t xml:space="preserve">con relación al Sistema Integral de Información de la UTP se plantea sobre la automatización de los diferentes procesos y servicios que </w:t>
      </w:r>
      <w:r>
        <w:rPr>
          <w:rFonts w:eastAsiaTheme="minorEastAsia"/>
        </w:rPr>
        <w:t>se han identificado como necesarios</w:t>
      </w:r>
      <w:r w:rsidRPr="008A4A11">
        <w:rPr>
          <w:rFonts w:eastAsiaTheme="minorEastAsia"/>
        </w:rPr>
        <w:t>. El resultado obtenido al 201</w:t>
      </w:r>
      <w:r>
        <w:rPr>
          <w:rFonts w:eastAsiaTheme="minorEastAsia"/>
        </w:rPr>
        <w:t>2</w:t>
      </w:r>
      <w:r w:rsidRPr="008A4A11">
        <w:rPr>
          <w:rFonts w:eastAsiaTheme="minorEastAsia"/>
        </w:rPr>
        <w:t xml:space="preserve"> se refiere a que el sistema de información institucional se encuentra desarrollado en un </w:t>
      </w:r>
      <w:r w:rsidRPr="00B90D83">
        <w:rPr>
          <w:rFonts w:eastAsiaTheme="minorEastAsia"/>
          <w:b/>
        </w:rPr>
        <w:t>48.7%</w:t>
      </w:r>
      <w:r>
        <w:rPr>
          <w:rFonts w:eastAsiaTheme="minorEastAsia"/>
          <w:b/>
        </w:rPr>
        <w:t xml:space="preserve"> </w:t>
      </w:r>
      <w:r>
        <w:rPr>
          <w:rFonts w:eastAsiaTheme="minorEastAsia"/>
        </w:rPr>
        <w:t xml:space="preserve">con un cumplimiento sobre la meta del </w:t>
      </w:r>
      <w:r w:rsidRPr="00B90D83">
        <w:rPr>
          <w:rFonts w:eastAsiaTheme="minorEastAsia"/>
          <w:b/>
        </w:rPr>
        <w:t>97.40%.</w:t>
      </w:r>
      <w:r w:rsidRPr="008A4A11">
        <w:rPr>
          <w:rFonts w:eastAsiaTheme="minorEastAsia"/>
        </w:rPr>
        <w:t xml:space="preserve"> </w:t>
      </w:r>
    </w:p>
    <w:p w:rsidR="000D7B00" w:rsidRPr="00732E87" w:rsidRDefault="000D7B00" w:rsidP="00732E87">
      <w:pPr>
        <w:pStyle w:val="Ttulo3"/>
      </w:pPr>
      <w:bookmarkStart w:id="73" w:name="_Toc350238220"/>
      <w:bookmarkStart w:id="74" w:name="_Toc354671323"/>
      <w:r w:rsidRPr="00732E87">
        <w:t>Sistema de comunicaciones</w:t>
      </w:r>
      <w:bookmarkEnd w:id="73"/>
      <w:bookmarkEnd w:id="74"/>
    </w:p>
    <w:p w:rsidR="000D7B00" w:rsidRPr="008A4A11" w:rsidRDefault="000D7B00" w:rsidP="000D7B00">
      <w:pPr>
        <w:spacing w:after="0"/>
      </w:pPr>
    </w:p>
    <w:p w:rsidR="000D7B00" w:rsidRDefault="000D7B00" w:rsidP="000D7B00">
      <w:pPr>
        <w:spacing w:after="0"/>
      </w:pPr>
      <w:r w:rsidRPr="001118F7">
        <w:rPr>
          <w:rFonts w:eastAsiaTheme="minorEastAsia"/>
        </w:rPr>
        <w:t xml:space="preserve">Este sistema es un medio de comunicación institucional </w:t>
      </w:r>
      <w:r>
        <w:rPr>
          <w:rFonts w:eastAsiaTheme="minorEastAsia"/>
        </w:rPr>
        <w:t>integrado</w:t>
      </w:r>
      <w:r w:rsidRPr="001118F7">
        <w:rPr>
          <w:rFonts w:eastAsiaTheme="minorEastAsia"/>
        </w:rPr>
        <w:t xml:space="preserve"> efectivamente para facilitar el intercambio de información y promover</w:t>
      </w:r>
      <w:r>
        <w:rPr>
          <w:rFonts w:eastAsiaTheme="minorEastAsia"/>
        </w:rPr>
        <w:t xml:space="preserve"> el desarrollo del conocimiento, así mismo las Universidad Tecnológica de Pereira como soporte a los </w:t>
      </w:r>
      <w:r w:rsidRPr="008A4A11">
        <w:t>procesos académicos y administrativos</w:t>
      </w:r>
      <w:r>
        <w:rPr>
          <w:rFonts w:eastAsiaTheme="minorEastAsia"/>
        </w:rPr>
        <w:t xml:space="preserve"> </w:t>
      </w:r>
      <w:r w:rsidRPr="008A4A11">
        <w:t>ha logrado consolidar una red interna con conexión a 1.000 Mbps, con una cobertura de 15 edificios. Tiene acceso a un canal de Internet de 60Mbps en su canal principal y 30Mbps como canal de respaldo ante cualquier in</w:t>
      </w:r>
      <w:r>
        <w:t>cidente con el canal principal.</w:t>
      </w:r>
    </w:p>
    <w:p w:rsidR="000D7B00" w:rsidRDefault="000D7B00" w:rsidP="000D7B00">
      <w:pPr>
        <w:spacing w:after="0"/>
      </w:pPr>
    </w:p>
    <w:p w:rsidR="000D7B00" w:rsidRDefault="000D7B00" w:rsidP="000D7B00">
      <w:pPr>
        <w:spacing w:after="0"/>
      </w:pPr>
      <w:r>
        <w:t>Para la vigencia 2012 se ejecutaron acciones concretas en los módulos:</w:t>
      </w:r>
    </w:p>
    <w:p w:rsidR="000D7B00" w:rsidRDefault="000D7B00" w:rsidP="000D7B00">
      <w:pPr>
        <w:spacing w:after="0"/>
      </w:pPr>
    </w:p>
    <w:tbl>
      <w:tblPr>
        <w:tblStyle w:val="Cuadrculaclara-nfasis1"/>
        <w:tblW w:w="5000" w:type="pct"/>
        <w:tblLayout w:type="fixed"/>
        <w:tblLook w:val="04A0" w:firstRow="1" w:lastRow="0" w:firstColumn="1" w:lastColumn="0" w:noHBand="0" w:noVBand="1"/>
      </w:tblPr>
      <w:tblGrid>
        <w:gridCol w:w="2073"/>
        <w:gridCol w:w="2572"/>
        <w:gridCol w:w="3361"/>
        <w:gridCol w:w="1048"/>
      </w:tblGrid>
      <w:tr w:rsidR="00674FA7" w:rsidRPr="00674FA7" w:rsidTr="003F7A7D">
        <w:trPr>
          <w:cnfStyle w:val="100000000000" w:firstRow="1" w:lastRow="0" w:firstColumn="0" w:lastColumn="0" w:oddVBand="0" w:evenVBand="0" w:oddHBand="0" w:evenHBand="0" w:firstRowFirstColumn="0" w:firstRowLastColumn="0" w:lastRowFirstColumn="0" w:lastRowLastColumn="0"/>
          <w:trHeight w:val="220"/>
          <w:tblHeader/>
        </w:trPr>
        <w:tc>
          <w:tcPr>
            <w:cnfStyle w:val="001000000000" w:firstRow="0" w:lastRow="0" w:firstColumn="1" w:lastColumn="0" w:oddVBand="0" w:evenVBand="0" w:oddHBand="0" w:evenHBand="0" w:firstRowFirstColumn="0" w:firstRowLastColumn="0" w:lastRowFirstColumn="0" w:lastRowLastColumn="0"/>
            <w:tcW w:w="1144" w:type="pct"/>
            <w:vMerge w:val="restart"/>
            <w:vAlign w:val="center"/>
            <w:hideMark/>
          </w:tcPr>
          <w:p w:rsidR="000D7B00" w:rsidRPr="00674FA7" w:rsidRDefault="000D7B00" w:rsidP="00674FA7">
            <w:pPr>
              <w:spacing w:after="0"/>
              <w:jc w:val="center"/>
              <w:rPr>
                <w:rFonts w:eastAsia="Times New Roman" w:cs="Arial"/>
                <w:bCs w:val="0"/>
                <w:sz w:val="18"/>
                <w:szCs w:val="18"/>
                <w:lang w:eastAsia="es-CO"/>
              </w:rPr>
            </w:pPr>
            <w:bookmarkStart w:id="75" w:name="OLE_LINK1"/>
            <w:r w:rsidRPr="00674FA7">
              <w:rPr>
                <w:rFonts w:eastAsia="Times New Roman" w:cs="Arial"/>
                <w:bCs w:val="0"/>
                <w:sz w:val="18"/>
                <w:szCs w:val="18"/>
                <w:lang w:eastAsia="es-CO"/>
              </w:rPr>
              <w:t>ACCIONES</w:t>
            </w:r>
          </w:p>
        </w:tc>
        <w:tc>
          <w:tcPr>
            <w:tcW w:w="1420" w:type="pct"/>
            <w:vMerge w:val="restart"/>
            <w:vAlign w:val="center"/>
            <w:hideMark/>
          </w:tcPr>
          <w:p w:rsidR="000D7B00" w:rsidRPr="00674FA7" w:rsidRDefault="000D7B00" w:rsidP="00674FA7">
            <w:pPr>
              <w:spacing w:after="0"/>
              <w:jc w:val="center"/>
              <w:cnfStyle w:val="100000000000" w:firstRow="1" w:lastRow="0" w:firstColumn="0" w:lastColumn="0" w:oddVBand="0" w:evenVBand="0" w:oddHBand="0" w:evenHBand="0" w:firstRowFirstColumn="0" w:firstRowLastColumn="0" w:lastRowFirstColumn="0" w:lastRowLastColumn="0"/>
              <w:rPr>
                <w:rFonts w:eastAsia="Times New Roman" w:cs="Arial"/>
                <w:bCs w:val="0"/>
                <w:sz w:val="18"/>
                <w:szCs w:val="18"/>
                <w:lang w:eastAsia="es-CO"/>
              </w:rPr>
            </w:pPr>
            <w:r w:rsidRPr="00674FA7">
              <w:rPr>
                <w:rFonts w:eastAsia="Times New Roman" w:cs="Arial"/>
                <w:bCs w:val="0"/>
                <w:sz w:val="18"/>
                <w:szCs w:val="18"/>
                <w:lang w:eastAsia="es-CO"/>
              </w:rPr>
              <w:t>ACTIVIDADES</w:t>
            </w:r>
          </w:p>
        </w:tc>
        <w:tc>
          <w:tcPr>
            <w:tcW w:w="1856" w:type="pct"/>
            <w:vMerge w:val="restart"/>
            <w:vAlign w:val="center"/>
            <w:hideMark/>
          </w:tcPr>
          <w:p w:rsidR="000D7B00" w:rsidRPr="00674FA7" w:rsidRDefault="000D7B00" w:rsidP="00674FA7">
            <w:pPr>
              <w:spacing w:after="0"/>
              <w:jc w:val="center"/>
              <w:cnfStyle w:val="100000000000" w:firstRow="1" w:lastRow="0" w:firstColumn="0" w:lastColumn="0" w:oddVBand="0" w:evenVBand="0" w:oddHBand="0" w:evenHBand="0" w:firstRowFirstColumn="0" w:firstRowLastColumn="0" w:lastRowFirstColumn="0" w:lastRowLastColumn="0"/>
              <w:rPr>
                <w:rFonts w:eastAsia="Times New Roman" w:cs="Arial"/>
                <w:bCs w:val="0"/>
                <w:sz w:val="18"/>
                <w:szCs w:val="18"/>
                <w:lang w:eastAsia="es-CO"/>
              </w:rPr>
            </w:pPr>
            <w:r w:rsidRPr="00674FA7">
              <w:rPr>
                <w:rFonts w:eastAsia="Times New Roman" w:cs="Arial"/>
                <w:bCs w:val="0"/>
                <w:sz w:val="18"/>
                <w:szCs w:val="18"/>
                <w:lang w:eastAsia="es-CO"/>
              </w:rPr>
              <w:t>RESULTADOS</w:t>
            </w:r>
          </w:p>
        </w:tc>
        <w:tc>
          <w:tcPr>
            <w:tcW w:w="579" w:type="pct"/>
            <w:vMerge w:val="restart"/>
            <w:vAlign w:val="center"/>
            <w:hideMark/>
          </w:tcPr>
          <w:p w:rsidR="000D7B00" w:rsidRPr="00674FA7" w:rsidRDefault="000D7B00" w:rsidP="00674FA7">
            <w:pPr>
              <w:spacing w:after="0"/>
              <w:jc w:val="center"/>
              <w:cnfStyle w:val="100000000000" w:firstRow="1" w:lastRow="0" w:firstColumn="0" w:lastColumn="0" w:oddVBand="0" w:evenVBand="0" w:oddHBand="0" w:evenHBand="0" w:firstRowFirstColumn="0" w:firstRowLastColumn="0" w:lastRowFirstColumn="0" w:lastRowLastColumn="0"/>
              <w:rPr>
                <w:rFonts w:eastAsia="Times New Roman" w:cs="Arial"/>
                <w:bCs w:val="0"/>
                <w:sz w:val="18"/>
                <w:szCs w:val="18"/>
                <w:lang w:eastAsia="es-CO"/>
              </w:rPr>
            </w:pPr>
            <w:r w:rsidRPr="00674FA7">
              <w:rPr>
                <w:rFonts w:eastAsia="Times New Roman" w:cs="Arial"/>
                <w:bCs w:val="0"/>
                <w:sz w:val="18"/>
                <w:szCs w:val="18"/>
                <w:lang w:eastAsia="es-CO"/>
              </w:rPr>
              <w:t>% AVANCE</w:t>
            </w:r>
          </w:p>
        </w:tc>
      </w:tr>
      <w:tr w:rsidR="000D7B00" w:rsidRPr="00674FA7" w:rsidTr="00674FA7">
        <w:trPr>
          <w:cnfStyle w:val="000000100000" w:firstRow="0" w:lastRow="0" w:firstColumn="0" w:lastColumn="0" w:oddVBand="0" w:evenVBand="0" w:oddHBand="1" w:evenHBand="0" w:firstRowFirstColumn="0" w:firstRowLastColumn="0" w:lastRowFirstColumn="0" w:lastRowLastColumn="0"/>
          <w:trHeight w:val="207"/>
        </w:trPr>
        <w:tc>
          <w:tcPr>
            <w:cnfStyle w:val="001000000000" w:firstRow="0" w:lastRow="0" w:firstColumn="1" w:lastColumn="0" w:oddVBand="0" w:evenVBand="0" w:oddHBand="0" w:evenHBand="0" w:firstRowFirstColumn="0" w:firstRowLastColumn="0" w:lastRowFirstColumn="0" w:lastRowLastColumn="0"/>
            <w:tcW w:w="1144" w:type="pct"/>
            <w:vMerge/>
            <w:hideMark/>
          </w:tcPr>
          <w:p w:rsidR="000D7B00" w:rsidRPr="00674FA7" w:rsidRDefault="000D7B00" w:rsidP="005550DB">
            <w:pPr>
              <w:spacing w:after="0"/>
              <w:jc w:val="left"/>
              <w:rPr>
                <w:rFonts w:ascii="Arial" w:eastAsia="Times New Roman" w:hAnsi="Arial" w:cs="Arial"/>
                <w:b w:val="0"/>
                <w:bCs w:val="0"/>
                <w:color w:val="FFFFFF"/>
                <w:sz w:val="18"/>
                <w:szCs w:val="18"/>
                <w:lang w:eastAsia="es-CO"/>
              </w:rPr>
            </w:pPr>
          </w:p>
        </w:tc>
        <w:tc>
          <w:tcPr>
            <w:tcW w:w="1420" w:type="pct"/>
            <w:vMerge/>
            <w:hideMark/>
          </w:tcPr>
          <w:p w:rsidR="000D7B00" w:rsidRPr="00674FA7" w:rsidRDefault="000D7B00" w:rsidP="005550DB">
            <w:pPr>
              <w:spacing w:after="0"/>
              <w:jc w:val="left"/>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FFFFFF"/>
                <w:sz w:val="18"/>
                <w:szCs w:val="18"/>
                <w:lang w:eastAsia="es-CO"/>
              </w:rPr>
            </w:pPr>
          </w:p>
        </w:tc>
        <w:tc>
          <w:tcPr>
            <w:tcW w:w="1856" w:type="pct"/>
            <w:vMerge/>
            <w:hideMark/>
          </w:tcPr>
          <w:p w:rsidR="000D7B00" w:rsidRPr="00674FA7" w:rsidRDefault="000D7B00" w:rsidP="005550DB">
            <w:pPr>
              <w:spacing w:after="0"/>
              <w:jc w:val="left"/>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FFFFFF"/>
                <w:sz w:val="18"/>
                <w:szCs w:val="18"/>
                <w:lang w:eastAsia="es-CO"/>
              </w:rPr>
            </w:pPr>
          </w:p>
        </w:tc>
        <w:tc>
          <w:tcPr>
            <w:tcW w:w="579" w:type="pct"/>
            <w:vMerge/>
            <w:hideMark/>
          </w:tcPr>
          <w:p w:rsidR="000D7B00" w:rsidRPr="00674FA7" w:rsidRDefault="000D7B00" w:rsidP="005550DB">
            <w:pPr>
              <w:spacing w:after="0"/>
              <w:jc w:val="left"/>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FFFFFF"/>
                <w:sz w:val="18"/>
                <w:szCs w:val="18"/>
                <w:lang w:eastAsia="es-CO"/>
              </w:rPr>
            </w:pPr>
          </w:p>
        </w:tc>
      </w:tr>
      <w:tr w:rsidR="000D7B00" w:rsidRPr="00674FA7" w:rsidTr="00674FA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44" w:type="pct"/>
            <w:vMerge w:val="restart"/>
            <w:vAlign w:val="center"/>
            <w:hideMark/>
          </w:tcPr>
          <w:p w:rsidR="000D7B00" w:rsidRPr="00674FA7" w:rsidRDefault="000D7B00" w:rsidP="00674FA7">
            <w:pPr>
              <w:spacing w:after="0"/>
              <w:jc w:val="center"/>
              <w:rPr>
                <w:rFonts w:eastAsiaTheme="minorEastAsia"/>
                <w:sz w:val="18"/>
                <w:szCs w:val="18"/>
              </w:rPr>
            </w:pPr>
            <w:r w:rsidRPr="00674FA7">
              <w:rPr>
                <w:rFonts w:eastAsiaTheme="minorEastAsia"/>
                <w:sz w:val="18"/>
                <w:szCs w:val="18"/>
              </w:rPr>
              <w:t>ADMINISTRACIÓN DE LA RED</w:t>
            </w:r>
          </w:p>
        </w:tc>
        <w:tc>
          <w:tcPr>
            <w:tcW w:w="1420" w:type="pct"/>
            <w:vAlign w:val="center"/>
            <w:hideMark/>
          </w:tcPr>
          <w:p w:rsidR="000D7B00" w:rsidRPr="00674FA7" w:rsidRDefault="000D7B00" w:rsidP="005550DB">
            <w:pPr>
              <w:spacing w:after="0"/>
              <w:cnfStyle w:val="000000010000" w:firstRow="0" w:lastRow="0" w:firstColumn="0" w:lastColumn="0" w:oddVBand="0" w:evenVBand="0" w:oddHBand="0" w:evenHBand="1" w:firstRowFirstColumn="0" w:firstRowLastColumn="0" w:lastRowFirstColumn="0" w:lastRowLastColumn="0"/>
              <w:rPr>
                <w:rFonts w:eastAsiaTheme="minorEastAsia"/>
                <w:sz w:val="18"/>
                <w:szCs w:val="18"/>
              </w:rPr>
            </w:pPr>
            <w:r w:rsidRPr="00674FA7">
              <w:rPr>
                <w:rFonts w:eastAsiaTheme="minorEastAsia"/>
                <w:sz w:val="18"/>
                <w:szCs w:val="18"/>
              </w:rPr>
              <w:t>Migración telefonía IP IPCENTRIX</w:t>
            </w:r>
          </w:p>
        </w:tc>
        <w:tc>
          <w:tcPr>
            <w:tcW w:w="1856" w:type="pct"/>
            <w:vAlign w:val="center"/>
            <w:hideMark/>
          </w:tcPr>
          <w:p w:rsidR="000D7B00" w:rsidRPr="00674FA7" w:rsidRDefault="000D7B00" w:rsidP="005550DB">
            <w:pPr>
              <w:spacing w:after="0"/>
              <w:cnfStyle w:val="000000010000" w:firstRow="0" w:lastRow="0" w:firstColumn="0" w:lastColumn="0" w:oddVBand="0" w:evenVBand="0" w:oddHBand="0" w:evenHBand="1" w:firstRowFirstColumn="0" w:firstRowLastColumn="0" w:lastRowFirstColumn="0" w:lastRowLastColumn="0"/>
              <w:rPr>
                <w:rFonts w:eastAsiaTheme="minorEastAsia"/>
                <w:sz w:val="18"/>
                <w:szCs w:val="18"/>
              </w:rPr>
            </w:pPr>
            <w:r w:rsidRPr="00674FA7">
              <w:rPr>
                <w:rFonts w:eastAsiaTheme="minorEastAsia"/>
                <w:sz w:val="18"/>
                <w:szCs w:val="18"/>
              </w:rPr>
              <w:t>Se realizó la migración de toda la centena correspondiente a 31372XX.</w:t>
            </w:r>
          </w:p>
        </w:tc>
        <w:tc>
          <w:tcPr>
            <w:tcW w:w="579" w:type="pct"/>
            <w:vMerge w:val="restart"/>
            <w:noWrap/>
            <w:vAlign w:val="center"/>
            <w:hideMark/>
          </w:tcPr>
          <w:p w:rsidR="000D7B00" w:rsidRPr="00674FA7" w:rsidRDefault="000D7B00" w:rsidP="00674FA7">
            <w:pPr>
              <w:spacing w:after="0"/>
              <w:jc w:val="center"/>
              <w:cnfStyle w:val="000000010000" w:firstRow="0" w:lastRow="0" w:firstColumn="0" w:lastColumn="0" w:oddVBand="0" w:evenVBand="0" w:oddHBand="0" w:evenHBand="1" w:firstRowFirstColumn="0" w:firstRowLastColumn="0" w:lastRowFirstColumn="0" w:lastRowLastColumn="0"/>
              <w:rPr>
                <w:rFonts w:eastAsia="Times New Roman"/>
                <w:b/>
                <w:color w:val="000000"/>
                <w:sz w:val="18"/>
                <w:szCs w:val="18"/>
                <w:lang w:eastAsia="es-CO"/>
              </w:rPr>
            </w:pPr>
            <w:r w:rsidRPr="00674FA7">
              <w:rPr>
                <w:rFonts w:eastAsia="Times New Roman"/>
                <w:b/>
                <w:color w:val="000000"/>
                <w:sz w:val="18"/>
                <w:szCs w:val="18"/>
                <w:lang w:eastAsia="es-CO"/>
              </w:rPr>
              <w:t>90%</w:t>
            </w:r>
          </w:p>
        </w:tc>
      </w:tr>
      <w:tr w:rsidR="000D7B00" w:rsidRPr="00674FA7" w:rsidTr="00674FA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44" w:type="pct"/>
            <w:vMerge/>
            <w:vAlign w:val="center"/>
            <w:hideMark/>
          </w:tcPr>
          <w:p w:rsidR="000D7B00" w:rsidRPr="00674FA7" w:rsidRDefault="000D7B00" w:rsidP="00674FA7">
            <w:pPr>
              <w:spacing w:after="0"/>
              <w:jc w:val="center"/>
              <w:rPr>
                <w:rFonts w:eastAsiaTheme="minorEastAsia"/>
                <w:sz w:val="18"/>
                <w:szCs w:val="18"/>
              </w:rPr>
            </w:pPr>
          </w:p>
        </w:tc>
        <w:tc>
          <w:tcPr>
            <w:tcW w:w="1420" w:type="pct"/>
            <w:vAlign w:val="center"/>
            <w:hideMark/>
          </w:tcPr>
          <w:p w:rsidR="000D7B00" w:rsidRPr="00674FA7" w:rsidRDefault="000D7B00" w:rsidP="005550DB">
            <w:pPr>
              <w:spacing w:after="0"/>
              <w:cnfStyle w:val="000000100000" w:firstRow="0" w:lastRow="0" w:firstColumn="0" w:lastColumn="0" w:oddVBand="0" w:evenVBand="0" w:oddHBand="1" w:evenHBand="0" w:firstRowFirstColumn="0" w:firstRowLastColumn="0" w:lastRowFirstColumn="0" w:lastRowLastColumn="0"/>
              <w:rPr>
                <w:rFonts w:eastAsiaTheme="minorEastAsia"/>
                <w:sz w:val="18"/>
                <w:szCs w:val="18"/>
              </w:rPr>
            </w:pPr>
            <w:r w:rsidRPr="00674FA7">
              <w:rPr>
                <w:rFonts w:eastAsiaTheme="minorEastAsia"/>
                <w:sz w:val="18"/>
                <w:szCs w:val="18"/>
              </w:rPr>
              <w:t>Administración y ampliación sistema inalámbrico de la Universidad.</w:t>
            </w:r>
          </w:p>
        </w:tc>
        <w:tc>
          <w:tcPr>
            <w:tcW w:w="1856" w:type="pct"/>
            <w:vAlign w:val="center"/>
            <w:hideMark/>
          </w:tcPr>
          <w:p w:rsidR="000D7B00" w:rsidRPr="00674FA7" w:rsidRDefault="000D7B00" w:rsidP="005550DB">
            <w:pPr>
              <w:spacing w:after="0"/>
              <w:cnfStyle w:val="000000100000" w:firstRow="0" w:lastRow="0" w:firstColumn="0" w:lastColumn="0" w:oddVBand="0" w:evenVBand="0" w:oddHBand="1" w:evenHBand="0" w:firstRowFirstColumn="0" w:firstRowLastColumn="0" w:lastRowFirstColumn="0" w:lastRowLastColumn="0"/>
              <w:rPr>
                <w:rFonts w:eastAsiaTheme="minorEastAsia"/>
                <w:sz w:val="18"/>
                <w:szCs w:val="18"/>
              </w:rPr>
            </w:pPr>
            <w:r w:rsidRPr="00674FA7">
              <w:rPr>
                <w:rFonts w:eastAsiaTheme="minorEastAsia"/>
                <w:sz w:val="18"/>
                <w:szCs w:val="18"/>
              </w:rPr>
              <w:t xml:space="preserve">Se realizó licitación pública, la cual fue adjudicada a la empresa </w:t>
            </w:r>
            <w:proofErr w:type="spellStart"/>
            <w:r w:rsidRPr="00674FA7">
              <w:rPr>
                <w:rFonts w:eastAsiaTheme="minorEastAsia"/>
                <w:sz w:val="18"/>
                <w:szCs w:val="18"/>
              </w:rPr>
              <w:t>Newnet</w:t>
            </w:r>
            <w:proofErr w:type="spellEnd"/>
            <w:r w:rsidRPr="00674FA7">
              <w:rPr>
                <w:rFonts w:eastAsiaTheme="minorEastAsia"/>
                <w:sz w:val="18"/>
                <w:szCs w:val="18"/>
              </w:rPr>
              <w:t xml:space="preserve"> S.A.</w:t>
            </w:r>
          </w:p>
        </w:tc>
        <w:tc>
          <w:tcPr>
            <w:tcW w:w="579" w:type="pct"/>
            <w:vMerge/>
            <w:vAlign w:val="center"/>
            <w:hideMark/>
          </w:tcPr>
          <w:p w:rsidR="000D7B00" w:rsidRPr="00674FA7" w:rsidRDefault="000D7B00" w:rsidP="00674FA7">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b/>
                <w:color w:val="000000"/>
                <w:sz w:val="18"/>
                <w:szCs w:val="18"/>
                <w:lang w:eastAsia="es-CO"/>
              </w:rPr>
            </w:pPr>
          </w:p>
        </w:tc>
      </w:tr>
      <w:tr w:rsidR="000D7B00" w:rsidRPr="00674FA7" w:rsidTr="00674FA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44" w:type="pct"/>
            <w:vMerge w:val="restart"/>
            <w:vAlign w:val="center"/>
            <w:hideMark/>
          </w:tcPr>
          <w:p w:rsidR="000D7B00" w:rsidRPr="00674FA7" w:rsidRDefault="000D7B00" w:rsidP="00674FA7">
            <w:pPr>
              <w:spacing w:after="0"/>
              <w:jc w:val="center"/>
              <w:rPr>
                <w:rFonts w:eastAsiaTheme="minorEastAsia"/>
                <w:sz w:val="18"/>
                <w:szCs w:val="18"/>
              </w:rPr>
            </w:pPr>
            <w:r w:rsidRPr="00674FA7">
              <w:rPr>
                <w:rFonts w:eastAsiaTheme="minorEastAsia"/>
                <w:sz w:val="18"/>
                <w:szCs w:val="18"/>
              </w:rPr>
              <w:t>TELEVISIÓN</w:t>
            </w:r>
          </w:p>
        </w:tc>
        <w:tc>
          <w:tcPr>
            <w:tcW w:w="1420" w:type="pct"/>
            <w:vAlign w:val="center"/>
            <w:hideMark/>
          </w:tcPr>
          <w:p w:rsidR="000D7B00" w:rsidRPr="00674FA7" w:rsidRDefault="000D7B00" w:rsidP="005550DB">
            <w:pPr>
              <w:spacing w:after="0"/>
              <w:cnfStyle w:val="000000010000" w:firstRow="0" w:lastRow="0" w:firstColumn="0" w:lastColumn="0" w:oddVBand="0" w:evenVBand="0" w:oddHBand="0" w:evenHBand="1" w:firstRowFirstColumn="0" w:firstRowLastColumn="0" w:lastRowFirstColumn="0" w:lastRowLastColumn="0"/>
              <w:rPr>
                <w:rFonts w:eastAsiaTheme="minorEastAsia"/>
                <w:sz w:val="18"/>
                <w:szCs w:val="18"/>
              </w:rPr>
            </w:pPr>
            <w:r w:rsidRPr="00674FA7">
              <w:rPr>
                <w:rFonts w:eastAsiaTheme="minorEastAsia"/>
                <w:sz w:val="18"/>
                <w:szCs w:val="18"/>
              </w:rPr>
              <w:t>Parrilla de programación en red circuito de televisión UTP.</w:t>
            </w:r>
          </w:p>
        </w:tc>
        <w:tc>
          <w:tcPr>
            <w:tcW w:w="1856" w:type="pct"/>
            <w:vAlign w:val="center"/>
            <w:hideMark/>
          </w:tcPr>
          <w:p w:rsidR="000D7B00" w:rsidRPr="00674FA7" w:rsidRDefault="000D7B00" w:rsidP="005550DB">
            <w:pPr>
              <w:spacing w:after="0"/>
              <w:cnfStyle w:val="000000010000" w:firstRow="0" w:lastRow="0" w:firstColumn="0" w:lastColumn="0" w:oddVBand="0" w:evenVBand="0" w:oddHBand="0" w:evenHBand="1" w:firstRowFirstColumn="0" w:firstRowLastColumn="0" w:lastRowFirstColumn="0" w:lastRowLastColumn="0"/>
              <w:rPr>
                <w:rFonts w:eastAsiaTheme="minorEastAsia"/>
                <w:sz w:val="18"/>
                <w:szCs w:val="18"/>
              </w:rPr>
            </w:pPr>
            <w:r w:rsidRPr="00674FA7">
              <w:rPr>
                <w:rFonts w:eastAsiaTheme="minorEastAsia"/>
                <w:sz w:val="18"/>
                <w:szCs w:val="18"/>
              </w:rPr>
              <w:t>Se realizó la instalación de la Fibra óptica que traerá la señal del proveedor, queda pendiente la habilitación de los puntos internos para el próximo año.</w:t>
            </w:r>
          </w:p>
        </w:tc>
        <w:tc>
          <w:tcPr>
            <w:tcW w:w="579" w:type="pct"/>
            <w:vMerge w:val="restart"/>
            <w:noWrap/>
            <w:vAlign w:val="center"/>
            <w:hideMark/>
          </w:tcPr>
          <w:p w:rsidR="000D7B00" w:rsidRPr="00674FA7" w:rsidRDefault="000D7B00" w:rsidP="00674FA7">
            <w:pPr>
              <w:spacing w:after="0"/>
              <w:jc w:val="center"/>
              <w:cnfStyle w:val="000000010000" w:firstRow="0" w:lastRow="0" w:firstColumn="0" w:lastColumn="0" w:oddVBand="0" w:evenVBand="0" w:oddHBand="0" w:evenHBand="1" w:firstRowFirstColumn="0" w:firstRowLastColumn="0" w:lastRowFirstColumn="0" w:lastRowLastColumn="0"/>
              <w:rPr>
                <w:rFonts w:eastAsia="Times New Roman"/>
                <w:b/>
                <w:color w:val="000000"/>
                <w:sz w:val="18"/>
                <w:szCs w:val="18"/>
                <w:lang w:eastAsia="es-CO"/>
              </w:rPr>
            </w:pPr>
            <w:r w:rsidRPr="00674FA7">
              <w:rPr>
                <w:rFonts w:eastAsia="Times New Roman"/>
                <w:b/>
                <w:color w:val="000000"/>
                <w:sz w:val="18"/>
                <w:szCs w:val="18"/>
                <w:lang w:eastAsia="es-CO"/>
              </w:rPr>
              <w:t>100%</w:t>
            </w:r>
          </w:p>
        </w:tc>
      </w:tr>
      <w:tr w:rsidR="000D7B00" w:rsidRPr="00674FA7" w:rsidTr="00674FA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44" w:type="pct"/>
            <w:vMerge/>
            <w:vAlign w:val="center"/>
            <w:hideMark/>
          </w:tcPr>
          <w:p w:rsidR="000D7B00" w:rsidRPr="00674FA7" w:rsidRDefault="000D7B00" w:rsidP="00674FA7">
            <w:pPr>
              <w:spacing w:after="0"/>
              <w:jc w:val="center"/>
              <w:rPr>
                <w:rFonts w:eastAsiaTheme="minorEastAsia"/>
                <w:sz w:val="18"/>
                <w:szCs w:val="18"/>
              </w:rPr>
            </w:pPr>
          </w:p>
        </w:tc>
        <w:tc>
          <w:tcPr>
            <w:tcW w:w="1420" w:type="pct"/>
            <w:vAlign w:val="center"/>
            <w:hideMark/>
          </w:tcPr>
          <w:p w:rsidR="000D7B00" w:rsidRPr="00674FA7" w:rsidRDefault="000D7B00" w:rsidP="005550DB">
            <w:pPr>
              <w:spacing w:after="0"/>
              <w:cnfStyle w:val="000000100000" w:firstRow="0" w:lastRow="0" w:firstColumn="0" w:lastColumn="0" w:oddVBand="0" w:evenVBand="0" w:oddHBand="1" w:evenHBand="0" w:firstRowFirstColumn="0" w:firstRowLastColumn="0" w:lastRowFirstColumn="0" w:lastRowLastColumn="0"/>
              <w:rPr>
                <w:rFonts w:eastAsiaTheme="minorEastAsia"/>
                <w:sz w:val="18"/>
                <w:szCs w:val="18"/>
              </w:rPr>
            </w:pPr>
            <w:r w:rsidRPr="00674FA7">
              <w:rPr>
                <w:rFonts w:eastAsiaTheme="minorEastAsia"/>
                <w:sz w:val="18"/>
                <w:szCs w:val="18"/>
              </w:rPr>
              <w:t>Apoyo a la comunidad Universitaria.</w:t>
            </w:r>
          </w:p>
        </w:tc>
        <w:tc>
          <w:tcPr>
            <w:tcW w:w="1856" w:type="pct"/>
            <w:vAlign w:val="center"/>
            <w:hideMark/>
          </w:tcPr>
          <w:p w:rsidR="000D7B00" w:rsidRPr="00674FA7" w:rsidRDefault="000D7B00" w:rsidP="005550DB">
            <w:pPr>
              <w:spacing w:after="0"/>
              <w:cnfStyle w:val="000000100000" w:firstRow="0" w:lastRow="0" w:firstColumn="0" w:lastColumn="0" w:oddVBand="0" w:evenVBand="0" w:oddHBand="1" w:evenHBand="0" w:firstRowFirstColumn="0" w:firstRowLastColumn="0" w:lastRowFirstColumn="0" w:lastRowLastColumn="0"/>
              <w:rPr>
                <w:rFonts w:eastAsiaTheme="minorEastAsia"/>
                <w:sz w:val="18"/>
                <w:szCs w:val="18"/>
              </w:rPr>
            </w:pPr>
            <w:r w:rsidRPr="00674FA7">
              <w:rPr>
                <w:rFonts w:eastAsiaTheme="minorEastAsia"/>
                <w:sz w:val="18"/>
                <w:szCs w:val="18"/>
              </w:rPr>
              <w:t>Hasta el último día hábil la institución ofreció el apoyo a la Comunidad universitaria para el cubrimiento y transmisión de sus eventos y actividades.</w:t>
            </w:r>
          </w:p>
        </w:tc>
        <w:tc>
          <w:tcPr>
            <w:tcW w:w="579" w:type="pct"/>
            <w:vMerge/>
            <w:vAlign w:val="center"/>
            <w:hideMark/>
          </w:tcPr>
          <w:p w:rsidR="000D7B00" w:rsidRPr="00674FA7" w:rsidRDefault="000D7B00" w:rsidP="00674FA7">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eastAsia="es-CO"/>
              </w:rPr>
            </w:pPr>
          </w:p>
        </w:tc>
      </w:tr>
      <w:tr w:rsidR="000D7B00" w:rsidRPr="00674FA7" w:rsidTr="00674FA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44" w:type="pct"/>
            <w:vMerge/>
            <w:vAlign w:val="center"/>
            <w:hideMark/>
          </w:tcPr>
          <w:p w:rsidR="000D7B00" w:rsidRPr="00674FA7" w:rsidRDefault="000D7B00" w:rsidP="00674FA7">
            <w:pPr>
              <w:spacing w:after="0"/>
              <w:jc w:val="center"/>
              <w:rPr>
                <w:rFonts w:eastAsiaTheme="minorEastAsia"/>
                <w:sz w:val="18"/>
                <w:szCs w:val="18"/>
              </w:rPr>
            </w:pPr>
          </w:p>
        </w:tc>
        <w:tc>
          <w:tcPr>
            <w:tcW w:w="1420" w:type="pct"/>
            <w:vAlign w:val="center"/>
            <w:hideMark/>
          </w:tcPr>
          <w:p w:rsidR="000D7B00" w:rsidRPr="00674FA7" w:rsidRDefault="000D7B00" w:rsidP="005550DB">
            <w:pPr>
              <w:spacing w:after="0"/>
              <w:cnfStyle w:val="000000010000" w:firstRow="0" w:lastRow="0" w:firstColumn="0" w:lastColumn="0" w:oddVBand="0" w:evenVBand="0" w:oddHBand="0" w:evenHBand="1" w:firstRowFirstColumn="0" w:firstRowLastColumn="0" w:lastRowFirstColumn="0" w:lastRowLastColumn="0"/>
              <w:rPr>
                <w:rFonts w:eastAsiaTheme="minorEastAsia"/>
                <w:sz w:val="18"/>
                <w:szCs w:val="18"/>
              </w:rPr>
            </w:pPr>
            <w:r w:rsidRPr="00674FA7">
              <w:rPr>
                <w:rFonts w:eastAsiaTheme="minorEastAsia"/>
                <w:sz w:val="18"/>
                <w:szCs w:val="18"/>
              </w:rPr>
              <w:t>Realización de programas de televisión y material audiovisual.</w:t>
            </w:r>
          </w:p>
        </w:tc>
        <w:tc>
          <w:tcPr>
            <w:tcW w:w="1856" w:type="pct"/>
            <w:vAlign w:val="center"/>
            <w:hideMark/>
          </w:tcPr>
          <w:p w:rsidR="000D7B00" w:rsidRPr="00674FA7" w:rsidRDefault="000D7B00" w:rsidP="005550DB">
            <w:pPr>
              <w:spacing w:after="0"/>
              <w:cnfStyle w:val="000000010000" w:firstRow="0" w:lastRow="0" w:firstColumn="0" w:lastColumn="0" w:oddVBand="0" w:evenVBand="0" w:oddHBand="0" w:evenHBand="1" w:firstRowFirstColumn="0" w:firstRowLastColumn="0" w:lastRowFirstColumn="0" w:lastRowLastColumn="0"/>
              <w:rPr>
                <w:rFonts w:eastAsiaTheme="minorEastAsia"/>
                <w:sz w:val="18"/>
                <w:szCs w:val="18"/>
              </w:rPr>
            </w:pPr>
            <w:r w:rsidRPr="00674FA7">
              <w:rPr>
                <w:rFonts w:eastAsiaTheme="minorEastAsia"/>
                <w:sz w:val="18"/>
                <w:szCs w:val="18"/>
              </w:rPr>
              <w:t>Se hizo entrega de toda la programación prevista para el 2012, y se adelantó además la producción de los primeros tres programas de enfocados del 2013.</w:t>
            </w:r>
          </w:p>
        </w:tc>
        <w:tc>
          <w:tcPr>
            <w:tcW w:w="579" w:type="pct"/>
            <w:vMerge/>
            <w:vAlign w:val="center"/>
            <w:hideMark/>
          </w:tcPr>
          <w:p w:rsidR="000D7B00" w:rsidRPr="00674FA7" w:rsidRDefault="000D7B00" w:rsidP="00674FA7">
            <w:pPr>
              <w:spacing w:after="0"/>
              <w:jc w:val="center"/>
              <w:cnfStyle w:val="000000010000" w:firstRow="0" w:lastRow="0" w:firstColumn="0" w:lastColumn="0" w:oddVBand="0" w:evenVBand="0" w:oddHBand="0" w:evenHBand="1" w:firstRowFirstColumn="0" w:firstRowLastColumn="0" w:lastRowFirstColumn="0" w:lastRowLastColumn="0"/>
              <w:rPr>
                <w:rFonts w:eastAsia="Times New Roman"/>
                <w:color w:val="000000"/>
                <w:sz w:val="18"/>
                <w:szCs w:val="18"/>
                <w:lang w:eastAsia="es-CO"/>
              </w:rPr>
            </w:pPr>
          </w:p>
        </w:tc>
      </w:tr>
      <w:tr w:rsidR="000D7B00" w:rsidRPr="00674FA7" w:rsidTr="00674FA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44" w:type="pct"/>
            <w:vMerge w:val="restart"/>
            <w:vAlign w:val="center"/>
            <w:hideMark/>
          </w:tcPr>
          <w:p w:rsidR="000D7B00" w:rsidRPr="00674FA7" w:rsidRDefault="000D7B00" w:rsidP="00674FA7">
            <w:pPr>
              <w:spacing w:after="0"/>
              <w:jc w:val="center"/>
              <w:rPr>
                <w:rFonts w:eastAsiaTheme="minorEastAsia"/>
                <w:sz w:val="18"/>
                <w:szCs w:val="18"/>
              </w:rPr>
            </w:pPr>
            <w:r w:rsidRPr="00674FA7">
              <w:rPr>
                <w:rFonts w:eastAsiaTheme="minorEastAsia"/>
                <w:sz w:val="18"/>
                <w:szCs w:val="18"/>
              </w:rPr>
              <w:t>GRUPO INVESTIGACION CRIE</w:t>
            </w:r>
          </w:p>
        </w:tc>
        <w:tc>
          <w:tcPr>
            <w:tcW w:w="1420" w:type="pct"/>
            <w:vAlign w:val="center"/>
            <w:hideMark/>
          </w:tcPr>
          <w:p w:rsidR="000D7B00" w:rsidRPr="00674FA7" w:rsidRDefault="000D7B00" w:rsidP="005550DB">
            <w:pPr>
              <w:spacing w:after="0"/>
              <w:cnfStyle w:val="000000100000" w:firstRow="0" w:lastRow="0" w:firstColumn="0" w:lastColumn="0" w:oddVBand="0" w:evenVBand="0" w:oddHBand="1" w:evenHBand="0" w:firstRowFirstColumn="0" w:firstRowLastColumn="0" w:lastRowFirstColumn="0" w:lastRowLastColumn="0"/>
              <w:rPr>
                <w:rFonts w:eastAsiaTheme="minorEastAsia"/>
                <w:sz w:val="18"/>
                <w:szCs w:val="18"/>
              </w:rPr>
            </w:pPr>
            <w:r w:rsidRPr="00674FA7">
              <w:rPr>
                <w:rFonts w:eastAsiaTheme="minorEastAsia"/>
                <w:sz w:val="18"/>
                <w:szCs w:val="18"/>
              </w:rPr>
              <w:t>Diseño desarrollo y ejecución de proyectos educativos</w:t>
            </w:r>
          </w:p>
        </w:tc>
        <w:tc>
          <w:tcPr>
            <w:tcW w:w="1856" w:type="pct"/>
            <w:vAlign w:val="center"/>
            <w:hideMark/>
          </w:tcPr>
          <w:p w:rsidR="000D7B00" w:rsidRPr="00674FA7" w:rsidRDefault="000D7B00" w:rsidP="005550DB">
            <w:pPr>
              <w:spacing w:after="0"/>
              <w:cnfStyle w:val="000000100000" w:firstRow="0" w:lastRow="0" w:firstColumn="0" w:lastColumn="0" w:oddVBand="0" w:evenVBand="0" w:oddHBand="1" w:evenHBand="0" w:firstRowFirstColumn="0" w:firstRowLastColumn="0" w:lastRowFirstColumn="0" w:lastRowLastColumn="0"/>
              <w:rPr>
                <w:rFonts w:eastAsiaTheme="minorEastAsia"/>
                <w:sz w:val="18"/>
                <w:szCs w:val="18"/>
              </w:rPr>
            </w:pPr>
            <w:r w:rsidRPr="00674FA7">
              <w:rPr>
                <w:rFonts w:eastAsiaTheme="minorEastAsia"/>
                <w:sz w:val="18"/>
                <w:szCs w:val="18"/>
              </w:rPr>
              <w:t>En el marco del contrato CPE: Se cumplió con la selección de las sedes al 100%; el alistamiento está en un 85% la formación en el 90% y se firmó otrosí hasta el 14 de marzo.</w:t>
            </w:r>
          </w:p>
          <w:p w:rsidR="000D7B00" w:rsidRPr="00674FA7" w:rsidRDefault="000D7B00" w:rsidP="005550DB">
            <w:pPr>
              <w:spacing w:after="0"/>
              <w:cnfStyle w:val="000000100000" w:firstRow="0" w:lastRow="0" w:firstColumn="0" w:lastColumn="0" w:oddVBand="0" w:evenVBand="0" w:oddHBand="1" w:evenHBand="0" w:firstRowFirstColumn="0" w:firstRowLastColumn="0" w:lastRowFirstColumn="0" w:lastRowLastColumn="0"/>
              <w:rPr>
                <w:rFonts w:eastAsiaTheme="minorEastAsia"/>
                <w:sz w:val="18"/>
                <w:szCs w:val="18"/>
              </w:rPr>
            </w:pPr>
            <w:r w:rsidRPr="00674FA7">
              <w:rPr>
                <w:rFonts w:eastAsiaTheme="minorEastAsia"/>
                <w:sz w:val="18"/>
                <w:szCs w:val="18"/>
              </w:rPr>
              <w:br/>
              <w:t>Cambio de Categoría Grupo Investigación y se realizó libro.</w:t>
            </w:r>
          </w:p>
        </w:tc>
        <w:tc>
          <w:tcPr>
            <w:tcW w:w="579" w:type="pct"/>
            <w:vMerge w:val="restart"/>
            <w:noWrap/>
            <w:vAlign w:val="center"/>
            <w:hideMark/>
          </w:tcPr>
          <w:p w:rsidR="000D7B00" w:rsidRPr="00674FA7" w:rsidRDefault="000D7B00" w:rsidP="00674FA7">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b/>
                <w:color w:val="000000"/>
                <w:sz w:val="18"/>
                <w:szCs w:val="18"/>
                <w:lang w:eastAsia="es-CO"/>
              </w:rPr>
            </w:pPr>
            <w:r w:rsidRPr="00674FA7">
              <w:rPr>
                <w:rFonts w:eastAsia="Times New Roman"/>
                <w:b/>
                <w:color w:val="000000"/>
                <w:sz w:val="18"/>
                <w:szCs w:val="18"/>
                <w:lang w:eastAsia="es-CO"/>
              </w:rPr>
              <w:t>97%</w:t>
            </w:r>
          </w:p>
        </w:tc>
      </w:tr>
      <w:tr w:rsidR="000D7B00" w:rsidRPr="00674FA7" w:rsidTr="00674FA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44" w:type="pct"/>
            <w:vMerge/>
            <w:vAlign w:val="center"/>
            <w:hideMark/>
          </w:tcPr>
          <w:p w:rsidR="000D7B00" w:rsidRPr="00674FA7" w:rsidRDefault="000D7B00" w:rsidP="00674FA7">
            <w:pPr>
              <w:spacing w:after="0"/>
              <w:jc w:val="center"/>
              <w:rPr>
                <w:rFonts w:eastAsiaTheme="minorEastAsia"/>
                <w:sz w:val="18"/>
                <w:szCs w:val="18"/>
              </w:rPr>
            </w:pPr>
          </w:p>
        </w:tc>
        <w:tc>
          <w:tcPr>
            <w:tcW w:w="1420" w:type="pct"/>
            <w:vAlign w:val="center"/>
            <w:hideMark/>
          </w:tcPr>
          <w:p w:rsidR="000D7B00" w:rsidRPr="00674FA7" w:rsidRDefault="000D7B00" w:rsidP="005550DB">
            <w:pPr>
              <w:spacing w:after="0"/>
              <w:cnfStyle w:val="000000010000" w:firstRow="0" w:lastRow="0" w:firstColumn="0" w:lastColumn="0" w:oddVBand="0" w:evenVBand="0" w:oddHBand="0" w:evenHBand="1" w:firstRowFirstColumn="0" w:firstRowLastColumn="0" w:lastRowFirstColumn="0" w:lastRowLastColumn="0"/>
              <w:rPr>
                <w:rFonts w:eastAsiaTheme="minorEastAsia"/>
                <w:sz w:val="18"/>
                <w:szCs w:val="18"/>
              </w:rPr>
            </w:pPr>
            <w:r w:rsidRPr="00674FA7">
              <w:rPr>
                <w:rFonts w:eastAsiaTheme="minorEastAsia"/>
                <w:sz w:val="18"/>
                <w:szCs w:val="18"/>
              </w:rPr>
              <w:t>Evento de socialización de educación y TIC</w:t>
            </w:r>
          </w:p>
        </w:tc>
        <w:tc>
          <w:tcPr>
            <w:tcW w:w="1856" w:type="pct"/>
            <w:vAlign w:val="center"/>
            <w:hideMark/>
          </w:tcPr>
          <w:p w:rsidR="000D7B00" w:rsidRPr="00674FA7" w:rsidRDefault="000D7B00" w:rsidP="005550DB">
            <w:pPr>
              <w:spacing w:after="0"/>
              <w:cnfStyle w:val="000000010000" w:firstRow="0" w:lastRow="0" w:firstColumn="0" w:lastColumn="0" w:oddVBand="0" w:evenVBand="0" w:oddHBand="0" w:evenHBand="1" w:firstRowFirstColumn="0" w:firstRowLastColumn="0" w:lastRowFirstColumn="0" w:lastRowLastColumn="0"/>
              <w:rPr>
                <w:rFonts w:eastAsiaTheme="minorEastAsia"/>
                <w:sz w:val="18"/>
                <w:szCs w:val="18"/>
              </w:rPr>
            </w:pPr>
            <w:r w:rsidRPr="00674FA7">
              <w:rPr>
                <w:rFonts w:eastAsiaTheme="minorEastAsia"/>
                <w:sz w:val="18"/>
                <w:szCs w:val="18"/>
              </w:rPr>
              <w:t>Educa Regional: Se llevó acabo en el mes de octubre los días 18 y 19, en la ciudad  de Cali, con la participación de 327 docentes procedentes del Valle del Cauca, Caldas, Risaralda y Quindío.</w:t>
            </w:r>
          </w:p>
        </w:tc>
        <w:tc>
          <w:tcPr>
            <w:tcW w:w="579" w:type="pct"/>
            <w:vMerge/>
            <w:vAlign w:val="center"/>
            <w:hideMark/>
          </w:tcPr>
          <w:p w:rsidR="000D7B00" w:rsidRPr="00674FA7" w:rsidRDefault="000D7B00" w:rsidP="00674FA7">
            <w:pPr>
              <w:spacing w:after="0"/>
              <w:jc w:val="center"/>
              <w:cnfStyle w:val="000000010000" w:firstRow="0" w:lastRow="0" w:firstColumn="0" w:lastColumn="0" w:oddVBand="0" w:evenVBand="0" w:oddHBand="0" w:evenHBand="1" w:firstRowFirstColumn="0" w:firstRowLastColumn="0" w:lastRowFirstColumn="0" w:lastRowLastColumn="0"/>
              <w:rPr>
                <w:rFonts w:eastAsia="Times New Roman"/>
                <w:b/>
                <w:color w:val="000000"/>
                <w:sz w:val="18"/>
                <w:szCs w:val="18"/>
                <w:lang w:eastAsia="es-CO"/>
              </w:rPr>
            </w:pPr>
          </w:p>
        </w:tc>
      </w:tr>
      <w:tr w:rsidR="000D7B00" w:rsidRPr="00674FA7" w:rsidTr="00674FA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44" w:type="pct"/>
            <w:vMerge/>
            <w:vAlign w:val="center"/>
            <w:hideMark/>
          </w:tcPr>
          <w:p w:rsidR="000D7B00" w:rsidRPr="00674FA7" w:rsidRDefault="000D7B00" w:rsidP="00674FA7">
            <w:pPr>
              <w:spacing w:after="0"/>
              <w:jc w:val="center"/>
              <w:rPr>
                <w:rFonts w:eastAsiaTheme="minorEastAsia"/>
                <w:sz w:val="18"/>
                <w:szCs w:val="18"/>
              </w:rPr>
            </w:pPr>
          </w:p>
        </w:tc>
        <w:tc>
          <w:tcPr>
            <w:tcW w:w="1420" w:type="pct"/>
            <w:vAlign w:val="center"/>
            <w:hideMark/>
          </w:tcPr>
          <w:p w:rsidR="000D7B00" w:rsidRPr="00674FA7" w:rsidRDefault="000D7B00" w:rsidP="005550DB">
            <w:pPr>
              <w:spacing w:after="0"/>
              <w:cnfStyle w:val="000000100000" w:firstRow="0" w:lastRow="0" w:firstColumn="0" w:lastColumn="0" w:oddVBand="0" w:evenVBand="0" w:oddHBand="1" w:evenHBand="0" w:firstRowFirstColumn="0" w:firstRowLastColumn="0" w:lastRowFirstColumn="0" w:lastRowLastColumn="0"/>
              <w:rPr>
                <w:rFonts w:eastAsiaTheme="minorEastAsia"/>
                <w:sz w:val="18"/>
                <w:szCs w:val="18"/>
              </w:rPr>
            </w:pPr>
            <w:r w:rsidRPr="00674FA7">
              <w:rPr>
                <w:rFonts w:eastAsiaTheme="minorEastAsia"/>
                <w:sz w:val="18"/>
                <w:szCs w:val="18"/>
              </w:rPr>
              <w:t>Administración de la plataforma LMS (</w:t>
            </w:r>
            <w:proofErr w:type="spellStart"/>
            <w:r w:rsidRPr="00674FA7">
              <w:rPr>
                <w:rFonts w:eastAsiaTheme="minorEastAsia"/>
                <w:sz w:val="18"/>
                <w:szCs w:val="18"/>
              </w:rPr>
              <w:t>Moodle</w:t>
            </w:r>
            <w:proofErr w:type="spellEnd"/>
            <w:r w:rsidRPr="00674FA7">
              <w:rPr>
                <w:rFonts w:eastAsiaTheme="minorEastAsia"/>
                <w:sz w:val="18"/>
                <w:szCs w:val="18"/>
              </w:rPr>
              <w:t>).</w:t>
            </w:r>
          </w:p>
        </w:tc>
        <w:tc>
          <w:tcPr>
            <w:tcW w:w="1856" w:type="pct"/>
            <w:vAlign w:val="center"/>
            <w:hideMark/>
          </w:tcPr>
          <w:p w:rsidR="000D7B00" w:rsidRPr="00674FA7" w:rsidRDefault="000D7B00" w:rsidP="005550DB">
            <w:pPr>
              <w:spacing w:after="0"/>
              <w:cnfStyle w:val="000000100000" w:firstRow="0" w:lastRow="0" w:firstColumn="0" w:lastColumn="0" w:oddVBand="0" w:evenVBand="0" w:oddHBand="1" w:evenHBand="0" w:firstRowFirstColumn="0" w:firstRowLastColumn="0" w:lastRowFirstColumn="0" w:lastRowLastColumn="0"/>
              <w:rPr>
                <w:rFonts w:eastAsiaTheme="minorEastAsia"/>
                <w:sz w:val="18"/>
                <w:szCs w:val="18"/>
              </w:rPr>
            </w:pPr>
            <w:r w:rsidRPr="00674FA7">
              <w:rPr>
                <w:rFonts w:eastAsiaTheme="minorEastAsia"/>
                <w:sz w:val="18"/>
                <w:szCs w:val="18"/>
              </w:rPr>
              <w:t xml:space="preserve">Se actualizo la versión  de </w:t>
            </w:r>
            <w:proofErr w:type="spellStart"/>
            <w:r w:rsidRPr="00674FA7">
              <w:rPr>
                <w:rFonts w:eastAsiaTheme="minorEastAsia"/>
                <w:sz w:val="18"/>
                <w:szCs w:val="18"/>
              </w:rPr>
              <w:t>Moodle</w:t>
            </w:r>
            <w:proofErr w:type="spellEnd"/>
            <w:r w:rsidRPr="00674FA7">
              <w:rPr>
                <w:rFonts w:eastAsiaTheme="minorEastAsia"/>
                <w:sz w:val="18"/>
                <w:szCs w:val="18"/>
              </w:rPr>
              <w:t xml:space="preserve"> y se estabilizó el funcionamiento de la plataforma.</w:t>
            </w:r>
          </w:p>
        </w:tc>
        <w:tc>
          <w:tcPr>
            <w:tcW w:w="579" w:type="pct"/>
            <w:vMerge/>
            <w:vAlign w:val="center"/>
            <w:hideMark/>
          </w:tcPr>
          <w:p w:rsidR="000D7B00" w:rsidRPr="00674FA7" w:rsidRDefault="000D7B00" w:rsidP="00674FA7">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b/>
                <w:color w:val="000000"/>
                <w:sz w:val="18"/>
                <w:szCs w:val="18"/>
                <w:lang w:eastAsia="es-CO"/>
              </w:rPr>
            </w:pPr>
          </w:p>
        </w:tc>
      </w:tr>
      <w:tr w:rsidR="000D7B00" w:rsidRPr="00674FA7" w:rsidTr="00674FA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44" w:type="pct"/>
            <w:vMerge w:val="restart"/>
            <w:vAlign w:val="center"/>
            <w:hideMark/>
          </w:tcPr>
          <w:p w:rsidR="000D7B00" w:rsidRPr="00674FA7" w:rsidRDefault="000D7B00" w:rsidP="00674FA7">
            <w:pPr>
              <w:spacing w:after="0"/>
              <w:jc w:val="center"/>
              <w:rPr>
                <w:rFonts w:eastAsiaTheme="minorEastAsia"/>
                <w:sz w:val="18"/>
                <w:szCs w:val="18"/>
              </w:rPr>
            </w:pPr>
            <w:r w:rsidRPr="00674FA7">
              <w:rPr>
                <w:rFonts w:eastAsiaTheme="minorEastAsia"/>
                <w:sz w:val="18"/>
                <w:szCs w:val="18"/>
              </w:rPr>
              <w:t>REDES ACADÉMICAS DE ALTA VELOCIDAD</w:t>
            </w:r>
          </w:p>
        </w:tc>
        <w:tc>
          <w:tcPr>
            <w:tcW w:w="1420" w:type="pct"/>
            <w:vAlign w:val="center"/>
            <w:hideMark/>
          </w:tcPr>
          <w:p w:rsidR="000D7B00" w:rsidRPr="00674FA7" w:rsidRDefault="000D7B00" w:rsidP="005550DB">
            <w:pPr>
              <w:spacing w:after="0"/>
              <w:cnfStyle w:val="000000010000" w:firstRow="0" w:lastRow="0" w:firstColumn="0" w:lastColumn="0" w:oddVBand="0" w:evenVBand="0" w:oddHBand="0" w:evenHBand="1" w:firstRowFirstColumn="0" w:firstRowLastColumn="0" w:lastRowFirstColumn="0" w:lastRowLastColumn="0"/>
              <w:rPr>
                <w:rFonts w:eastAsiaTheme="minorEastAsia"/>
                <w:sz w:val="18"/>
                <w:szCs w:val="18"/>
              </w:rPr>
            </w:pPr>
            <w:r w:rsidRPr="00674FA7">
              <w:rPr>
                <w:rFonts w:eastAsiaTheme="minorEastAsia"/>
                <w:sz w:val="18"/>
                <w:szCs w:val="18"/>
              </w:rPr>
              <w:t>Coordinación de actividades de difusión y estimulo entre los investigadores de la UTP, para el uso de las redes académicas.</w:t>
            </w:r>
          </w:p>
        </w:tc>
        <w:tc>
          <w:tcPr>
            <w:tcW w:w="1856" w:type="pct"/>
            <w:vAlign w:val="center"/>
            <w:hideMark/>
          </w:tcPr>
          <w:p w:rsidR="000D7B00" w:rsidRPr="00674FA7" w:rsidRDefault="000D7B00" w:rsidP="005550DB">
            <w:pPr>
              <w:spacing w:after="0"/>
              <w:cnfStyle w:val="000000010000" w:firstRow="0" w:lastRow="0" w:firstColumn="0" w:lastColumn="0" w:oddVBand="0" w:evenVBand="0" w:oddHBand="0" w:evenHBand="1" w:firstRowFirstColumn="0" w:firstRowLastColumn="0" w:lastRowFirstColumn="0" w:lastRowLastColumn="0"/>
              <w:rPr>
                <w:rFonts w:eastAsiaTheme="minorEastAsia"/>
                <w:sz w:val="18"/>
                <w:szCs w:val="18"/>
              </w:rPr>
            </w:pPr>
            <w:r w:rsidRPr="00674FA7">
              <w:rPr>
                <w:rFonts w:eastAsiaTheme="minorEastAsia"/>
                <w:sz w:val="18"/>
                <w:szCs w:val="18"/>
              </w:rPr>
              <w:t>Se continuó con la reunión de los rectores de las instituciones de RADAR de Pereira y Armenia para presentar el estado actual del mismo y su proyección,  se culminó con éxito los procesos de formación de OJS firmado con RENATA para Colciencias en 6 ciudades de Colombia.</w:t>
            </w:r>
          </w:p>
        </w:tc>
        <w:tc>
          <w:tcPr>
            <w:tcW w:w="579" w:type="pct"/>
            <w:vMerge w:val="restart"/>
            <w:noWrap/>
            <w:vAlign w:val="center"/>
            <w:hideMark/>
          </w:tcPr>
          <w:p w:rsidR="000D7B00" w:rsidRPr="00674FA7" w:rsidRDefault="000D7B00" w:rsidP="00674FA7">
            <w:pPr>
              <w:spacing w:after="0"/>
              <w:jc w:val="center"/>
              <w:cnfStyle w:val="000000010000" w:firstRow="0" w:lastRow="0" w:firstColumn="0" w:lastColumn="0" w:oddVBand="0" w:evenVBand="0" w:oddHBand="0" w:evenHBand="1" w:firstRowFirstColumn="0" w:firstRowLastColumn="0" w:lastRowFirstColumn="0" w:lastRowLastColumn="0"/>
              <w:rPr>
                <w:rFonts w:eastAsia="Times New Roman"/>
                <w:b/>
                <w:color w:val="000000"/>
                <w:sz w:val="18"/>
                <w:szCs w:val="18"/>
                <w:lang w:eastAsia="es-CO"/>
              </w:rPr>
            </w:pPr>
            <w:r w:rsidRPr="00674FA7">
              <w:rPr>
                <w:rFonts w:eastAsia="Times New Roman"/>
                <w:b/>
                <w:color w:val="000000"/>
                <w:sz w:val="18"/>
                <w:szCs w:val="18"/>
                <w:lang w:eastAsia="es-CO"/>
              </w:rPr>
              <w:t>97%</w:t>
            </w:r>
          </w:p>
        </w:tc>
      </w:tr>
      <w:tr w:rsidR="000D7B00" w:rsidRPr="00674FA7" w:rsidTr="00674FA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44" w:type="pct"/>
            <w:vMerge/>
            <w:hideMark/>
          </w:tcPr>
          <w:p w:rsidR="000D7B00" w:rsidRPr="00674FA7" w:rsidRDefault="000D7B00" w:rsidP="005550DB">
            <w:pPr>
              <w:spacing w:after="0"/>
              <w:jc w:val="left"/>
              <w:rPr>
                <w:rFonts w:eastAsiaTheme="minorEastAsia"/>
                <w:sz w:val="18"/>
                <w:szCs w:val="18"/>
              </w:rPr>
            </w:pPr>
          </w:p>
        </w:tc>
        <w:tc>
          <w:tcPr>
            <w:tcW w:w="1420" w:type="pct"/>
            <w:vAlign w:val="center"/>
            <w:hideMark/>
          </w:tcPr>
          <w:p w:rsidR="000D7B00" w:rsidRPr="00674FA7" w:rsidRDefault="000D7B00" w:rsidP="005550DB">
            <w:pPr>
              <w:spacing w:after="0"/>
              <w:cnfStyle w:val="000000100000" w:firstRow="0" w:lastRow="0" w:firstColumn="0" w:lastColumn="0" w:oddVBand="0" w:evenVBand="0" w:oddHBand="1" w:evenHBand="0" w:firstRowFirstColumn="0" w:firstRowLastColumn="0" w:lastRowFirstColumn="0" w:lastRowLastColumn="0"/>
              <w:rPr>
                <w:rFonts w:eastAsiaTheme="minorEastAsia"/>
                <w:sz w:val="18"/>
                <w:szCs w:val="18"/>
              </w:rPr>
            </w:pPr>
            <w:r w:rsidRPr="00674FA7">
              <w:rPr>
                <w:rFonts w:eastAsiaTheme="minorEastAsia"/>
                <w:sz w:val="18"/>
                <w:szCs w:val="18"/>
              </w:rPr>
              <w:t>Coordinación de transmisión y seguimiento de eventos a través de RENATA y proyectos de trabajo colaborativo entre la UTP y otras instituciones conectadas en red.</w:t>
            </w:r>
          </w:p>
        </w:tc>
        <w:tc>
          <w:tcPr>
            <w:tcW w:w="1856" w:type="pct"/>
            <w:vAlign w:val="center"/>
            <w:hideMark/>
          </w:tcPr>
          <w:p w:rsidR="000D7B00" w:rsidRPr="00674FA7" w:rsidRDefault="000D7B00" w:rsidP="005550DB">
            <w:pPr>
              <w:spacing w:after="0"/>
              <w:cnfStyle w:val="000000100000" w:firstRow="0" w:lastRow="0" w:firstColumn="0" w:lastColumn="0" w:oddVBand="0" w:evenVBand="0" w:oddHBand="1" w:evenHBand="0" w:firstRowFirstColumn="0" w:firstRowLastColumn="0" w:lastRowFirstColumn="0" w:lastRowLastColumn="0"/>
              <w:rPr>
                <w:rFonts w:eastAsiaTheme="minorEastAsia"/>
                <w:sz w:val="18"/>
                <w:szCs w:val="18"/>
              </w:rPr>
            </w:pPr>
            <w:r w:rsidRPr="00674FA7">
              <w:rPr>
                <w:rFonts w:eastAsiaTheme="minorEastAsia"/>
                <w:sz w:val="18"/>
                <w:szCs w:val="18"/>
              </w:rPr>
              <w:t>Se continua el incremento del número de las solicitudes de servicio, y se habilitó el servicio de video chat a través de WEBEX, herramienta a la que se accede gracias a la posición de la Universidad como Centro de Soporte y Entrenamiento de CISCO, y que se viene usando tanto para sustentaciones de proyectos como para charlas con pares nacionales e internacionales.</w:t>
            </w:r>
          </w:p>
        </w:tc>
        <w:tc>
          <w:tcPr>
            <w:tcW w:w="579" w:type="pct"/>
            <w:vMerge/>
            <w:hideMark/>
          </w:tcPr>
          <w:p w:rsidR="000D7B00" w:rsidRPr="00674FA7" w:rsidRDefault="000D7B00" w:rsidP="005550DB">
            <w:pPr>
              <w:spacing w:after="0"/>
              <w:jc w:val="lef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eastAsia="es-CO"/>
              </w:rPr>
            </w:pPr>
          </w:p>
        </w:tc>
      </w:tr>
      <w:bookmarkEnd w:id="75"/>
    </w:tbl>
    <w:p w:rsidR="000D7B00" w:rsidRPr="008A4A11" w:rsidRDefault="000D7B00" w:rsidP="000D7B00">
      <w:pPr>
        <w:spacing w:after="0"/>
      </w:pPr>
    </w:p>
    <w:p w:rsidR="000D7B00" w:rsidRPr="00732E87" w:rsidRDefault="000D7B00" w:rsidP="00732E87">
      <w:pPr>
        <w:pStyle w:val="Ttulo3"/>
      </w:pPr>
      <w:bookmarkStart w:id="76" w:name="_Toc350238221"/>
      <w:bookmarkStart w:id="77" w:name="_Toc354671324"/>
      <w:r w:rsidRPr="00732E87">
        <w:t>Sostenibilidad de hardware y software</w:t>
      </w:r>
      <w:bookmarkEnd w:id="76"/>
      <w:bookmarkEnd w:id="77"/>
    </w:p>
    <w:p w:rsidR="000D7B00" w:rsidRPr="008A4A11" w:rsidRDefault="000D7B00" w:rsidP="000D7B00">
      <w:pPr>
        <w:tabs>
          <w:tab w:val="left" w:pos="3165"/>
        </w:tabs>
        <w:spacing w:after="0"/>
      </w:pPr>
    </w:p>
    <w:p w:rsidR="000D7B00" w:rsidRDefault="000D7B00" w:rsidP="000D7B00">
      <w:pPr>
        <w:pStyle w:val="Default"/>
        <w:jc w:val="both"/>
        <w:rPr>
          <w:rFonts w:asciiTheme="minorHAnsi" w:hAnsiTheme="minorHAnsi" w:cstheme="minorBidi"/>
          <w:color w:val="auto"/>
          <w:sz w:val="22"/>
          <w:szCs w:val="22"/>
        </w:rPr>
      </w:pPr>
      <w:r>
        <w:rPr>
          <w:rFonts w:asciiTheme="minorHAnsi" w:hAnsiTheme="minorHAnsi" w:cstheme="minorBidi"/>
          <w:color w:val="auto"/>
          <w:sz w:val="22"/>
          <w:szCs w:val="22"/>
        </w:rPr>
        <w:t>Con este componente se pretende que las p</w:t>
      </w:r>
      <w:r w:rsidRPr="00141A7F">
        <w:rPr>
          <w:rFonts w:asciiTheme="minorHAnsi" w:hAnsiTheme="minorHAnsi" w:cstheme="minorBidi"/>
          <w:color w:val="auto"/>
          <w:sz w:val="22"/>
          <w:szCs w:val="22"/>
        </w:rPr>
        <w:t xml:space="preserve">lataformas tecnológicas implementadas </w:t>
      </w:r>
      <w:r>
        <w:rPr>
          <w:rFonts w:asciiTheme="minorHAnsi" w:hAnsiTheme="minorHAnsi" w:cstheme="minorBidi"/>
          <w:color w:val="auto"/>
          <w:sz w:val="22"/>
          <w:szCs w:val="22"/>
        </w:rPr>
        <w:t>contengan</w:t>
      </w:r>
      <w:r w:rsidRPr="00141A7F">
        <w:rPr>
          <w:rFonts w:asciiTheme="minorHAnsi" w:hAnsiTheme="minorHAnsi" w:cstheme="minorBidi"/>
          <w:color w:val="auto"/>
          <w:sz w:val="22"/>
          <w:szCs w:val="22"/>
        </w:rPr>
        <w:t xml:space="preserve"> políticas claras</w:t>
      </w:r>
      <w:r>
        <w:rPr>
          <w:rFonts w:asciiTheme="minorHAnsi" w:hAnsiTheme="minorHAnsi" w:cstheme="minorBidi"/>
          <w:color w:val="auto"/>
          <w:sz w:val="22"/>
          <w:szCs w:val="22"/>
        </w:rPr>
        <w:t xml:space="preserve"> de adquisición, actualización, </w:t>
      </w:r>
      <w:r w:rsidRPr="00141A7F">
        <w:rPr>
          <w:rFonts w:asciiTheme="minorHAnsi" w:hAnsiTheme="minorHAnsi" w:cstheme="minorBidi"/>
          <w:color w:val="auto"/>
          <w:sz w:val="22"/>
          <w:szCs w:val="22"/>
        </w:rPr>
        <w:t xml:space="preserve">renovación y mantenimiento, </w:t>
      </w:r>
      <w:r>
        <w:rPr>
          <w:rFonts w:asciiTheme="minorHAnsi" w:hAnsiTheme="minorHAnsi" w:cstheme="minorBidi"/>
          <w:color w:val="auto"/>
          <w:sz w:val="22"/>
          <w:szCs w:val="22"/>
        </w:rPr>
        <w:t>y así garantizar</w:t>
      </w:r>
      <w:r w:rsidRPr="00141A7F">
        <w:rPr>
          <w:rFonts w:asciiTheme="minorHAnsi" w:hAnsiTheme="minorHAnsi" w:cstheme="minorBidi"/>
          <w:color w:val="auto"/>
          <w:sz w:val="22"/>
          <w:szCs w:val="22"/>
        </w:rPr>
        <w:t xml:space="preserve"> el cumpl</w:t>
      </w:r>
      <w:r>
        <w:rPr>
          <w:rFonts w:asciiTheme="minorHAnsi" w:hAnsiTheme="minorHAnsi" w:cstheme="minorBidi"/>
          <w:color w:val="auto"/>
          <w:sz w:val="22"/>
          <w:szCs w:val="22"/>
        </w:rPr>
        <w:t xml:space="preserve">imento de estándares de calidad. </w:t>
      </w:r>
    </w:p>
    <w:p w:rsidR="000D7B00" w:rsidRDefault="000D7B00" w:rsidP="000D7B00">
      <w:pPr>
        <w:pStyle w:val="Default"/>
        <w:jc w:val="both"/>
        <w:rPr>
          <w:rFonts w:asciiTheme="minorHAnsi" w:hAnsiTheme="minorHAnsi" w:cstheme="minorBidi"/>
          <w:color w:val="auto"/>
          <w:sz w:val="22"/>
          <w:szCs w:val="22"/>
        </w:rPr>
      </w:pPr>
    </w:p>
    <w:p w:rsidR="000D7B00" w:rsidRDefault="000D7B00" w:rsidP="000D7B00">
      <w:pPr>
        <w:pStyle w:val="Default"/>
        <w:jc w:val="both"/>
        <w:rPr>
          <w:rFonts w:asciiTheme="minorHAnsi" w:hAnsiTheme="minorHAnsi" w:cstheme="minorBidi"/>
          <w:color w:val="auto"/>
          <w:sz w:val="22"/>
          <w:szCs w:val="22"/>
        </w:rPr>
      </w:pPr>
      <w:r w:rsidRPr="00D40000">
        <w:rPr>
          <w:rFonts w:asciiTheme="minorHAnsi" w:hAnsiTheme="minorHAnsi" w:cstheme="minorBidi"/>
          <w:color w:val="auto"/>
          <w:sz w:val="22"/>
          <w:szCs w:val="22"/>
        </w:rPr>
        <w:t>Para la vigencia 2012 se ejecutaron las siguientes acciones:</w:t>
      </w:r>
    </w:p>
    <w:p w:rsidR="000D7B00" w:rsidRDefault="000D7B00" w:rsidP="000D7B00">
      <w:pPr>
        <w:pStyle w:val="Default"/>
        <w:jc w:val="both"/>
        <w:rPr>
          <w:rFonts w:asciiTheme="minorHAnsi" w:hAnsiTheme="minorHAnsi" w:cstheme="minorBidi"/>
          <w:color w:val="auto"/>
          <w:sz w:val="22"/>
          <w:szCs w:val="22"/>
        </w:rPr>
      </w:pPr>
    </w:p>
    <w:tbl>
      <w:tblPr>
        <w:tblStyle w:val="Cuadrculaclara-nfasis1"/>
        <w:tblW w:w="5091" w:type="pct"/>
        <w:tblLook w:val="04A0" w:firstRow="1" w:lastRow="0" w:firstColumn="1" w:lastColumn="0" w:noHBand="0" w:noVBand="1"/>
      </w:tblPr>
      <w:tblGrid>
        <w:gridCol w:w="1929"/>
        <w:gridCol w:w="2815"/>
        <w:gridCol w:w="3619"/>
        <w:gridCol w:w="856"/>
      </w:tblGrid>
      <w:tr w:rsidR="0089070C" w:rsidRPr="0089070C" w:rsidTr="0013321C">
        <w:trPr>
          <w:cnfStyle w:val="100000000000" w:firstRow="1" w:lastRow="0" w:firstColumn="0" w:lastColumn="0" w:oddVBand="0" w:evenVBand="0" w:oddHBand="0" w:evenHBand="0" w:firstRowFirstColumn="0" w:firstRowLastColumn="0" w:lastRowFirstColumn="0" w:lastRowLastColumn="0"/>
          <w:trHeight w:val="57"/>
          <w:tblHeader/>
        </w:trPr>
        <w:tc>
          <w:tcPr>
            <w:cnfStyle w:val="001000000000" w:firstRow="0" w:lastRow="0" w:firstColumn="1" w:lastColumn="0" w:oddVBand="0" w:evenVBand="0" w:oddHBand="0" w:evenHBand="0" w:firstRowFirstColumn="0" w:firstRowLastColumn="0" w:lastRowFirstColumn="0" w:lastRowLastColumn="0"/>
            <w:tcW w:w="1046" w:type="pct"/>
            <w:vAlign w:val="center"/>
            <w:hideMark/>
          </w:tcPr>
          <w:p w:rsidR="000D7B00" w:rsidRPr="0089070C" w:rsidRDefault="000D7B00" w:rsidP="005550DB">
            <w:pPr>
              <w:spacing w:after="0"/>
              <w:jc w:val="center"/>
              <w:rPr>
                <w:rFonts w:eastAsia="Times New Roman"/>
                <w:bCs w:val="0"/>
                <w:sz w:val="18"/>
                <w:szCs w:val="18"/>
                <w:lang w:eastAsia="es-CO"/>
              </w:rPr>
            </w:pPr>
            <w:r w:rsidRPr="0089070C">
              <w:rPr>
                <w:rFonts w:eastAsia="Times New Roman"/>
                <w:bCs w:val="0"/>
                <w:sz w:val="18"/>
                <w:szCs w:val="18"/>
                <w:lang w:eastAsia="es-CO"/>
              </w:rPr>
              <w:t xml:space="preserve">ACCIONES </w:t>
            </w:r>
          </w:p>
        </w:tc>
        <w:tc>
          <w:tcPr>
            <w:tcW w:w="1527" w:type="pct"/>
            <w:vAlign w:val="center"/>
            <w:hideMark/>
          </w:tcPr>
          <w:p w:rsidR="000D7B00" w:rsidRPr="0089070C" w:rsidRDefault="000D7B00" w:rsidP="005550DB">
            <w:pPr>
              <w:spacing w:after="0"/>
              <w:jc w:val="center"/>
              <w:cnfStyle w:val="100000000000" w:firstRow="1" w:lastRow="0" w:firstColumn="0" w:lastColumn="0" w:oddVBand="0" w:evenVBand="0" w:oddHBand="0" w:evenHBand="0" w:firstRowFirstColumn="0" w:firstRowLastColumn="0" w:lastRowFirstColumn="0" w:lastRowLastColumn="0"/>
              <w:rPr>
                <w:rFonts w:eastAsia="Times New Roman"/>
                <w:bCs w:val="0"/>
                <w:sz w:val="18"/>
                <w:szCs w:val="18"/>
                <w:lang w:eastAsia="es-CO"/>
              </w:rPr>
            </w:pPr>
            <w:r w:rsidRPr="0089070C">
              <w:rPr>
                <w:rFonts w:eastAsia="Times New Roman"/>
                <w:bCs w:val="0"/>
                <w:sz w:val="18"/>
                <w:szCs w:val="18"/>
                <w:lang w:eastAsia="es-CO"/>
              </w:rPr>
              <w:t>ACTIVIDADES A DESARROLLAR</w:t>
            </w:r>
          </w:p>
        </w:tc>
        <w:tc>
          <w:tcPr>
            <w:tcW w:w="1963" w:type="pct"/>
            <w:vAlign w:val="center"/>
            <w:hideMark/>
          </w:tcPr>
          <w:p w:rsidR="000D7B00" w:rsidRPr="0089070C" w:rsidRDefault="000D7B00" w:rsidP="005550DB">
            <w:pPr>
              <w:spacing w:after="0"/>
              <w:jc w:val="center"/>
              <w:cnfStyle w:val="100000000000" w:firstRow="1" w:lastRow="0" w:firstColumn="0" w:lastColumn="0" w:oddVBand="0" w:evenVBand="0" w:oddHBand="0" w:evenHBand="0" w:firstRowFirstColumn="0" w:firstRowLastColumn="0" w:lastRowFirstColumn="0" w:lastRowLastColumn="0"/>
              <w:rPr>
                <w:rFonts w:eastAsia="Times New Roman"/>
                <w:bCs w:val="0"/>
                <w:sz w:val="18"/>
                <w:szCs w:val="18"/>
                <w:lang w:eastAsia="es-CO"/>
              </w:rPr>
            </w:pPr>
            <w:r w:rsidRPr="0089070C">
              <w:rPr>
                <w:rFonts w:eastAsia="Times New Roman"/>
                <w:bCs w:val="0"/>
                <w:sz w:val="18"/>
                <w:szCs w:val="18"/>
                <w:lang w:eastAsia="es-CO"/>
              </w:rPr>
              <w:t>RESULTADOS</w:t>
            </w:r>
          </w:p>
        </w:tc>
        <w:tc>
          <w:tcPr>
            <w:tcW w:w="464" w:type="pct"/>
            <w:vAlign w:val="center"/>
            <w:hideMark/>
          </w:tcPr>
          <w:p w:rsidR="000D7B00" w:rsidRPr="0089070C" w:rsidRDefault="000D7B00" w:rsidP="005550DB">
            <w:pPr>
              <w:spacing w:after="0"/>
              <w:jc w:val="center"/>
              <w:cnfStyle w:val="100000000000" w:firstRow="1" w:lastRow="0" w:firstColumn="0" w:lastColumn="0" w:oddVBand="0" w:evenVBand="0" w:oddHBand="0" w:evenHBand="0" w:firstRowFirstColumn="0" w:firstRowLastColumn="0" w:lastRowFirstColumn="0" w:lastRowLastColumn="0"/>
              <w:rPr>
                <w:rFonts w:eastAsia="Times New Roman"/>
                <w:bCs w:val="0"/>
                <w:sz w:val="18"/>
                <w:szCs w:val="18"/>
                <w:lang w:eastAsia="es-CO"/>
              </w:rPr>
            </w:pPr>
            <w:r w:rsidRPr="0089070C">
              <w:rPr>
                <w:rFonts w:eastAsia="Times New Roman"/>
                <w:bCs w:val="0"/>
                <w:sz w:val="18"/>
                <w:szCs w:val="18"/>
                <w:lang w:eastAsia="es-CO"/>
              </w:rPr>
              <w:t>% AVANCE</w:t>
            </w:r>
          </w:p>
        </w:tc>
      </w:tr>
      <w:tr w:rsidR="000D7B00" w:rsidRPr="0089070C" w:rsidTr="0089070C">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1046" w:type="pct"/>
            <w:vMerge w:val="restart"/>
            <w:vAlign w:val="center"/>
            <w:hideMark/>
          </w:tcPr>
          <w:p w:rsidR="000D7B00" w:rsidRPr="0089070C" w:rsidRDefault="0089070C" w:rsidP="005550DB">
            <w:pPr>
              <w:spacing w:after="0"/>
              <w:jc w:val="center"/>
              <w:rPr>
                <w:rFonts w:eastAsia="Times New Roman"/>
                <w:bCs w:val="0"/>
                <w:sz w:val="18"/>
                <w:szCs w:val="18"/>
                <w:lang w:eastAsia="es-CO"/>
              </w:rPr>
            </w:pPr>
            <w:r w:rsidRPr="0089070C">
              <w:rPr>
                <w:rFonts w:eastAsia="Times New Roman"/>
                <w:bCs w:val="0"/>
                <w:sz w:val="18"/>
                <w:szCs w:val="18"/>
                <w:lang w:eastAsia="es-CO"/>
              </w:rPr>
              <w:t>Administración de la Red</w:t>
            </w:r>
          </w:p>
        </w:tc>
        <w:tc>
          <w:tcPr>
            <w:tcW w:w="1527" w:type="pct"/>
            <w:vAlign w:val="center"/>
            <w:hideMark/>
          </w:tcPr>
          <w:p w:rsidR="000D7B00" w:rsidRPr="0089070C" w:rsidRDefault="000D7B00" w:rsidP="005550DB">
            <w:pPr>
              <w:spacing w:after="0"/>
              <w:cnfStyle w:val="000000100000" w:firstRow="0" w:lastRow="0" w:firstColumn="0" w:lastColumn="0" w:oddVBand="0" w:evenVBand="0" w:oddHBand="1" w:evenHBand="0" w:firstRowFirstColumn="0" w:firstRowLastColumn="0" w:lastRowFirstColumn="0" w:lastRowLastColumn="0"/>
              <w:rPr>
                <w:rFonts w:eastAsia="Times New Roman"/>
                <w:sz w:val="18"/>
                <w:szCs w:val="18"/>
                <w:lang w:eastAsia="es-CO"/>
              </w:rPr>
            </w:pPr>
            <w:r w:rsidRPr="0089070C">
              <w:rPr>
                <w:rFonts w:eastAsia="Times New Roman"/>
                <w:sz w:val="18"/>
                <w:szCs w:val="18"/>
                <w:lang w:eastAsia="es-CO"/>
              </w:rPr>
              <w:t>Administración, documentación y crecimiento de la red física de cableado estructurado.</w:t>
            </w:r>
          </w:p>
        </w:tc>
        <w:tc>
          <w:tcPr>
            <w:tcW w:w="1963" w:type="pct"/>
            <w:vAlign w:val="center"/>
            <w:hideMark/>
          </w:tcPr>
          <w:p w:rsidR="000D7B00" w:rsidRPr="0089070C" w:rsidRDefault="000D7B00" w:rsidP="005550DB">
            <w:pPr>
              <w:spacing w:after="0"/>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eastAsia="es-CO"/>
              </w:rPr>
            </w:pPr>
            <w:r w:rsidRPr="0089070C">
              <w:rPr>
                <w:rFonts w:eastAsia="Times New Roman"/>
                <w:color w:val="000000"/>
                <w:sz w:val="18"/>
                <w:szCs w:val="18"/>
                <w:lang w:eastAsia="es-CO"/>
              </w:rPr>
              <w:t>Se realizaron todos los puntos de red de convocatorias y solicitudes.</w:t>
            </w:r>
          </w:p>
        </w:tc>
        <w:tc>
          <w:tcPr>
            <w:tcW w:w="464" w:type="pct"/>
            <w:vMerge w:val="restart"/>
            <w:noWrap/>
            <w:vAlign w:val="center"/>
            <w:hideMark/>
          </w:tcPr>
          <w:p w:rsidR="000D7B00" w:rsidRPr="0089070C" w:rsidRDefault="000D7B00" w:rsidP="005550DB">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b/>
                <w:bCs/>
                <w:color w:val="000000"/>
                <w:sz w:val="18"/>
                <w:szCs w:val="18"/>
                <w:lang w:eastAsia="es-CO"/>
              </w:rPr>
            </w:pPr>
            <w:r w:rsidRPr="0089070C">
              <w:rPr>
                <w:rFonts w:eastAsia="Times New Roman"/>
                <w:b/>
                <w:bCs/>
                <w:color w:val="000000"/>
                <w:sz w:val="18"/>
                <w:szCs w:val="18"/>
                <w:lang w:eastAsia="es-CO"/>
              </w:rPr>
              <w:t>100%</w:t>
            </w:r>
          </w:p>
        </w:tc>
      </w:tr>
      <w:tr w:rsidR="000D7B00" w:rsidRPr="0089070C" w:rsidTr="0089070C">
        <w:trPr>
          <w:cnfStyle w:val="000000010000" w:firstRow="0" w:lastRow="0" w:firstColumn="0" w:lastColumn="0" w:oddVBand="0" w:evenVBand="0" w:oddHBand="0" w:evenHBand="1"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1046" w:type="pct"/>
            <w:vMerge/>
            <w:vAlign w:val="center"/>
            <w:hideMark/>
          </w:tcPr>
          <w:p w:rsidR="000D7B00" w:rsidRPr="0089070C" w:rsidRDefault="000D7B00" w:rsidP="005550DB">
            <w:pPr>
              <w:spacing w:after="0"/>
              <w:jc w:val="left"/>
              <w:rPr>
                <w:rFonts w:eastAsia="Times New Roman"/>
                <w:bCs w:val="0"/>
                <w:sz w:val="18"/>
                <w:szCs w:val="18"/>
                <w:lang w:eastAsia="es-CO"/>
              </w:rPr>
            </w:pPr>
          </w:p>
        </w:tc>
        <w:tc>
          <w:tcPr>
            <w:tcW w:w="1527" w:type="pct"/>
            <w:vAlign w:val="center"/>
            <w:hideMark/>
          </w:tcPr>
          <w:p w:rsidR="000D7B00" w:rsidRPr="0089070C" w:rsidRDefault="000D7B00" w:rsidP="005550DB">
            <w:pPr>
              <w:spacing w:after="0"/>
              <w:cnfStyle w:val="000000010000" w:firstRow="0" w:lastRow="0" w:firstColumn="0" w:lastColumn="0" w:oddVBand="0" w:evenVBand="0" w:oddHBand="0" w:evenHBand="1" w:firstRowFirstColumn="0" w:firstRowLastColumn="0" w:lastRowFirstColumn="0" w:lastRowLastColumn="0"/>
              <w:rPr>
                <w:rFonts w:eastAsia="Times New Roman"/>
                <w:sz w:val="18"/>
                <w:szCs w:val="18"/>
                <w:lang w:eastAsia="es-CO"/>
              </w:rPr>
            </w:pPr>
            <w:r w:rsidRPr="0089070C">
              <w:rPr>
                <w:rFonts w:eastAsia="Times New Roman"/>
                <w:sz w:val="18"/>
                <w:szCs w:val="18"/>
                <w:lang w:eastAsia="es-CO"/>
              </w:rPr>
              <w:t>Infraestructura de conectividad, respaldo y continuidad de los sistemas de información  7x24.</w:t>
            </w:r>
          </w:p>
        </w:tc>
        <w:tc>
          <w:tcPr>
            <w:tcW w:w="1963" w:type="pct"/>
            <w:vAlign w:val="center"/>
            <w:hideMark/>
          </w:tcPr>
          <w:p w:rsidR="000D7B00" w:rsidRPr="0089070C" w:rsidRDefault="000D7B00" w:rsidP="001E7DB4">
            <w:pPr>
              <w:spacing w:after="0"/>
              <w:ind w:left="708" w:hanging="708"/>
              <w:cnfStyle w:val="000000010000" w:firstRow="0" w:lastRow="0" w:firstColumn="0" w:lastColumn="0" w:oddVBand="0" w:evenVBand="0" w:oddHBand="0" w:evenHBand="1" w:firstRowFirstColumn="0" w:firstRowLastColumn="0" w:lastRowFirstColumn="0" w:lastRowLastColumn="0"/>
              <w:rPr>
                <w:rFonts w:eastAsia="Times New Roman"/>
                <w:color w:val="000000"/>
                <w:sz w:val="18"/>
                <w:szCs w:val="18"/>
                <w:lang w:eastAsia="es-CO"/>
              </w:rPr>
            </w:pPr>
            <w:r w:rsidRPr="0089070C">
              <w:rPr>
                <w:rFonts w:eastAsia="Times New Roman"/>
                <w:color w:val="000000"/>
                <w:sz w:val="18"/>
                <w:szCs w:val="18"/>
                <w:lang w:eastAsia="es-CO"/>
              </w:rPr>
              <w:t>Se realizó el proceso de regulación y marcado del cableado estructurado del centro de datos.</w:t>
            </w:r>
          </w:p>
        </w:tc>
        <w:tc>
          <w:tcPr>
            <w:tcW w:w="464" w:type="pct"/>
            <w:vMerge/>
            <w:vAlign w:val="center"/>
            <w:hideMark/>
          </w:tcPr>
          <w:p w:rsidR="000D7B00" w:rsidRPr="0089070C" w:rsidRDefault="000D7B00" w:rsidP="005550DB">
            <w:pPr>
              <w:spacing w:after="0"/>
              <w:jc w:val="left"/>
              <w:cnfStyle w:val="000000010000" w:firstRow="0" w:lastRow="0" w:firstColumn="0" w:lastColumn="0" w:oddVBand="0" w:evenVBand="0" w:oddHBand="0" w:evenHBand="1" w:firstRowFirstColumn="0" w:firstRowLastColumn="0" w:lastRowFirstColumn="0" w:lastRowLastColumn="0"/>
              <w:rPr>
                <w:rFonts w:eastAsia="Times New Roman"/>
                <w:b/>
                <w:bCs/>
                <w:color w:val="000000"/>
                <w:sz w:val="18"/>
                <w:szCs w:val="18"/>
                <w:lang w:eastAsia="es-CO"/>
              </w:rPr>
            </w:pPr>
          </w:p>
        </w:tc>
      </w:tr>
      <w:tr w:rsidR="000D7B00" w:rsidRPr="0089070C" w:rsidTr="0089070C">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1046" w:type="pct"/>
            <w:vMerge w:val="restart"/>
            <w:vAlign w:val="center"/>
            <w:hideMark/>
          </w:tcPr>
          <w:p w:rsidR="000D7B00" w:rsidRPr="0089070C" w:rsidRDefault="0089070C" w:rsidP="005550DB">
            <w:pPr>
              <w:spacing w:after="0"/>
              <w:jc w:val="center"/>
              <w:rPr>
                <w:rFonts w:eastAsia="Times New Roman"/>
                <w:bCs w:val="0"/>
                <w:sz w:val="18"/>
                <w:szCs w:val="18"/>
                <w:lang w:eastAsia="es-CO"/>
              </w:rPr>
            </w:pPr>
            <w:r w:rsidRPr="0089070C">
              <w:rPr>
                <w:rFonts w:eastAsia="Times New Roman"/>
                <w:bCs w:val="0"/>
                <w:sz w:val="18"/>
                <w:szCs w:val="18"/>
                <w:lang w:eastAsia="es-CO"/>
              </w:rPr>
              <w:t>Administración Salas</w:t>
            </w:r>
          </w:p>
        </w:tc>
        <w:tc>
          <w:tcPr>
            <w:tcW w:w="1527" w:type="pct"/>
            <w:vAlign w:val="center"/>
            <w:hideMark/>
          </w:tcPr>
          <w:p w:rsidR="000D7B00" w:rsidRPr="0089070C" w:rsidRDefault="000D7B00" w:rsidP="005550DB">
            <w:pPr>
              <w:spacing w:after="0"/>
              <w:cnfStyle w:val="000000100000" w:firstRow="0" w:lastRow="0" w:firstColumn="0" w:lastColumn="0" w:oddVBand="0" w:evenVBand="0" w:oddHBand="1" w:evenHBand="0" w:firstRowFirstColumn="0" w:firstRowLastColumn="0" w:lastRowFirstColumn="0" w:lastRowLastColumn="0"/>
              <w:rPr>
                <w:rFonts w:eastAsia="Times New Roman"/>
                <w:sz w:val="18"/>
                <w:szCs w:val="18"/>
                <w:lang w:eastAsia="es-CO"/>
              </w:rPr>
            </w:pPr>
            <w:r w:rsidRPr="0089070C">
              <w:rPr>
                <w:rFonts w:eastAsia="Times New Roman"/>
                <w:sz w:val="18"/>
                <w:szCs w:val="18"/>
                <w:lang w:eastAsia="es-CO"/>
              </w:rPr>
              <w:t>Sistematización de administración de servicios de salas.</w:t>
            </w:r>
          </w:p>
        </w:tc>
        <w:tc>
          <w:tcPr>
            <w:tcW w:w="1963" w:type="pct"/>
            <w:vAlign w:val="center"/>
            <w:hideMark/>
          </w:tcPr>
          <w:p w:rsidR="000D7B00" w:rsidRPr="0089070C" w:rsidRDefault="000D7B00" w:rsidP="005550DB">
            <w:pPr>
              <w:spacing w:after="0"/>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eastAsia="es-CO"/>
              </w:rPr>
            </w:pPr>
            <w:r w:rsidRPr="0089070C">
              <w:rPr>
                <w:rFonts w:eastAsia="Times New Roman"/>
                <w:color w:val="000000"/>
                <w:sz w:val="18"/>
                <w:szCs w:val="18"/>
                <w:lang w:eastAsia="es-CO"/>
              </w:rPr>
              <w:t>Se cumplió con la meta de desarrollo programada para el 2012, quedando módulos listos para ser puestos en servicio en el 2013.</w:t>
            </w:r>
          </w:p>
        </w:tc>
        <w:tc>
          <w:tcPr>
            <w:tcW w:w="464" w:type="pct"/>
            <w:vMerge w:val="restart"/>
            <w:noWrap/>
            <w:vAlign w:val="center"/>
            <w:hideMark/>
          </w:tcPr>
          <w:p w:rsidR="000D7B00" w:rsidRPr="0089070C" w:rsidRDefault="000D7B00" w:rsidP="005550DB">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b/>
                <w:bCs/>
                <w:color w:val="000000"/>
                <w:sz w:val="18"/>
                <w:szCs w:val="18"/>
                <w:lang w:eastAsia="es-CO"/>
              </w:rPr>
            </w:pPr>
            <w:r w:rsidRPr="0089070C">
              <w:rPr>
                <w:rFonts w:eastAsia="Times New Roman"/>
                <w:b/>
                <w:bCs/>
                <w:color w:val="000000"/>
                <w:sz w:val="18"/>
                <w:szCs w:val="18"/>
                <w:lang w:eastAsia="es-CO"/>
              </w:rPr>
              <w:t>100%</w:t>
            </w:r>
          </w:p>
        </w:tc>
      </w:tr>
      <w:tr w:rsidR="000D7B00" w:rsidRPr="0089070C" w:rsidTr="0089070C">
        <w:trPr>
          <w:cnfStyle w:val="000000010000" w:firstRow="0" w:lastRow="0" w:firstColumn="0" w:lastColumn="0" w:oddVBand="0" w:evenVBand="0" w:oddHBand="0" w:evenHBand="1"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1046" w:type="pct"/>
            <w:vMerge/>
            <w:vAlign w:val="center"/>
            <w:hideMark/>
          </w:tcPr>
          <w:p w:rsidR="000D7B00" w:rsidRPr="0089070C" w:rsidRDefault="000D7B00" w:rsidP="005550DB">
            <w:pPr>
              <w:spacing w:after="0"/>
              <w:jc w:val="left"/>
              <w:rPr>
                <w:rFonts w:eastAsia="Times New Roman"/>
                <w:bCs w:val="0"/>
                <w:sz w:val="18"/>
                <w:szCs w:val="18"/>
                <w:lang w:eastAsia="es-CO"/>
              </w:rPr>
            </w:pPr>
          </w:p>
        </w:tc>
        <w:tc>
          <w:tcPr>
            <w:tcW w:w="1527" w:type="pct"/>
            <w:vAlign w:val="center"/>
            <w:hideMark/>
          </w:tcPr>
          <w:p w:rsidR="000D7B00" w:rsidRPr="0089070C" w:rsidRDefault="000D7B00" w:rsidP="005550DB">
            <w:pPr>
              <w:spacing w:after="0"/>
              <w:cnfStyle w:val="000000010000" w:firstRow="0" w:lastRow="0" w:firstColumn="0" w:lastColumn="0" w:oddVBand="0" w:evenVBand="0" w:oddHBand="0" w:evenHBand="1" w:firstRowFirstColumn="0" w:firstRowLastColumn="0" w:lastRowFirstColumn="0" w:lastRowLastColumn="0"/>
              <w:rPr>
                <w:rFonts w:eastAsia="Times New Roman"/>
                <w:sz w:val="18"/>
                <w:szCs w:val="18"/>
                <w:lang w:eastAsia="es-CO"/>
              </w:rPr>
            </w:pPr>
            <w:r w:rsidRPr="0089070C">
              <w:rPr>
                <w:rFonts w:eastAsia="Times New Roman"/>
                <w:sz w:val="18"/>
                <w:szCs w:val="18"/>
                <w:lang w:eastAsia="es-CO"/>
              </w:rPr>
              <w:t xml:space="preserve">Sistema de videoconferencia: automatización de solicitudes de servicio, publicación de eventos y servicio </w:t>
            </w:r>
            <w:proofErr w:type="spellStart"/>
            <w:r w:rsidRPr="0089070C">
              <w:rPr>
                <w:rFonts w:eastAsia="Times New Roman"/>
                <w:sz w:val="18"/>
                <w:szCs w:val="18"/>
                <w:lang w:eastAsia="es-CO"/>
              </w:rPr>
              <w:t>streaming</w:t>
            </w:r>
            <w:proofErr w:type="spellEnd"/>
            <w:r w:rsidRPr="0089070C">
              <w:rPr>
                <w:rFonts w:eastAsia="Times New Roman"/>
                <w:sz w:val="18"/>
                <w:szCs w:val="18"/>
                <w:lang w:eastAsia="es-CO"/>
              </w:rPr>
              <w:t>.</w:t>
            </w:r>
          </w:p>
        </w:tc>
        <w:tc>
          <w:tcPr>
            <w:tcW w:w="1963" w:type="pct"/>
            <w:vAlign w:val="center"/>
            <w:hideMark/>
          </w:tcPr>
          <w:p w:rsidR="000D7B00" w:rsidRPr="0089070C" w:rsidRDefault="000D7B00" w:rsidP="005550DB">
            <w:pPr>
              <w:spacing w:after="0"/>
              <w:cnfStyle w:val="000000010000" w:firstRow="0" w:lastRow="0" w:firstColumn="0" w:lastColumn="0" w:oddVBand="0" w:evenVBand="0" w:oddHBand="0" w:evenHBand="1" w:firstRowFirstColumn="0" w:firstRowLastColumn="0" w:lastRowFirstColumn="0" w:lastRowLastColumn="0"/>
              <w:rPr>
                <w:rFonts w:eastAsia="Times New Roman"/>
                <w:color w:val="000000"/>
                <w:sz w:val="18"/>
                <w:szCs w:val="18"/>
                <w:lang w:eastAsia="es-CO"/>
              </w:rPr>
            </w:pPr>
            <w:r w:rsidRPr="0089070C">
              <w:rPr>
                <w:rFonts w:eastAsia="Times New Roman"/>
                <w:color w:val="000000"/>
                <w:sz w:val="18"/>
                <w:szCs w:val="18"/>
                <w:lang w:eastAsia="es-CO"/>
              </w:rPr>
              <w:t>Se prestó el apoyo en el cubrimiento y transmisión de todas las solicitudes recibidas en el 2012, así como la difusión de algunas por iniciativa del CRIE, sin que mediara solicitud alguna, mostrando a la Comunidad Universitaria la ventaja de usar este tipo de recursos disponibles.</w:t>
            </w:r>
          </w:p>
        </w:tc>
        <w:tc>
          <w:tcPr>
            <w:tcW w:w="464" w:type="pct"/>
            <w:vMerge/>
            <w:vAlign w:val="center"/>
            <w:hideMark/>
          </w:tcPr>
          <w:p w:rsidR="000D7B00" w:rsidRPr="0089070C" w:rsidRDefault="000D7B00" w:rsidP="005550DB">
            <w:pPr>
              <w:spacing w:after="0"/>
              <w:jc w:val="left"/>
              <w:cnfStyle w:val="000000010000" w:firstRow="0" w:lastRow="0" w:firstColumn="0" w:lastColumn="0" w:oddVBand="0" w:evenVBand="0" w:oddHBand="0" w:evenHBand="1" w:firstRowFirstColumn="0" w:firstRowLastColumn="0" w:lastRowFirstColumn="0" w:lastRowLastColumn="0"/>
              <w:rPr>
                <w:rFonts w:eastAsia="Times New Roman"/>
                <w:b/>
                <w:bCs/>
                <w:color w:val="000000"/>
                <w:sz w:val="18"/>
                <w:szCs w:val="18"/>
                <w:lang w:eastAsia="es-CO"/>
              </w:rPr>
            </w:pPr>
          </w:p>
        </w:tc>
      </w:tr>
      <w:tr w:rsidR="000D7B00" w:rsidRPr="0089070C" w:rsidTr="0089070C">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1046" w:type="pct"/>
            <w:vAlign w:val="center"/>
            <w:hideMark/>
          </w:tcPr>
          <w:p w:rsidR="000D7B00" w:rsidRPr="0089070C" w:rsidRDefault="000D7B00" w:rsidP="005550DB">
            <w:pPr>
              <w:spacing w:after="0"/>
              <w:jc w:val="center"/>
              <w:rPr>
                <w:rFonts w:eastAsia="Times New Roman"/>
                <w:bCs w:val="0"/>
                <w:sz w:val="18"/>
                <w:szCs w:val="18"/>
                <w:lang w:eastAsia="es-CO"/>
              </w:rPr>
            </w:pPr>
            <w:r w:rsidRPr="0089070C">
              <w:rPr>
                <w:rFonts w:eastAsia="Times New Roman"/>
                <w:bCs w:val="0"/>
                <w:sz w:val="18"/>
                <w:szCs w:val="18"/>
                <w:lang w:eastAsia="es-CO"/>
              </w:rPr>
              <w:lastRenderedPageBreak/>
              <w:t>Renovación equipos de Computo</w:t>
            </w:r>
          </w:p>
        </w:tc>
        <w:tc>
          <w:tcPr>
            <w:tcW w:w="1527" w:type="pct"/>
            <w:vAlign w:val="center"/>
            <w:hideMark/>
          </w:tcPr>
          <w:p w:rsidR="000D7B00" w:rsidRPr="0089070C" w:rsidRDefault="000D7B00" w:rsidP="005550DB">
            <w:pPr>
              <w:spacing w:after="0"/>
              <w:cnfStyle w:val="000000100000" w:firstRow="0" w:lastRow="0" w:firstColumn="0" w:lastColumn="0" w:oddVBand="0" w:evenVBand="0" w:oddHBand="1" w:evenHBand="0" w:firstRowFirstColumn="0" w:firstRowLastColumn="0" w:lastRowFirstColumn="0" w:lastRowLastColumn="0"/>
              <w:rPr>
                <w:rFonts w:eastAsia="Times New Roman"/>
                <w:sz w:val="18"/>
                <w:szCs w:val="18"/>
                <w:lang w:eastAsia="es-CO"/>
              </w:rPr>
            </w:pPr>
            <w:r w:rsidRPr="0089070C">
              <w:rPr>
                <w:rFonts w:eastAsia="Times New Roman"/>
                <w:sz w:val="18"/>
                <w:szCs w:val="18"/>
                <w:lang w:eastAsia="es-CO"/>
              </w:rPr>
              <w:t>Renovación equipo de cómputo para la Administración, Docencia y Laboratorios</w:t>
            </w:r>
          </w:p>
        </w:tc>
        <w:tc>
          <w:tcPr>
            <w:tcW w:w="1963" w:type="pct"/>
            <w:vAlign w:val="center"/>
            <w:hideMark/>
          </w:tcPr>
          <w:p w:rsidR="000D7B00" w:rsidRPr="0089070C" w:rsidRDefault="000D7B00" w:rsidP="005550DB">
            <w:pPr>
              <w:spacing w:after="0"/>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eastAsia="es-CO"/>
              </w:rPr>
            </w:pPr>
            <w:r w:rsidRPr="0089070C">
              <w:rPr>
                <w:rFonts w:eastAsia="Times New Roman"/>
                <w:color w:val="000000"/>
                <w:sz w:val="18"/>
                <w:szCs w:val="18"/>
                <w:lang w:eastAsia="es-CO"/>
              </w:rPr>
              <w:t>Se realizaron todas las renovaciones programadas</w:t>
            </w:r>
          </w:p>
        </w:tc>
        <w:tc>
          <w:tcPr>
            <w:tcW w:w="464" w:type="pct"/>
            <w:noWrap/>
            <w:vAlign w:val="center"/>
            <w:hideMark/>
          </w:tcPr>
          <w:p w:rsidR="000D7B00" w:rsidRPr="0089070C" w:rsidRDefault="000D7B00" w:rsidP="005550DB">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b/>
                <w:bCs/>
                <w:color w:val="000000"/>
                <w:sz w:val="18"/>
                <w:szCs w:val="18"/>
                <w:lang w:eastAsia="es-CO"/>
              </w:rPr>
            </w:pPr>
            <w:r w:rsidRPr="0089070C">
              <w:rPr>
                <w:rFonts w:eastAsia="Times New Roman"/>
                <w:b/>
                <w:bCs/>
                <w:color w:val="000000"/>
                <w:sz w:val="18"/>
                <w:szCs w:val="18"/>
                <w:lang w:eastAsia="es-CO"/>
              </w:rPr>
              <w:t>100%</w:t>
            </w:r>
          </w:p>
        </w:tc>
      </w:tr>
      <w:tr w:rsidR="000D7B00" w:rsidRPr="0089070C" w:rsidTr="0089070C">
        <w:trPr>
          <w:cnfStyle w:val="000000010000" w:firstRow="0" w:lastRow="0" w:firstColumn="0" w:lastColumn="0" w:oddVBand="0" w:evenVBand="0" w:oddHBand="0" w:evenHBand="1"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1046" w:type="pct"/>
            <w:vAlign w:val="center"/>
            <w:hideMark/>
          </w:tcPr>
          <w:p w:rsidR="000D7B00" w:rsidRPr="0089070C" w:rsidRDefault="000D7B00" w:rsidP="005550DB">
            <w:pPr>
              <w:spacing w:after="0"/>
              <w:jc w:val="center"/>
              <w:rPr>
                <w:rFonts w:eastAsia="Times New Roman"/>
                <w:bCs w:val="0"/>
                <w:sz w:val="18"/>
                <w:szCs w:val="18"/>
                <w:lang w:eastAsia="es-CO"/>
              </w:rPr>
            </w:pPr>
            <w:r w:rsidRPr="0089070C">
              <w:rPr>
                <w:rFonts w:eastAsia="Times New Roman"/>
                <w:bCs w:val="0"/>
                <w:sz w:val="18"/>
                <w:szCs w:val="18"/>
                <w:lang w:eastAsia="es-CO"/>
              </w:rPr>
              <w:t>Mantenimientos Preventivos</w:t>
            </w:r>
          </w:p>
        </w:tc>
        <w:tc>
          <w:tcPr>
            <w:tcW w:w="1527" w:type="pct"/>
            <w:vAlign w:val="center"/>
            <w:hideMark/>
          </w:tcPr>
          <w:p w:rsidR="000D7B00" w:rsidRPr="0089070C" w:rsidRDefault="000D7B00" w:rsidP="005550DB">
            <w:pPr>
              <w:spacing w:after="0"/>
              <w:cnfStyle w:val="000000010000" w:firstRow="0" w:lastRow="0" w:firstColumn="0" w:lastColumn="0" w:oddVBand="0" w:evenVBand="0" w:oddHBand="0" w:evenHBand="1" w:firstRowFirstColumn="0" w:firstRowLastColumn="0" w:lastRowFirstColumn="0" w:lastRowLastColumn="0"/>
              <w:rPr>
                <w:rFonts w:eastAsia="Times New Roman"/>
                <w:sz w:val="18"/>
                <w:szCs w:val="18"/>
                <w:lang w:eastAsia="es-CO"/>
              </w:rPr>
            </w:pPr>
            <w:r w:rsidRPr="0089070C">
              <w:rPr>
                <w:rFonts w:eastAsia="Times New Roman"/>
                <w:sz w:val="18"/>
                <w:szCs w:val="18"/>
                <w:lang w:eastAsia="es-CO"/>
              </w:rPr>
              <w:t>Mantenimientos preventivos a equipos de cómputo en la Universidad</w:t>
            </w:r>
          </w:p>
        </w:tc>
        <w:tc>
          <w:tcPr>
            <w:tcW w:w="1963" w:type="pct"/>
            <w:vMerge w:val="restart"/>
            <w:vAlign w:val="center"/>
            <w:hideMark/>
          </w:tcPr>
          <w:p w:rsidR="000D7B00" w:rsidRPr="0089070C" w:rsidRDefault="000D7B00" w:rsidP="005550DB">
            <w:pPr>
              <w:spacing w:after="0"/>
              <w:cnfStyle w:val="000000010000" w:firstRow="0" w:lastRow="0" w:firstColumn="0" w:lastColumn="0" w:oddVBand="0" w:evenVBand="0" w:oddHBand="0" w:evenHBand="1" w:firstRowFirstColumn="0" w:firstRowLastColumn="0" w:lastRowFirstColumn="0" w:lastRowLastColumn="0"/>
              <w:rPr>
                <w:rFonts w:eastAsia="Times New Roman"/>
                <w:color w:val="000000"/>
                <w:sz w:val="18"/>
                <w:szCs w:val="18"/>
                <w:lang w:eastAsia="es-CO"/>
              </w:rPr>
            </w:pPr>
            <w:r w:rsidRPr="0089070C">
              <w:rPr>
                <w:rFonts w:eastAsia="Times New Roman"/>
                <w:color w:val="000000"/>
                <w:sz w:val="18"/>
                <w:szCs w:val="18"/>
                <w:lang w:eastAsia="es-CO"/>
              </w:rPr>
              <w:t>Se llevaron a cabo mantenimientos preventivos y correctivos a los diferentes equipos de cómputo de la universidad.</w:t>
            </w:r>
          </w:p>
        </w:tc>
        <w:tc>
          <w:tcPr>
            <w:tcW w:w="464" w:type="pct"/>
            <w:noWrap/>
            <w:vAlign w:val="center"/>
            <w:hideMark/>
          </w:tcPr>
          <w:p w:rsidR="000D7B00" w:rsidRPr="0089070C" w:rsidRDefault="000D7B00" w:rsidP="005550DB">
            <w:pPr>
              <w:spacing w:after="0"/>
              <w:jc w:val="center"/>
              <w:cnfStyle w:val="000000010000" w:firstRow="0" w:lastRow="0" w:firstColumn="0" w:lastColumn="0" w:oddVBand="0" w:evenVBand="0" w:oddHBand="0" w:evenHBand="1" w:firstRowFirstColumn="0" w:firstRowLastColumn="0" w:lastRowFirstColumn="0" w:lastRowLastColumn="0"/>
              <w:rPr>
                <w:rFonts w:eastAsia="Times New Roman"/>
                <w:b/>
                <w:bCs/>
                <w:color w:val="000000"/>
                <w:sz w:val="18"/>
                <w:szCs w:val="18"/>
                <w:lang w:eastAsia="es-CO"/>
              </w:rPr>
            </w:pPr>
            <w:r w:rsidRPr="0089070C">
              <w:rPr>
                <w:rFonts w:eastAsia="Times New Roman"/>
                <w:b/>
                <w:bCs/>
                <w:color w:val="000000"/>
                <w:sz w:val="18"/>
                <w:szCs w:val="18"/>
                <w:lang w:eastAsia="es-CO"/>
              </w:rPr>
              <w:t>100%</w:t>
            </w:r>
          </w:p>
        </w:tc>
      </w:tr>
      <w:tr w:rsidR="000D7B00" w:rsidRPr="0089070C" w:rsidTr="0089070C">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1046" w:type="pct"/>
            <w:vAlign w:val="center"/>
            <w:hideMark/>
          </w:tcPr>
          <w:p w:rsidR="000D7B00" w:rsidRPr="0089070C" w:rsidRDefault="000D7B00" w:rsidP="005550DB">
            <w:pPr>
              <w:spacing w:after="0"/>
              <w:jc w:val="center"/>
              <w:rPr>
                <w:rFonts w:eastAsia="Times New Roman"/>
                <w:bCs w:val="0"/>
                <w:sz w:val="18"/>
                <w:szCs w:val="18"/>
                <w:lang w:eastAsia="es-CO"/>
              </w:rPr>
            </w:pPr>
            <w:r w:rsidRPr="0089070C">
              <w:rPr>
                <w:rFonts w:eastAsia="Times New Roman"/>
                <w:bCs w:val="0"/>
                <w:sz w:val="18"/>
                <w:szCs w:val="18"/>
                <w:lang w:eastAsia="es-CO"/>
              </w:rPr>
              <w:t>Mantenimientos Correctivos</w:t>
            </w:r>
          </w:p>
        </w:tc>
        <w:tc>
          <w:tcPr>
            <w:tcW w:w="1527" w:type="pct"/>
            <w:vAlign w:val="center"/>
            <w:hideMark/>
          </w:tcPr>
          <w:p w:rsidR="000D7B00" w:rsidRPr="0089070C" w:rsidRDefault="000D7B00" w:rsidP="005550DB">
            <w:pPr>
              <w:spacing w:after="0"/>
              <w:cnfStyle w:val="000000100000" w:firstRow="0" w:lastRow="0" w:firstColumn="0" w:lastColumn="0" w:oddVBand="0" w:evenVBand="0" w:oddHBand="1" w:evenHBand="0" w:firstRowFirstColumn="0" w:firstRowLastColumn="0" w:lastRowFirstColumn="0" w:lastRowLastColumn="0"/>
              <w:rPr>
                <w:rFonts w:eastAsia="Times New Roman"/>
                <w:sz w:val="18"/>
                <w:szCs w:val="18"/>
                <w:lang w:eastAsia="es-CO"/>
              </w:rPr>
            </w:pPr>
            <w:r w:rsidRPr="0089070C">
              <w:rPr>
                <w:rFonts w:eastAsia="Times New Roman"/>
                <w:sz w:val="18"/>
                <w:szCs w:val="18"/>
                <w:lang w:eastAsia="es-CO"/>
              </w:rPr>
              <w:t>Mantenimientos correctivos a equipos de cómputo en la Universidad</w:t>
            </w:r>
          </w:p>
        </w:tc>
        <w:tc>
          <w:tcPr>
            <w:tcW w:w="1963" w:type="pct"/>
            <w:vMerge/>
            <w:vAlign w:val="center"/>
            <w:hideMark/>
          </w:tcPr>
          <w:p w:rsidR="000D7B00" w:rsidRPr="0089070C" w:rsidRDefault="000D7B00" w:rsidP="005550DB">
            <w:pPr>
              <w:spacing w:after="0"/>
              <w:jc w:val="left"/>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eastAsia="es-CO"/>
              </w:rPr>
            </w:pPr>
          </w:p>
        </w:tc>
        <w:tc>
          <w:tcPr>
            <w:tcW w:w="464" w:type="pct"/>
            <w:noWrap/>
            <w:vAlign w:val="center"/>
            <w:hideMark/>
          </w:tcPr>
          <w:p w:rsidR="000D7B00" w:rsidRPr="0089070C" w:rsidRDefault="000D7B00" w:rsidP="005550DB">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b/>
                <w:bCs/>
                <w:color w:val="000000"/>
                <w:sz w:val="18"/>
                <w:szCs w:val="18"/>
                <w:lang w:eastAsia="es-CO"/>
              </w:rPr>
            </w:pPr>
            <w:r w:rsidRPr="0089070C">
              <w:rPr>
                <w:rFonts w:eastAsia="Times New Roman"/>
                <w:b/>
                <w:bCs/>
                <w:color w:val="000000"/>
                <w:sz w:val="18"/>
                <w:szCs w:val="18"/>
                <w:lang w:eastAsia="es-CO"/>
              </w:rPr>
              <w:t>95%</w:t>
            </w:r>
          </w:p>
        </w:tc>
      </w:tr>
    </w:tbl>
    <w:p w:rsidR="000D7B00" w:rsidRDefault="000D7B00" w:rsidP="000D7B00"/>
    <w:p w:rsidR="000D7B00" w:rsidRPr="00C801DB" w:rsidRDefault="000D7B00" w:rsidP="000D7B00">
      <w:r>
        <w:t xml:space="preserve">Durante el periodo de ejecución del Plan de Desarrollo Institucional, el componente </w:t>
      </w:r>
      <w:r w:rsidRPr="00CF1A56">
        <w:t>Desarrollo i</w:t>
      </w:r>
      <w:r>
        <w:t>nformático y de comunicaciones ha presentado los siguientes logros:</w:t>
      </w:r>
    </w:p>
    <w:p w:rsidR="000D7B00" w:rsidRDefault="000D7B00" w:rsidP="000D7B00">
      <w:r>
        <w:rPr>
          <w:rFonts w:cs="Calibri"/>
          <w:b/>
          <w:bCs/>
          <w:color w:val="000000"/>
        </w:rPr>
        <w:t xml:space="preserve">Desarrollo informático y de comunicaciones </w:t>
      </w:r>
      <w:r w:rsidRPr="00E87E0E">
        <w:rPr>
          <w:rFonts w:cs="Calibri"/>
          <w:b/>
          <w:bCs/>
          <w:color w:val="000000"/>
        </w:rPr>
        <w:t xml:space="preserve"> </w:t>
      </w:r>
      <w:r w:rsidRPr="00E87E0E">
        <w:rPr>
          <w:rFonts w:cs="Calibri"/>
          <w:color w:val="000000"/>
        </w:rPr>
        <w:t xml:space="preserve">= </w:t>
      </w:r>
      <w:r w:rsidRPr="00BA596C">
        <w:rPr>
          <w:rFonts w:cs="Calibri"/>
          <w:color w:val="000000"/>
        </w:rPr>
        <w:t>SI * 40% + ARF * 10% + SHS * 25% + SC * 25%</w:t>
      </w:r>
    </w:p>
    <w:p w:rsidR="000D7B00" w:rsidRDefault="000D7B00" w:rsidP="000D7B00">
      <w:pPr>
        <w:autoSpaceDE w:val="0"/>
        <w:autoSpaceDN w:val="0"/>
        <w:adjustRightInd w:val="0"/>
        <w:spacing w:after="0"/>
        <w:jc w:val="left"/>
      </w:pPr>
    </w:p>
    <w:p w:rsidR="000D7B00" w:rsidRPr="003131AE" w:rsidRDefault="000D7B00" w:rsidP="00C21E52">
      <w:pPr>
        <w:pStyle w:val="Prrafodelista"/>
        <w:numPr>
          <w:ilvl w:val="0"/>
          <w:numId w:val="31"/>
        </w:numPr>
        <w:autoSpaceDE w:val="0"/>
        <w:autoSpaceDN w:val="0"/>
        <w:adjustRightInd w:val="0"/>
        <w:spacing w:after="70"/>
      </w:pPr>
      <w:r>
        <w:t xml:space="preserve">SI: Sistemas de información </w:t>
      </w:r>
    </w:p>
    <w:p w:rsidR="000D7B00" w:rsidRPr="003131AE" w:rsidRDefault="000D7B00" w:rsidP="00C21E52">
      <w:pPr>
        <w:pStyle w:val="Prrafodelista"/>
        <w:numPr>
          <w:ilvl w:val="0"/>
          <w:numId w:val="31"/>
        </w:numPr>
        <w:autoSpaceDE w:val="0"/>
        <w:autoSpaceDN w:val="0"/>
        <w:adjustRightInd w:val="0"/>
        <w:spacing w:after="70"/>
      </w:pPr>
      <w:r>
        <w:t>ARF: Automatización de recursos físicos</w:t>
      </w:r>
    </w:p>
    <w:p w:rsidR="000D7B00" w:rsidRPr="003131AE" w:rsidRDefault="000D7B00" w:rsidP="00C21E52">
      <w:pPr>
        <w:pStyle w:val="Prrafodelista"/>
        <w:numPr>
          <w:ilvl w:val="0"/>
          <w:numId w:val="31"/>
        </w:numPr>
        <w:autoSpaceDE w:val="0"/>
        <w:autoSpaceDN w:val="0"/>
        <w:adjustRightInd w:val="0"/>
        <w:spacing w:after="70"/>
      </w:pPr>
      <w:r>
        <w:t>SHS: Sostenibilidad de hardware y software</w:t>
      </w:r>
    </w:p>
    <w:p w:rsidR="000D7B00" w:rsidRPr="003131AE" w:rsidRDefault="000D7B00" w:rsidP="00C21E52">
      <w:pPr>
        <w:pStyle w:val="Prrafodelista"/>
        <w:numPr>
          <w:ilvl w:val="0"/>
          <w:numId w:val="31"/>
        </w:numPr>
        <w:autoSpaceDE w:val="0"/>
        <w:autoSpaceDN w:val="0"/>
        <w:adjustRightInd w:val="0"/>
        <w:spacing w:after="0"/>
      </w:pPr>
      <w:r>
        <w:t xml:space="preserve">SC: sistemas de comunicación </w:t>
      </w:r>
    </w:p>
    <w:p w:rsidR="005B3A70" w:rsidRDefault="005B3A70" w:rsidP="000D7B00">
      <w:pPr>
        <w:jc w:val="center"/>
        <w:rPr>
          <w:b/>
          <w:bCs/>
          <w:color w:val="000000" w:themeColor="text1"/>
        </w:rPr>
      </w:pPr>
    </w:p>
    <w:p w:rsidR="000D7B00" w:rsidRPr="00F856BB" w:rsidRDefault="000D7B00" w:rsidP="000D7B00">
      <w:pPr>
        <w:jc w:val="center"/>
        <w:rPr>
          <w:bCs/>
          <w:color w:val="000000" w:themeColor="text1"/>
        </w:rPr>
      </w:pPr>
      <w:r w:rsidRPr="00CB1558">
        <w:rPr>
          <w:b/>
          <w:bCs/>
          <w:color w:val="000000" w:themeColor="text1"/>
        </w:rPr>
        <w:t>Logros alcanzados Desarrollo Informático y de Comunicaciones para el año 2009 – 2012</w:t>
      </w:r>
      <w:r w:rsidRPr="0069072F">
        <w:rPr>
          <w:noProof/>
          <w:lang w:val="es-CO" w:eastAsia="es-CO"/>
        </w:rPr>
        <w:drawing>
          <wp:inline distT="0" distB="0" distL="0" distR="0">
            <wp:extent cx="4772025" cy="1743075"/>
            <wp:effectExtent l="0" t="0" r="0" b="0"/>
            <wp:docPr id="53" name="1 Gráfico"/>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0D7B00" w:rsidRDefault="000D7B00" w:rsidP="000D7B00">
      <w:pPr>
        <w:spacing w:after="0"/>
        <w:jc w:val="center"/>
        <w:rPr>
          <w:b/>
          <w:i/>
          <w:sz w:val="20"/>
          <w:szCs w:val="20"/>
        </w:rPr>
      </w:pPr>
      <w:r w:rsidRPr="00354DFA">
        <w:rPr>
          <w:b/>
          <w:i/>
          <w:sz w:val="20"/>
          <w:szCs w:val="20"/>
        </w:rPr>
        <w:t xml:space="preserve">Fuente: </w:t>
      </w:r>
      <w:r>
        <w:rPr>
          <w:b/>
          <w:i/>
          <w:sz w:val="20"/>
          <w:szCs w:val="20"/>
        </w:rPr>
        <w:t xml:space="preserve">Informes de Gestión </w:t>
      </w:r>
    </w:p>
    <w:p w:rsidR="000D7B00" w:rsidRDefault="000D7B00" w:rsidP="000D7B00">
      <w:pPr>
        <w:spacing w:after="0"/>
        <w:jc w:val="center"/>
        <w:rPr>
          <w:b/>
          <w:i/>
          <w:sz w:val="20"/>
          <w:szCs w:val="20"/>
        </w:rPr>
      </w:pPr>
    </w:p>
    <w:p w:rsidR="0013321C" w:rsidRDefault="0013321C" w:rsidP="000D7B00">
      <w:pPr>
        <w:spacing w:after="0"/>
        <w:jc w:val="center"/>
        <w:rPr>
          <w:b/>
          <w:i/>
          <w:sz w:val="20"/>
          <w:szCs w:val="20"/>
        </w:rPr>
      </w:pPr>
    </w:p>
    <w:p w:rsidR="0013321C" w:rsidRDefault="0013321C" w:rsidP="000D7B00">
      <w:pPr>
        <w:spacing w:after="0"/>
        <w:jc w:val="center"/>
        <w:rPr>
          <w:b/>
          <w:i/>
          <w:sz w:val="20"/>
          <w:szCs w:val="20"/>
        </w:rPr>
      </w:pPr>
    </w:p>
    <w:p w:rsidR="002A030C" w:rsidRDefault="002A030C" w:rsidP="000D7B00">
      <w:pPr>
        <w:spacing w:after="0"/>
        <w:jc w:val="center"/>
        <w:rPr>
          <w:b/>
          <w:i/>
          <w:sz w:val="20"/>
          <w:szCs w:val="20"/>
        </w:rPr>
      </w:pPr>
    </w:p>
    <w:tbl>
      <w:tblPr>
        <w:tblStyle w:val="Cuadrculaclara-nfasis1"/>
        <w:tblW w:w="0" w:type="auto"/>
        <w:tblLook w:val="04A0" w:firstRow="1" w:lastRow="0" w:firstColumn="1" w:lastColumn="0" w:noHBand="0" w:noVBand="1"/>
      </w:tblPr>
      <w:tblGrid>
        <w:gridCol w:w="675"/>
        <w:gridCol w:w="8303"/>
      </w:tblGrid>
      <w:tr w:rsidR="002A030C" w:rsidRPr="002F438E" w:rsidTr="00C7418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75" w:type="dxa"/>
          </w:tcPr>
          <w:p w:rsidR="002A030C" w:rsidRPr="002F438E" w:rsidRDefault="002A030C" w:rsidP="00C7418E">
            <w:pPr>
              <w:jc w:val="center"/>
              <w:rPr>
                <w:sz w:val="18"/>
                <w:szCs w:val="18"/>
              </w:rPr>
            </w:pPr>
            <w:r w:rsidRPr="002F438E">
              <w:rPr>
                <w:sz w:val="18"/>
                <w:szCs w:val="18"/>
              </w:rPr>
              <w:t>Año</w:t>
            </w:r>
          </w:p>
        </w:tc>
        <w:tc>
          <w:tcPr>
            <w:tcW w:w="8303" w:type="dxa"/>
          </w:tcPr>
          <w:p w:rsidR="002A030C" w:rsidRPr="002F438E" w:rsidRDefault="002A030C" w:rsidP="00C7418E">
            <w:pPr>
              <w:jc w:val="center"/>
              <w:cnfStyle w:val="100000000000" w:firstRow="1" w:lastRow="0" w:firstColumn="0" w:lastColumn="0" w:oddVBand="0" w:evenVBand="0" w:oddHBand="0" w:evenHBand="0" w:firstRowFirstColumn="0" w:firstRowLastColumn="0" w:lastRowFirstColumn="0" w:lastRowLastColumn="0"/>
              <w:rPr>
                <w:sz w:val="18"/>
                <w:szCs w:val="18"/>
              </w:rPr>
            </w:pPr>
            <w:r w:rsidRPr="002F438E">
              <w:rPr>
                <w:sz w:val="18"/>
                <w:szCs w:val="18"/>
              </w:rPr>
              <w:t>Resultados</w:t>
            </w:r>
          </w:p>
        </w:tc>
      </w:tr>
      <w:tr w:rsidR="002A030C" w:rsidRPr="002F438E" w:rsidTr="002A030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75" w:type="dxa"/>
            <w:vAlign w:val="center"/>
          </w:tcPr>
          <w:p w:rsidR="002A030C" w:rsidRPr="002A030C" w:rsidRDefault="002A030C" w:rsidP="002A030C">
            <w:pPr>
              <w:jc w:val="center"/>
              <w:rPr>
                <w:sz w:val="18"/>
                <w:szCs w:val="18"/>
              </w:rPr>
            </w:pPr>
            <w:r w:rsidRPr="002A030C">
              <w:rPr>
                <w:sz w:val="18"/>
                <w:szCs w:val="18"/>
              </w:rPr>
              <w:t>2009</w:t>
            </w:r>
          </w:p>
        </w:tc>
        <w:tc>
          <w:tcPr>
            <w:tcW w:w="8303" w:type="dxa"/>
          </w:tcPr>
          <w:p w:rsidR="002A030C" w:rsidRPr="002A030C" w:rsidRDefault="002A030C" w:rsidP="00C21E52">
            <w:pPr>
              <w:pStyle w:val="Prrafodelista"/>
              <w:numPr>
                <w:ilvl w:val="0"/>
                <w:numId w:val="41"/>
              </w:numPr>
              <w:spacing w:after="0"/>
              <w:ind w:left="459"/>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2A030C">
              <w:rPr>
                <w:iCs/>
                <w:color w:val="000000" w:themeColor="text1"/>
                <w:sz w:val="20"/>
                <w:szCs w:val="20"/>
              </w:rPr>
              <w:t>Automatización completa del Módulo Interdisciplinario, lo que permitirá controlar accesos, iluminación, medir variables físicas y eléctricas, consumo de energía y agua. Esto nos llevara a un mejor uso de los recurso</w:t>
            </w:r>
          </w:p>
          <w:p w:rsidR="002A030C" w:rsidRPr="002A030C" w:rsidRDefault="002A030C" w:rsidP="00C21E52">
            <w:pPr>
              <w:pStyle w:val="Prrafodelista"/>
              <w:numPr>
                <w:ilvl w:val="0"/>
                <w:numId w:val="41"/>
              </w:numPr>
              <w:spacing w:after="200" w:line="276" w:lineRule="auto"/>
              <w:ind w:left="459"/>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2A030C">
              <w:rPr>
                <w:iCs/>
                <w:color w:val="000000" w:themeColor="text1"/>
                <w:sz w:val="20"/>
                <w:szCs w:val="20"/>
              </w:rPr>
              <w:t>Sistematización de procesos donde se involucra el Desarrollos de Software (análisis, diseño, programación, pruebas, integración y construcción de manuales)</w:t>
            </w:r>
          </w:p>
          <w:p w:rsidR="002A030C" w:rsidRPr="002A030C" w:rsidRDefault="002A030C" w:rsidP="00C21E52">
            <w:pPr>
              <w:pStyle w:val="Prrafodelista"/>
              <w:numPr>
                <w:ilvl w:val="0"/>
                <w:numId w:val="41"/>
              </w:numPr>
              <w:spacing w:after="200" w:line="276" w:lineRule="auto"/>
              <w:ind w:left="459"/>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2A030C">
              <w:rPr>
                <w:iCs/>
                <w:color w:val="000000" w:themeColor="text1"/>
                <w:sz w:val="20"/>
                <w:szCs w:val="20"/>
              </w:rPr>
              <w:t>Automatización de 12 de los servicios de la universidad, las restricciones presupuestales no han permitido el avance sustancial en el indicador.</w:t>
            </w:r>
          </w:p>
          <w:p w:rsidR="002A030C" w:rsidRPr="002F438E" w:rsidRDefault="002A030C" w:rsidP="00C21E52">
            <w:pPr>
              <w:pStyle w:val="Prrafodelista"/>
              <w:numPr>
                <w:ilvl w:val="0"/>
                <w:numId w:val="41"/>
              </w:numPr>
              <w:spacing w:after="200" w:line="276" w:lineRule="auto"/>
              <w:ind w:left="459"/>
              <w:cnfStyle w:val="000000100000" w:firstRow="0" w:lastRow="0" w:firstColumn="0" w:lastColumn="0" w:oddVBand="0" w:evenVBand="0" w:oddHBand="1" w:evenHBand="0" w:firstRowFirstColumn="0" w:firstRowLastColumn="0" w:lastRowFirstColumn="0" w:lastRowLastColumn="0"/>
              <w:rPr>
                <w:b/>
                <w:iCs/>
                <w:color w:val="000000" w:themeColor="text1"/>
                <w:sz w:val="20"/>
                <w:szCs w:val="20"/>
              </w:rPr>
            </w:pPr>
            <w:r w:rsidRPr="002A030C">
              <w:rPr>
                <w:iCs/>
                <w:color w:val="000000" w:themeColor="text1"/>
                <w:sz w:val="20"/>
                <w:szCs w:val="20"/>
              </w:rPr>
              <w:lastRenderedPageBreak/>
              <w:t xml:space="preserve">El desarrollo de las </w:t>
            </w:r>
            <w:proofErr w:type="spellStart"/>
            <w:r w:rsidRPr="002A030C">
              <w:rPr>
                <w:iCs/>
                <w:color w:val="000000" w:themeColor="text1"/>
                <w:sz w:val="20"/>
                <w:szCs w:val="20"/>
              </w:rPr>
              <w:t>MTC´s</w:t>
            </w:r>
            <w:proofErr w:type="spellEnd"/>
            <w:r w:rsidRPr="002A030C">
              <w:rPr>
                <w:iCs/>
                <w:color w:val="000000" w:themeColor="text1"/>
                <w:sz w:val="20"/>
                <w:szCs w:val="20"/>
              </w:rPr>
              <w:t xml:space="preserve"> (Medios y nuevas tecnologías de la información y la comunicación) está integrado por dos aspectos: la Integración de las </w:t>
            </w:r>
            <w:proofErr w:type="spellStart"/>
            <w:r w:rsidRPr="002A030C">
              <w:rPr>
                <w:iCs/>
                <w:color w:val="000000" w:themeColor="text1"/>
                <w:sz w:val="20"/>
                <w:szCs w:val="20"/>
              </w:rPr>
              <w:t>MTIC´s</w:t>
            </w:r>
            <w:proofErr w:type="spellEnd"/>
            <w:r w:rsidRPr="002A030C">
              <w:rPr>
                <w:iCs/>
                <w:color w:val="000000" w:themeColor="text1"/>
                <w:sz w:val="20"/>
                <w:szCs w:val="20"/>
              </w:rPr>
              <w:t xml:space="preserve">  y el Fortalecimiento del Sistema de Comunicaciones.</w:t>
            </w:r>
          </w:p>
        </w:tc>
      </w:tr>
      <w:tr w:rsidR="002A030C" w:rsidRPr="002F438E" w:rsidTr="002A030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75" w:type="dxa"/>
            <w:vAlign w:val="center"/>
          </w:tcPr>
          <w:p w:rsidR="002A030C" w:rsidRPr="002A030C" w:rsidRDefault="002A030C" w:rsidP="002A030C">
            <w:pPr>
              <w:jc w:val="center"/>
              <w:rPr>
                <w:sz w:val="18"/>
                <w:szCs w:val="18"/>
              </w:rPr>
            </w:pPr>
            <w:r w:rsidRPr="002A030C">
              <w:rPr>
                <w:sz w:val="18"/>
                <w:szCs w:val="18"/>
              </w:rPr>
              <w:lastRenderedPageBreak/>
              <w:t>2010</w:t>
            </w:r>
          </w:p>
        </w:tc>
        <w:tc>
          <w:tcPr>
            <w:tcW w:w="8303" w:type="dxa"/>
          </w:tcPr>
          <w:p w:rsidR="002A030C" w:rsidRPr="002A030C" w:rsidRDefault="002A030C" w:rsidP="00C21E52">
            <w:pPr>
              <w:pStyle w:val="Prrafodelista"/>
              <w:numPr>
                <w:ilvl w:val="0"/>
                <w:numId w:val="41"/>
              </w:numPr>
              <w:spacing w:after="200" w:line="276" w:lineRule="auto"/>
              <w:ind w:left="459"/>
              <w:cnfStyle w:val="000000010000" w:firstRow="0" w:lastRow="0" w:firstColumn="0" w:lastColumn="0" w:oddVBand="0" w:evenVBand="0" w:oddHBand="0" w:evenHBand="1" w:firstRowFirstColumn="0" w:firstRowLastColumn="0" w:lastRowFirstColumn="0" w:lastRowLastColumn="0"/>
              <w:rPr>
                <w:iCs/>
                <w:color w:val="000000" w:themeColor="text1"/>
                <w:sz w:val="20"/>
                <w:szCs w:val="20"/>
              </w:rPr>
            </w:pPr>
            <w:r w:rsidRPr="002A030C">
              <w:rPr>
                <w:iCs/>
                <w:color w:val="000000" w:themeColor="text1"/>
                <w:sz w:val="20"/>
                <w:szCs w:val="20"/>
              </w:rPr>
              <w:t>Aumento en la capacidad del número de computadores en un 11% con respecto al 2009; la relación de estudiantes por Computador es de 13,11 estudiantes por computador.</w:t>
            </w:r>
          </w:p>
          <w:p w:rsidR="002A030C" w:rsidRPr="002A030C" w:rsidRDefault="002A030C" w:rsidP="00C21E52">
            <w:pPr>
              <w:pStyle w:val="Prrafodelista"/>
              <w:numPr>
                <w:ilvl w:val="0"/>
                <w:numId w:val="41"/>
              </w:numPr>
              <w:spacing w:after="200" w:line="276" w:lineRule="auto"/>
              <w:ind w:left="459"/>
              <w:cnfStyle w:val="000000010000" w:firstRow="0" w:lastRow="0" w:firstColumn="0" w:lastColumn="0" w:oddVBand="0" w:evenVBand="0" w:oddHBand="0" w:evenHBand="1" w:firstRowFirstColumn="0" w:firstRowLastColumn="0" w:lastRowFirstColumn="0" w:lastRowLastColumn="0"/>
              <w:rPr>
                <w:iCs/>
                <w:color w:val="000000" w:themeColor="text1"/>
                <w:sz w:val="20"/>
                <w:szCs w:val="20"/>
              </w:rPr>
            </w:pPr>
            <w:r w:rsidRPr="002A030C">
              <w:rPr>
                <w:iCs/>
                <w:color w:val="000000" w:themeColor="text1"/>
                <w:sz w:val="20"/>
                <w:szCs w:val="20"/>
              </w:rPr>
              <w:t xml:space="preserve">Se ha cumplido con la sistematización de 5 de los 6 servicios a automatizar en el Edificio de Sistemas (Agua, Energía, Sensores, Cámaras) correspondiente a la automatización de un edificio por año. </w:t>
            </w:r>
          </w:p>
          <w:p w:rsidR="002A030C" w:rsidRPr="002A030C" w:rsidRDefault="002A030C" w:rsidP="00C21E52">
            <w:pPr>
              <w:pStyle w:val="Prrafodelista"/>
              <w:numPr>
                <w:ilvl w:val="0"/>
                <w:numId w:val="41"/>
              </w:numPr>
              <w:spacing w:after="200" w:line="276" w:lineRule="auto"/>
              <w:ind w:left="459"/>
              <w:cnfStyle w:val="000000010000" w:firstRow="0" w:lastRow="0" w:firstColumn="0" w:lastColumn="0" w:oddVBand="0" w:evenVBand="0" w:oddHBand="0" w:evenHBand="1" w:firstRowFirstColumn="0" w:firstRowLastColumn="0" w:lastRowFirstColumn="0" w:lastRowLastColumn="0"/>
              <w:rPr>
                <w:iCs/>
                <w:color w:val="000000" w:themeColor="text1"/>
                <w:sz w:val="20"/>
                <w:szCs w:val="20"/>
              </w:rPr>
            </w:pPr>
            <w:r w:rsidRPr="002A030C">
              <w:rPr>
                <w:iCs/>
                <w:color w:val="000000" w:themeColor="text1"/>
                <w:sz w:val="20"/>
                <w:szCs w:val="20"/>
              </w:rPr>
              <w:t xml:space="preserve">Avance en la sistematización de procesos involucrando los Desarrollos de Software (análisis, diseño, programación, pruebas, integración y construcción de manuales), la Web Institucional y Seguridad de la Información. </w:t>
            </w:r>
          </w:p>
          <w:p w:rsidR="002A030C" w:rsidRPr="002F438E" w:rsidRDefault="002A030C" w:rsidP="00C21E52">
            <w:pPr>
              <w:pStyle w:val="Prrafodelista"/>
              <w:numPr>
                <w:ilvl w:val="0"/>
                <w:numId w:val="41"/>
              </w:numPr>
              <w:spacing w:after="200" w:line="276" w:lineRule="auto"/>
              <w:ind w:left="459"/>
              <w:cnfStyle w:val="000000010000" w:firstRow="0" w:lastRow="0" w:firstColumn="0" w:lastColumn="0" w:oddVBand="0" w:evenVBand="0" w:oddHBand="0" w:evenHBand="1" w:firstRowFirstColumn="0" w:firstRowLastColumn="0" w:lastRowFirstColumn="0" w:lastRowLastColumn="0"/>
              <w:rPr>
                <w:sz w:val="18"/>
                <w:szCs w:val="18"/>
              </w:rPr>
            </w:pPr>
            <w:r w:rsidRPr="002A030C">
              <w:rPr>
                <w:iCs/>
                <w:color w:val="000000" w:themeColor="text1"/>
                <w:sz w:val="20"/>
                <w:szCs w:val="20"/>
              </w:rPr>
              <w:t>Automatización completa del Módulo Interdisciplinario, y la automatización de 4 servicios en el edificio de sistemas, lo que permitirá controlar accesos, iluminación, medir variables físicas y eléctricas, consumo de energía y agua. Estos logros son importantes ya que nos llevará a ahorros y un mejor uso de los recursos.</w:t>
            </w:r>
          </w:p>
        </w:tc>
      </w:tr>
      <w:tr w:rsidR="002A030C" w:rsidRPr="002F438E" w:rsidTr="002A030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75" w:type="dxa"/>
            <w:vAlign w:val="center"/>
          </w:tcPr>
          <w:p w:rsidR="002A030C" w:rsidRPr="002A030C" w:rsidRDefault="002A030C" w:rsidP="002A030C">
            <w:pPr>
              <w:jc w:val="center"/>
              <w:rPr>
                <w:sz w:val="18"/>
                <w:szCs w:val="18"/>
              </w:rPr>
            </w:pPr>
            <w:r w:rsidRPr="002A030C">
              <w:rPr>
                <w:sz w:val="18"/>
                <w:szCs w:val="18"/>
              </w:rPr>
              <w:t>2011</w:t>
            </w:r>
          </w:p>
        </w:tc>
        <w:tc>
          <w:tcPr>
            <w:tcW w:w="8303" w:type="dxa"/>
          </w:tcPr>
          <w:p w:rsidR="002A030C" w:rsidRPr="002A030C" w:rsidRDefault="002A030C" w:rsidP="00C21E52">
            <w:pPr>
              <w:pStyle w:val="Prrafodelista"/>
              <w:numPr>
                <w:ilvl w:val="0"/>
                <w:numId w:val="41"/>
              </w:numPr>
              <w:spacing w:after="200" w:line="276" w:lineRule="auto"/>
              <w:ind w:left="459"/>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2A030C">
              <w:rPr>
                <w:iCs/>
                <w:color w:val="000000" w:themeColor="text1"/>
                <w:sz w:val="20"/>
                <w:szCs w:val="20"/>
              </w:rPr>
              <w:t>Automatización de la sede nueva de ciencias clínicas ubicada en el Hospital Universitario San Jorge;  sede diseñada con sistemas automáticos de control de acceso, tanto a oficinas como sitios restringidos, control de iluminación y medida de variables físicas. Además, se instalaron los sistemas de control de iluminación, al igual que el control de agua. (Otro edificio que se pudo intervenir fue el Administrativo que ya se encuentra automatizado).</w:t>
            </w:r>
          </w:p>
          <w:p w:rsidR="002A030C" w:rsidRPr="002A030C" w:rsidRDefault="002A030C" w:rsidP="00C21E52">
            <w:pPr>
              <w:pStyle w:val="Prrafodelista"/>
              <w:numPr>
                <w:ilvl w:val="0"/>
                <w:numId w:val="41"/>
              </w:numPr>
              <w:spacing w:after="200" w:line="276" w:lineRule="auto"/>
              <w:ind w:left="459"/>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2A030C">
              <w:rPr>
                <w:iCs/>
                <w:color w:val="000000" w:themeColor="text1"/>
                <w:sz w:val="20"/>
                <w:szCs w:val="20"/>
              </w:rPr>
              <w:t>Se avanzó en la implementación de 11 servicios en cuanto a los sistemas de información institucional.</w:t>
            </w:r>
          </w:p>
          <w:p w:rsidR="002A030C" w:rsidRPr="002A030C" w:rsidRDefault="002A030C" w:rsidP="00C21E52">
            <w:pPr>
              <w:pStyle w:val="Prrafodelista"/>
              <w:numPr>
                <w:ilvl w:val="0"/>
                <w:numId w:val="41"/>
              </w:numPr>
              <w:spacing w:after="200" w:line="276" w:lineRule="auto"/>
              <w:ind w:left="459"/>
              <w:cnfStyle w:val="000000100000" w:firstRow="0" w:lastRow="0" w:firstColumn="0" w:lastColumn="0" w:oddVBand="0" w:evenVBand="0" w:oddHBand="1" w:evenHBand="0" w:firstRowFirstColumn="0" w:firstRowLastColumn="0" w:lastRowFirstColumn="0" w:lastRowLastColumn="0"/>
              <w:rPr>
                <w:sz w:val="18"/>
                <w:szCs w:val="18"/>
              </w:rPr>
            </w:pPr>
            <w:r w:rsidRPr="002A030C">
              <w:rPr>
                <w:iCs/>
                <w:color w:val="000000" w:themeColor="text1"/>
                <w:sz w:val="20"/>
                <w:szCs w:val="20"/>
              </w:rPr>
              <w:t>Aumentó la capacidad del número de computadores en un 3.19%, para el año 2011 se logró un total de 2.812 computadores, distribuidos de la siguiente forma: 39.36% para los docentes, el 42.18% para los estudiantes y el 18.46% para el uso de administrativos. La relación de estudiantes por computador es de 12,78 estudiantes por computador.</w:t>
            </w:r>
          </w:p>
        </w:tc>
      </w:tr>
    </w:tbl>
    <w:p w:rsidR="002A030C" w:rsidRDefault="002A030C" w:rsidP="000D7B00">
      <w:pPr>
        <w:spacing w:after="0"/>
        <w:jc w:val="center"/>
        <w:rPr>
          <w:b/>
          <w:i/>
          <w:sz w:val="20"/>
          <w:szCs w:val="20"/>
        </w:rPr>
      </w:pPr>
    </w:p>
    <w:p w:rsidR="002A030C" w:rsidRDefault="002A030C" w:rsidP="000D7B00">
      <w:pPr>
        <w:spacing w:after="0"/>
        <w:jc w:val="center"/>
        <w:rPr>
          <w:b/>
          <w:i/>
          <w:sz w:val="20"/>
          <w:szCs w:val="20"/>
        </w:rPr>
      </w:pPr>
      <w:r>
        <w:rPr>
          <w:b/>
          <w:i/>
          <w:sz w:val="20"/>
          <w:szCs w:val="20"/>
        </w:rPr>
        <w:t>Fuente: Informes de Gestión</w:t>
      </w:r>
    </w:p>
    <w:p w:rsidR="000D7B00" w:rsidRDefault="000D7B00" w:rsidP="000D7B00"/>
    <w:p w:rsidR="0013321C" w:rsidRDefault="0013321C" w:rsidP="000D7B00"/>
    <w:p w:rsidR="0013321C" w:rsidRDefault="0013321C" w:rsidP="000D7B00"/>
    <w:p w:rsidR="000D7B00" w:rsidRDefault="000D7B00" w:rsidP="00732E87">
      <w:pPr>
        <w:pStyle w:val="Ttulo2"/>
        <w:numPr>
          <w:ilvl w:val="1"/>
          <w:numId w:val="21"/>
        </w:numPr>
        <w:spacing w:line="276" w:lineRule="auto"/>
      </w:pPr>
      <w:bookmarkStart w:id="78" w:name="_Toc290360676"/>
      <w:bookmarkStart w:id="79" w:name="_Toc319421851"/>
      <w:bookmarkStart w:id="80" w:name="_Toc350238222"/>
      <w:bookmarkStart w:id="81" w:name="_Toc354671325"/>
      <w:r>
        <w:t>De</w:t>
      </w:r>
      <w:r w:rsidRPr="00610BD7">
        <w:t>sarrollo Humano y Organizacional</w:t>
      </w:r>
      <w:bookmarkEnd w:id="78"/>
      <w:bookmarkEnd w:id="79"/>
      <w:bookmarkEnd w:id="80"/>
      <w:bookmarkEnd w:id="81"/>
    </w:p>
    <w:p w:rsidR="000D7B00" w:rsidRDefault="000D7B00" w:rsidP="000D7B00"/>
    <w:p w:rsidR="000D7B00" w:rsidRDefault="000D7B00" w:rsidP="000D7B00">
      <w:r w:rsidRPr="007623D4">
        <w:t>La implementación</w:t>
      </w:r>
      <w:r>
        <w:t xml:space="preserve"> y ejecución</w:t>
      </w:r>
      <w:r w:rsidRPr="007623D4">
        <w:t xml:space="preserve"> de procesos de gestión humana, el fomento a la cultura organizacional, el fortalecimiento de la estructura organizacional y la gestión de procesos acorde con los estándares de calidad, son acciones que estructuran el Desarrollo Humano y Orga</w:t>
      </w:r>
      <w:r>
        <w:t>nizacional en la Universidad Tecnológica de Pereira, resultados que se detallan a continuación:</w:t>
      </w:r>
    </w:p>
    <w:p w:rsidR="000D7B00" w:rsidRPr="00732E87" w:rsidRDefault="000D7B00" w:rsidP="00732E87">
      <w:pPr>
        <w:pStyle w:val="Ttulo3"/>
      </w:pPr>
      <w:bookmarkStart w:id="82" w:name="_Toc350238223"/>
      <w:bookmarkStart w:id="83" w:name="_Toc354671326"/>
      <w:r w:rsidRPr="00732E87">
        <w:lastRenderedPageBreak/>
        <w:t>Procesos de Gestión Humana</w:t>
      </w:r>
      <w:bookmarkEnd w:id="82"/>
      <w:bookmarkEnd w:id="83"/>
    </w:p>
    <w:p w:rsidR="000D7B00" w:rsidRPr="00CF1A56" w:rsidRDefault="000D7B00" w:rsidP="000D7B00"/>
    <w:p w:rsidR="000D7B00" w:rsidRDefault="000D7B00" w:rsidP="000D7B00">
      <w:r>
        <w:t xml:space="preserve">En cuanto a los procesos ejecutados para la gestión y mantenimiento del talento humano contó con un cumplimiento sobre la meta de </w:t>
      </w:r>
      <w:r w:rsidRPr="00857897">
        <w:rPr>
          <w:b/>
        </w:rPr>
        <w:t>93.30%</w:t>
      </w:r>
      <w:r>
        <w:rPr>
          <w:b/>
        </w:rPr>
        <w:t xml:space="preserve">, </w:t>
      </w:r>
      <w:r>
        <w:t xml:space="preserve">este resultado se obtuvo a través de la ejecución de las siguientes actividades: </w:t>
      </w:r>
    </w:p>
    <w:p w:rsidR="000D7B00" w:rsidRPr="00EA71C9" w:rsidRDefault="000D7B00" w:rsidP="000D7B00">
      <w:pPr>
        <w:autoSpaceDE w:val="0"/>
        <w:autoSpaceDN w:val="0"/>
        <w:adjustRightInd w:val="0"/>
        <w:spacing w:after="0"/>
        <w:rPr>
          <w:rFonts w:cs="Calibri"/>
          <w:color w:val="000000"/>
          <w:sz w:val="18"/>
          <w:szCs w:val="18"/>
        </w:rPr>
      </w:pPr>
    </w:p>
    <w:p w:rsidR="000D7B00" w:rsidRPr="00EA71C9" w:rsidRDefault="000D7B00" w:rsidP="00C21E52">
      <w:pPr>
        <w:pStyle w:val="Prrafodelista"/>
        <w:numPr>
          <w:ilvl w:val="0"/>
          <w:numId w:val="34"/>
        </w:numPr>
        <w:autoSpaceDE w:val="0"/>
        <w:autoSpaceDN w:val="0"/>
        <w:adjustRightInd w:val="0"/>
        <w:spacing w:after="0"/>
      </w:pPr>
      <w:r w:rsidRPr="00EA71C9">
        <w:t>De</w:t>
      </w:r>
      <w:r>
        <w:t>sarrollo Procesos de selección.</w:t>
      </w:r>
    </w:p>
    <w:p w:rsidR="000D7B00" w:rsidRPr="00EA71C9" w:rsidRDefault="000D7B00" w:rsidP="00C21E52">
      <w:pPr>
        <w:pStyle w:val="Prrafodelista"/>
        <w:numPr>
          <w:ilvl w:val="0"/>
          <w:numId w:val="34"/>
        </w:numPr>
        <w:autoSpaceDE w:val="0"/>
        <w:autoSpaceDN w:val="0"/>
        <w:adjustRightInd w:val="0"/>
        <w:spacing w:after="0"/>
      </w:pPr>
      <w:r w:rsidRPr="00EA71C9">
        <w:t>Medición impacto de c</w:t>
      </w:r>
      <w:r>
        <w:t>apacitación institucional 2011.</w:t>
      </w:r>
    </w:p>
    <w:p w:rsidR="000D7B00" w:rsidRPr="00EA71C9" w:rsidRDefault="000D7B00" w:rsidP="00C21E52">
      <w:pPr>
        <w:pStyle w:val="Prrafodelista"/>
        <w:numPr>
          <w:ilvl w:val="0"/>
          <w:numId w:val="34"/>
        </w:numPr>
        <w:autoSpaceDE w:val="0"/>
        <w:autoSpaceDN w:val="0"/>
        <w:adjustRightInd w:val="0"/>
        <w:spacing w:after="0"/>
      </w:pPr>
      <w:r w:rsidRPr="00EA71C9">
        <w:t xml:space="preserve">Elaboración y presentación informe de capacitación 2011 y plan 2012 al comité </w:t>
      </w:r>
      <w:r>
        <w:t>de capacitación administrativa.</w:t>
      </w:r>
    </w:p>
    <w:p w:rsidR="000D7B00" w:rsidRPr="00EA71C9" w:rsidRDefault="000D7B00" w:rsidP="00C21E52">
      <w:pPr>
        <w:pStyle w:val="Prrafodelista"/>
        <w:numPr>
          <w:ilvl w:val="0"/>
          <w:numId w:val="34"/>
        </w:numPr>
        <w:autoSpaceDE w:val="0"/>
        <w:autoSpaceDN w:val="0"/>
        <w:adjustRightInd w:val="0"/>
        <w:spacing w:after="0"/>
      </w:pPr>
      <w:r w:rsidRPr="00EA71C9">
        <w:t>Aplicación del Instrumento de riesgo psicosocial al personal</w:t>
      </w:r>
      <w:r>
        <w:t xml:space="preserve"> administrativo (316 personas)</w:t>
      </w:r>
    </w:p>
    <w:p w:rsidR="000D7B00" w:rsidRPr="00EA71C9" w:rsidRDefault="000D7B00" w:rsidP="00C21E52">
      <w:pPr>
        <w:pStyle w:val="Prrafodelista"/>
        <w:numPr>
          <w:ilvl w:val="0"/>
          <w:numId w:val="34"/>
        </w:numPr>
        <w:autoSpaceDE w:val="0"/>
        <w:autoSpaceDN w:val="0"/>
        <w:adjustRightInd w:val="0"/>
        <w:spacing w:after="0"/>
      </w:pPr>
      <w:r w:rsidRPr="00EA71C9">
        <w:t>Inducción Ad</w:t>
      </w:r>
      <w:r>
        <w:t>ministrativo al personal nuevo</w:t>
      </w:r>
    </w:p>
    <w:p w:rsidR="000D7B00" w:rsidRPr="00EA71C9" w:rsidRDefault="000D7B00" w:rsidP="00C21E52">
      <w:pPr>
        <w:pStyle w:val="Prrafodelista"/>
        <w:numPr>
          <w:ilvl w:val="0"/>
          <w:numId w:val="34"/>
        </w:numPr>
        <w:autoSpaceDE w:val="0"/>
        <w:autoSpaceDN w:val="0"/>
        <w:adjustRightInd w:val="0"/>
        <w:spacing w:after="0"/>
      </w:pPr>
      <w:r>
        <w:t>Re inducción Administrativa</w:t>
      </w:r>
    </w:p>
    <w:p w:rsidR="000D7B00" w:rsidRPr="00EA71C9" w:rsidRDefault="000D7B00" w:rsidP="00C21E52">
      <w:pPr>
        <w:pStyle w:val="Prrafodelista"/>
        <w:numPr>
          <w:ilvl w:val="0"/>
          <w:numId w:val="34"/>
        </w:numPr>
        <w:autoSpaceDE w:val="0"/>
        <w:autoSpaceDN w:val="0"/>
        <w:adjustRightInd w:val="0"/>
        <w:spacing w:after="0"/>
      </w:pPr>
      <w:r>
        <w:t>Inducción Docente</w:t>
      </w:r>
    </w:p>
    <w:p w:rsidR="000D7B00" w:rsidRPr="00EA71C9" w:rsidRDefault="000D7B00" w:rsidP="00C21E52">
      <w:pPr>
        <w:pStyle w:val="Prrafodelista"/>
        <w:numPr>
          <w:ilvl w:val="0"/>
          <w:numId w:val="34"/>
        </w:numPr>
        <w:autoSpaceDE w:val="0"/>
        <w:autoSpaceDN w:val="0"/>
        <w:adjustRightInd w:val="0"/>
        <w:spacing w:after="0"/>
      </w:pPr>
      <w:r>
        <w:t>Programa Retiro Laboral</w:t>
      </w:r>
    </w:p>
    <w:p w:rsidR="000D7B00" w:rsidRPr="00EA71C9" w:rsidRDefault="000D7B00" w:rsidP="00C21E52">
      <w:pPr>
        <w:pStyle w:val="Prrafodelista"/>
        <w:numPr>
          <w:ilvl w:val="0"/>
          <w:numId w:val="34"/>
        </w:numPr>
        <w:autoSpaceDE w:val="0"/>
        <w:autoSpaceDN w:val="0"/>
        <w:adjustRightInd w:val="0"/>
        <w:spacing w:after="0"/>
      </w:pPr>
      <w:r w:rsidRPr="00EA71C9">
        <w:t>Avance del 67.9 % en la ejecución del plan</w:t>
      </w:r>
      <w:r>
        <w:t xml:space="preserve"> de capacitación</w:t>
      </w:r>
    </w:p>
    <w:p w:rsidR="000D7B00" w:rsidRPr="00EA71C9" w:rsidRDefault="000D7B00" w:rsidP="00C21E52">
      <w:pPr>
        <w:pStyle w:val="Prrafodelista"/>
        <w:numPr>
          <w:ilvl w:val="0"/>
          <w:numId w:val="34"/>
        </w:numPr>
        <w:autoSpaceDE w:val="0"/>
        <w:autoSpaceDN w:val="0"/>
        <w:adjustRightInd w:val="0"/>
        <w:spacing w:after="0"/>
      </w:pPr>
      <w:r w:rsidRPr="00EA71C9">
        <w:t>100 % de Avance en la revisión y ajuste del modelo de competencias del personal administrativo de ambos estam</w:t>
      </w:r>
      <w:r>
        <w:t>entos y ajustes en el software</w:t>
      </w:r>
    </w:p>
    <w:p w:rsidR="000D7B00" w:rsidRPr="00EA71C9" w:rsidRDefault="000D7B00" w:rsidP="00C21E52">
      <w:pPr>
        <w:pStyle w:val="Prrafodelista"/>
        <w:numPr>
          <w:ilvl w:val="0"/>
          <w:numId w:val="34"/>
        </w:numPr>
        <w:autoSpaceDE w:val="0"/>
        <w:autoSpaceDN w:val="0"/>
        <w:adjustRightInd w:val="0"/>
        <w:spacing w:after="0"/>
      </w:pPr>
      <w:r w:rsidRPr="00EA71C9">
        <w:t>Implementación de Evaluación de competencias al personal. admi</w:t>
      </w:r>
      <w:r>
        <w:t>nistrativo en ambos estamentos</w:t>
      </w:r>
    </w:p>
    <w:p w:rsidR="000D7B00" w:rsidRDefault="000D7B00" w:rsidP="00C21E52">
      <w:pPr>
        <w:pStyle w:val="Prrafodelista"/>
        <w:numPr>
          <w:ilvl w:val="0"/>
          <w:numId w:val="34"/>
        </w:numPr>
        <w:spacing w:after="200" w:line="276" w:lineRule="auto"/>
      </w:pPr>
      <w:r w:rsidRPr="00EA71C9">
        <w:t xml:space="preserve">Las actividades correspondientes a los Subprogramas Higiene y Seguridad - Medicina Preventiva y del Trabajo, se han desarrollado de acuerdo al plan de trabajo establecido por el responsable </w:t>
      </w:r>
    </w:p>
    <w:p w:rsidR="000D7B00" w:rsidRPr="00732E87" w:rsidRDefault="000D7B00" w:rsidP="00732E87">
      <w:pPr>
        <w:pStyle w:val="Ttulo3"/>
      </w:pPr>
      <w:bookmarkStart w:id="84" w:name="_Toc350238224"/>
      <w:bookmarkStart w:id="85" w:name="_Toc354671327"/>
      <w:r w:rsidRPr="00732E87">
        <w:t>Cultura Organizacional</w:t>
      </w:r>
      <w:bookmarkEnd w:id="84"/>
      <w:bookmarkEnd w:id="85"/>
    </w:p>
    <w:p w:rsidR="000D7B00" w:rsidRDefault="000D7B00" w:rsidP="000D7B00">
      <w:pPr>
        <w:autoSpaceDE w:val="0"/>
        <w:autoSpaceDN w:val="0"/>
        <w:adjustRightInd w:val="0"/>
        <w:spacing w:after="0"/>
      </w:pPr>
    </w:p>
    <w:p w:rsidR="000D7B00" w:rsidRDefault="000D7B00" w:rsidP="000D7B00">
      <w:pPr>
        <w:autoSpaceDE w:val="0"/>
        <w:autoSpaceDN w:val="0"/>
        <w:adjustRightInd w:val="0"/>
        <w:spacing w:after="0"/>
      </w:pPr>
      <w:r>
        <w:t xml:space="preserve">Para el fortalecimiento de la cultura organizacional  de la universidad, se realizó una encuesta de percepción a la comunidad universitaria logrando que esta fuera del </w:t>
      </w:r>
      <w:r w:rsidRPr="00BC50E8">
        <w:rPr>
          <w:b/>
        </w:rPr>
        <w:t>68.95%</w:t>
      </w:r>
      <w:r>
        <w:t xml:space="preserve">, resultado que representa la percepción favorable de la comunidad frente al esfuerzo que está realizando la Universidad Tecnológica en el mejoramiento del ambiente laboral. </w:t>
      </w:r>
    </w:p>
    <w:p w:rsidR="000D7B00" w:rsidRDefault="000D7B00" w:rsidP="000D7B00">
      <w:pPr>
        <w:autoSpaceDE w:val="0"/>
        <w:autoSpaceDN w:val="0"/>
        <w:adjustRightInd w:val="0"/>
        <w:spacing w:after="0"/>
      </w:pPr>
    </w:p>
    <w:p w:rsidR="000D7B00" w:rsidRPr="00FE236D" w:rsidRDefault="000D7B00" w:rsidP="000D7B00">
      <w:pPr>
        <w:autoSpaceDE w:val="0"/>
        <w:autoSpaceDN w:val="0"/>
        <w:adjustRightInd w:val="0"/>
        <w:spacing w:after="0"/>
      </w:pPr>
      <w:r>
        <w:t xml:space="preserve">Así mismo los esfuerzos institucionales por mejorar los resultados de la precepción del clima organizacional en los estamentos docentes y administrativos fue favorable, contando con una percepción el </w:t>
      </w:r>
      <w:r>
        <w:rPr>
          <w:b/>
        </w:rPr>
        <w:t>76.1</w:t>
      </w:r>
      <w:r w:rsidRPr="00FE236D">
        <w:rPr>
          <w:b/>
        </w:rPr>
        <w:t>%</w:t>
      </w:r>
      <w:r>
        <w:t xml:space="preserve">. Estos resultados se obtuvieron a través de </w:t>
      </w:r>
      <w:r w:rsidRPr="00BC50E8">
        <w:t xml:space="preserve">encuestas personalizadas a funcionarios de planta, transitorios y en misión de los estamentos docente y </w:t>
      </w:r>
      <w:proofErr w:type="gramStart"/>
      <w:r w:rsidRPr="00BC50E8">
        <w:t>administrativo</w:t>
      </w:r>
      <w:proofErr w:type="gramEnd"/>
      <w:r w:rsidRPr="00BC50E8">
        <w:t xml:space="preserve">. </w:t>
      </w:r>
    </w:p>
    <w:p w:rsidR="000D7B00" w:rsidRDefault="000D7B00" w:rsidP="000D7B00">
      <w:pPr>
        <w:autoSpaceDE w:val="0"/>
        <w:autoSpaceDN w:val="0"/>
        <w:adjustRightInd w:val="0"/>
        <w:spacing w:after="0"/>
      </w:pPr>
    </w:p>
    <w:p w:rsidR="000D7B00" w:rsidRDefault="000D7B00" w:rsidP="000D7B00">
      <w:pPr>
        <w:autoSpaceDE w:val="0"/>
        <w:autoSpaceDN w:val="0"/>
        <w:adjustRightInd w:val="0"/>
        <w:spacing w:after="0"/>
      </w:pPr>
      <w:r>
        <w:t xml:space="preserve">Es importante precisar que los estudios de clima organizacional  permitirán tomar acciones encaminadas al bienestar de la comunidad universitaria, lo que deberá dar como resultado mejor gestión institucional. </w:t>
      </w:r>
    </w:p>
    <w:p w:rsidR="000D7B00" w:rsidRPr="00732E87" w:rsidRDefault="000D7B00" w:rsidP="00732E87">
      <w:pPr>
        <w:pStyle w:val="Ttulo3"/>
      </w:pPr>
      <w:bookmarkStart w:id="86" w:name="_Toc350238225"/>
      <w:bookmarkStart w:id="87" w:name="_Toc354671328"/>
      <w:r w:rsidRPr="00732E87">
        <w:t>Estructura Organizacional</w:t>
      </w:r>
      <w:bookmarkEnd w:id="86"/>
      <w:bookmarkEnd w:id="87"/>
    </w:p>
    <w:p w:rsidR="000D7B00" w:rsidRDefault="000D7B00" w:rsidP="000D7B00">
      <w:pPr>
        <w:autoSpaceDE w:val="0"/>
        <w:autoSpaceDN w:val="0"/>
        <w:adjustRightInd w:val="0"/>
        <w:spacing w:after="0"/>
        <w:jc w:val="left"/>
      </w:pPr>
    </w:p>
    <w:p w:rsidR="000D7B00" w:rsidRDefault="000D7B00" w:rsidP="000D7B00">
      <w:r>
        <w:lastRenderedPageBreak/>
        <w:t xml:space="preserve">El Proceso de Estructura Organizacional de la Universidad Tecnológica de Pereira se mide a través de la intervención de las dependencias, facultades, centros, divisiones, oficinas y Vicerrectorías y aprobación de la nueva estructura ante el Consejo Superior. </w:t>
      </w:r>
    </w:p>
    <w:p w:rsidR="000D7B00" w:rsidRDefault="000D7B00" w:rsidP="000D7B00">
      <w:pPr>
        <w:autoSpaceDE w:val="0"/>
        <w:autoSpaceDN w:val="0"/>
        <w:adjustRightInd w:val="0"/>
        <w:spacing w:after="0"/>
      </w:pPr>
      <w:r>
        <w:t xml:space="preserve">Para la vigencia 2012 se proyectó la intervención en la documentación y análisis de estructura orgánica a facultades y dependencias, obteniendo un resultado de avance del </w:t>
      </w:r>
      <w:r w:rsidRPr="005D04AB">
        <w:rPr>
          <w:b/>
        </w:rPr>
        <w:t>80%</w:t>
      </w:r>
      <w:r>
        <w:t xml:space="preserve"> resultado que equivale a la intervención de  17 dependencias administrativas y 9 facultades, </w:t>
      </w:r>
      <w:r w:rsidRPr="00B7685A">
        <w:rPr>
          <w:rFonts w:cs="Arial"/>
        </w:rPr>
        <w:t xml:space="preserve">como también se conformó el </w:t>
      </w:r>
      <w:r>
        <w:rPr>
          <w:rFonts w:cs="Arial"/>
        </w:rPr>
        <w:t>e</w:t>
      </w:r>
      <w:r w:rsidRPr="00B7685A">
        <w:rPr>
          <w:rFonts w:cs="Arial"/>
        </w:rPr>
        <w:t>quipo de trabajo para análisis de información y elaboración de propuesta de estructura</w:t>
      </w:r>
    </w:p>
    <w:p w:rsidR="000D7B00" w:rsidRPr="005D04AB" w:rsidRDefault="000D7B00" w:rsidP="000D7B00">
      <w:pPr>
        <w:autoSpaceDE w:val="0"/>
        <w:autoSpaceDN w:val="0"/>
        <w:adjustRightInd w:val="0"/>
        <w:spacing w:after="0"/>
        <w:rPr>
          <w:rFonts w:cs="Calibri"/>
          <w:color w:val="000000"/>
          <w:sz w:val="18"/>
          <w:szCs w:val="18"/>
        </w:rPr>
      </w:pPr>
    </w:p>
    <w:p w:rsidR="000D7B00" w:rsidRPr="00732E87" w:rsidRDefault="000D7B00" w:rsidP="00732E87">
      <w:pPr>
        <w:pStyle w:val="Ttulo3"/>
      </w:pPr>
      <w:bookmarkStart w:id="88" w:name="_Toc350238226"/>
      <w:bookmarkStart w:id="89" w:name="_Toc354671329"/>
      <w:r w:rsidRPr="00732E87">
        <w:t>Gestión de Procesos</w:t>
      </w:r>
      <w:bookmarkEnd w:id="88"/>
      <w:bookmarkEnd w:id="89"/>
    </w:p>
    <w:p w:rsidR="000D7B00" w:rsidRDefault="000D7B00" w:rsidP="000D7B00">
      <w:pPr>
        <w:spacing w:after="0"/>
      </w:pPr>
    </w:p>
    <w:p w:rsidR="000D7B00" w:rsidRDefault="000D7B00" w:rsidP="000D7B00">
      <w:pPr>
        <w:pStyle w:val="Default"/>
        <w:jc w:val="both"/>
        <w:rPr>
          <w:rFonts w:asciiTheme="minorHAnsi" w:hAnsiTheme="minorHAnsi" w:cstheme="minorBidi"/>
          <w:color w:val="auto"/>
          <w:sz w:val="22"/>
          <w:szCs w:val="22"/>
        </w:rPr>
      </w:pPr>
      <w:r w:rsidRPr="00881902">
        <w:rPr>
          <w:rFonts w:asciiTheme="minorHAnsi" w:hAnsiTheme="minorHAnsi" w:cstheme="minorBidi"/>
          <w:color w:val="auto"/>
          <w:sz w:val="22"/>
          <w:szCs w:val="22"/>
        </w:rPr>
        <w:t xml:space="preserve">Los resultados de la  Gestión de Procesos de la Universidad Tecnológica de Pereira, se mide </w:t>
      </w:r>
      <w:r>
        <w:rPr>
          <w:rFonts w:asciiTheme="minorHAnsi" w:hAnsiTheme="minorHAnsi" w:cstheme="minorBidi"/>
          <w:color w:val="auto"/>
          <w:sz w:val="22"/>
          <w:szCs w:val="22"/>
        </w:rPr>
        <w:t>a través de la</w:t>
      </w:r>
      <w:r w:rsidRPr="00881902">
        <w:rPr>
          <w:rFonts w:asciiTheme="minorHAnsi" w:hAnsiTheme="minorHAnsi" w:cstheme="minorBidi"/>
          <w:color w:val="auto"/>
          <w:sz w:val="22"/>
          <w:szCs w:val="22"/>
        </w:rPr>
        <w:t xml:space="preserve"> satisfacción de </w:t>
      </w:r>
      <w:r>
        <w:rPr>
          <w:rFonts w:asciiTheme="minorHAnsi" w:hAnsiTheme="minorHAnsi" w:cstheme="minorBidi"/>
          <w:color w:val="auto"/>
          <w:sz w:val="22"/>
          <w:szCs w:val="22"/>
        </w:rPr>
        <w:t xml:space="preserve">los </w:t>
      </w:r>
      <w:r w:rsidRPr="00881902">
        <w:rPr>
          <w:rFonts w:asciiTheme="minorHAnsi" w:hAnsiTheme="minorHAnsi" w:cstheme="minorBidi"/>
          <w:color w:val="auto"/>
          <w:sz w:val="22"/>
          <w:szCs w:val="22"/>
        </w:rPr>
        <w:t xml:space="preserve">usuarios a nivel institucional </w:t>
      </w:r>
      <w:r>
        <w:rPr>
          <w:rFonts w:asciiTheme="minorHAnsi" w:hAnsiTheme="minorHAnsi" w:cstheme="minorBidi"/>
          <w:color w:val="auto"/>
          <w:sz w:val="22"/>
          <w:szCs w:val="22"/>
        </w:rPr>
        <w:t xml:space="preserve">de los veintiún (21) procesos que pertenecen al Sistema de Gestión de la Calidad, para la vigencia 2012 la universidad tiene un promedio de satisfacción del </w:t>
      </w:r>
      <w:r w:rsidRPr="00881902">
        <w:rPr>
          <w:rFonts w:asciiTheme="minorHAnsi" w:hAnsiTheme="minorHAnsi" w:cstheme="minorBidi"/>
          <w:b/>
          <w:color w:val="auto"/>
          <w:sz w:val="22"/>
          <w:szCs w:val="22"/>
        </w:rPr>
        <w:t>91%</w:t>
      </w:r>
      <w:r>
        <w:rPr>
          <w:rFonts w:asciiTheme="minorHAnsi" w:hAnsiTheme="minorHAnsi" w:cstheme="minorBidi"/>
          <w:color w:val="auto"/>
          <w:sz w:val="22"/>
          <w:szCs w:val="22"/>
        </w:rPr>
        <w:t>.</w:t>
      </w:r>
    </w:p>
    <w:p w:rsidR="000D7B00" w:rsidRDefault="000D7B00" w:rsidP="000D7B00">
      <w:pPr>
        <w:pStyle w:val="Default"/>
        <w:jc w:val="both"/>
        <w:rPr>
          <w:rFonts w:asciiTheme="minorHAnsi" w:hAnsiTheme="minorHAnsi" w:cstheme="minorBidi"/>
          <w:color w:val="auto"/>
          <w:sz w:val="22"/>
          <w:szCs w:val="22"/>
        </w:rPr>
      </w:pPr>
    </w:p>
    <w:p w:rsidR="000D7B00" w:rsidRPr="00C801DB" w:rsidRDefault="000D7B00" w:rsidP="000D7B00">
      <w:r>
        <w:t>Durante el periodo de ejecución del Plan de Desarrollo Institucional, el componente Desarrollo humano organizacional ha presentado los siguientes logros:</w:t>
      </w:r>
    </w:p>
    <w:p w:rsidR="000D7B00" w:rsidRPr="003131AE" w:rsidRDefault="000D7B00" w:rsidP="000D7B00">
      <w:r w:rsidRPr="00D60B1A">
        <w:rPr>
          <w:rFonts w:cs="Calibri"/>
          <w:b/>
          <w:bCs/>
          <w:color w:val="000000"/>
        </w:rPr>
        <w:t xml:space="preserve">Desarrollo humano organizacional </w:t>
      </w:r>
      <w:r w:rsidRPr="00E87E0E">
        <w:rPr>
          <w:rFonts w:cs="Calibri"/>
          <w:color w:val="000000"/>
        </w:rPr>
        <w:t xml:space="preserve">= </w:t>
      </w:r>
      <w:r w:rsidRPr="00D60B1A">
        <w:rPr>
          <w:rFonts w:cs="Calibri"/>
          <w:color w:val="000000"/>
        </w:rPr>
        <w:t xml:space="preserve">PGH * 40% + CO * 20% + EO * 20% + GP * 20% </w:t>
      </w:r>
      <w:r>
        <w:t>OI</w:t>
      </w:r>
    </w:p>
    <w:p w:rsidR="000D7B00" w:rsidRDefault="000D7B00" w:rsidP="00C21E52">
      <w:pPr>
        <w:pStyle w:val="Prrafodelista"/>
        <w:numPr>
          <w:ilvl w:val="0"/>
          <w:numId w:val="31"/>
        </w:numPr>
        <w:autoSpaceDE w:val="0"/>
        <w:autoSpaceDN w:val="0"/>
        <w:adjustRightInd w:val="0"/>
        <w:spacing w:after="70"/>
      </w:pPr>
      <w:r>
        <w:t>PGH: Procesos de gestión humana</w:t>
      </w:r>
    </w:p>
    <w:p w:rsidR="000D7B00" w:rsidRPr="003131AE" w:rsidRDefault="000D7B00" w:rsidP="00C21E52">
      <w:pPr>
        <w:pStyle w:val="Prrafodelista"/>
        <w:numPr>
          <w:ilvl w:val="0"/>
          <w:numId w:val="31"/>
        </w:numPr>
        <w:autoSpaceDE w:val="0"/>
        <w:autoSpaceDN w:val="0"/>
        <w:adjustRightInd w:val="0"/>
        <w:spacing w:after="70"/>
      </w:pPr>
      <w:r>
        <w:t>CO: Cultura organizacional</w:t>
      </w:r>
    </w:p>
    <w:p w:rsidR="000D7B00" w:rsidRPr="003131AE" w:rsidRDefault="000D7B00" w:rsidP="00C21E52">
      <w:pPr>
        <w:pStyle w:val="Prrafodelista"/>
        <w:numPr>
          <w:ilvl w:val="0"/>
          <w:numId w:val="31"/>
        </w:numPr>
        <w:autoSpaceDE w:val="0"/>
        <w:autoSpaceDN w:val="0"/>
        <w:adjustRightInd w:val="0"/>
        <w:spacing w:after="70"/>
      </w:pPr>
      <w:r>
        <w:t xml:space="preserve">EO: Estructura organizacional </w:t>
      </w:r>
    </w:p>
    <w:p w:rsidR="000D7B00" w:rsidRPr="003131AE" w:rsidRDefault="000D7B00" w:rsidP="00C21E52">
      <w:pPr>
        <w:pStyle w:val="Prrafodelista"/>
        <w:numPr>
          <w:ilvl w:val="0"/>
          <w:numId w:val="31"/>
        </w:numPr>
        <w:autoSpaceDE w:val="0"/>
        <w:autoSpaceDN w:val="0"/>
        <w:adjustRightInd w:val="0"/>
        <w:spacing w:after="0"/>
      </w:pPr>
      <w:r>
        <w:t>GP: Gestión de procesos</w:t>
      </w:r>
    </w:p>
    <w:p w:rsidR="000D7B00" w:rsidRPr="00F856BB" w:rsidRDefault="000D7B00" w:rsidP="007B21CF">
      <w:pPr>
        <w:jc w:val="center"/>
        <w:rPr>
          <w:bCs/>
          <w:color w:val="000000" w:themeColor="text1"/>
        </w:rPr>
      </w:pPr>
      <w:r w:rsidRPr="00CB1558">
        <w:rPr>
          <w:b/>
          <w:bCs/>
          <w:color w:val="000000" w:themeColor="text1"/>
        </w:rPr>
        <w:t>Logros alcanzados Desarrollo Humano y Organizacional para el año 2009 – 2012</w:t>
      </w:r>
      <w:r w:rsidRPr="0069072F">
        <w:rPr>
          <w:noProof/>
          <w:lang w:val="es-CO" w:eastAsia="es-CO"/>
        </w:rPr>
        <w:drawing>
          <wp:inline distT="0" distB="0" distL="0" distR="0">
            <wp:extent cx="4772025" cy="1743075"/>
            <wp:effectExtent l="0" t="0" r="0" b="0"/>
            <wp:docPr id="54" name="1 Gráfico"/>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0D7B00" w:rsidRDefault="000D7B00" w:rsidP="000D7B00">
      <w:pPr>
        <w:spacing w:after="0"/>
        <w:jc w:val="center"/>
        <w:rPr>
          <w:b/>
          <w:i/>
          <w:sz w:val="20"/>
          <w:szCs w:val="20"/>
        </w:rPr>
      </w:pPr>
      <w:r w:rsidRPr="00354DFA">
        <w:rPr>
          <w:b/>
          <w:i/>
          <w:sz w:val="20"/>
          <w:szCs w:val="20"/>
        </w:rPr>
        <w:t xml:space="preserve">Fuente: </w:t>
      </w:r>
      <w:r>
        <w:rPr>
          <w:b/>
          <w:i/>
          <w:sz w:val="20"/>
          <w:szCs w:val="20"/>
        </w:rPr>
        <w:t xml:space="preserve">Informes de Gestión </w:t>
      </w:r>
    </w:p>
    <w:p w:rsidR="000D7B00" w:rsidRDefault="000D7B00" w:rsidP="000D7B00">
      <w:pPr>
        <w:spacing w:after="0"/>
        <w:jc w:val="center"/>
        <w:rPr>
          <w:b/>
          <w:i/>
          <w:sz w:val="20"/>
          <w:szCs w:val="20"/>
        </w:rPr>
      </w:pPr>
    </w:p>
    <w:p w:rsidR="00CD336A" w:rsidRDefault="00CD336A" w:rsidP="000D7B00">
      <w:pPr>
        <w:spacing w:after="0"/>
        <w:jc w:val="center"/>
        <w:rPr>
          <w:b/>
          <w:i/>
          <w:sz w:val="20"/>
          <w:szCs w:val="20"/>
        </w:rPr>
      </w:pPr>
    </w:p>
    <w:tbl>
      <w:tblPr>
        <w:tblStyle w:val="Cuadrculaclara-nfasis1"/>
        <w:tblW w:w="0" w:type="auto"/>
        <w:tblLook w:val="04A0" w:firstRow="1" w:lastRow="0" w:firstColumn="1" w:lastColumn="0" w:noHBand="0" w:noVBand="1"/>
      </w:tblPr>
      <w:tblGrid>
        <w:gridCol w:w="675"/>
        <w:gridCol w:w="8303"/>
      </w:tblGrid>
      <w:tr w:rsidR="005B3A70" w:rsidRPr="002F438E" w:rsidTr="00C7418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75" w:type="dxa"/>
          </w:tcPr>
          <w:p w:rsidR="005B3A70" w:rsidRPr="002F438E" w:rsidRDefault="005B3A70" w:rsidP="00C7418E">
            <w:pPr>
              <w:jc w:val="center"/>
              <w:rPr>
                <w:sz w:val="18"/>
                <w:szCs w:val="18"/>
              </w:rPr>
            </w:pPr>
            <w:r w:rsidRPr="002F438E">
              <w:rPr>
                <w:sz w:val="18"/>
                <w:szCs w:val="18"/>
              </w:rPr>
              <w:t>Año</w:t>
            </w:r>
          </w:p>
        </w:tc>
        <w:tc>
          <w:tcPr>
            <w:tcW w:w="8303" w:type="dxa"/>
          </w:tcPr>
          <w:p w:rsidR="005B3A70" w:rsidRPr="002F438E" w:rsidRDefault="005B3A70" w:rsidP="00C7418E">
            <w:pPr>
              <w:jc w:val="center"/>
              <w:cnfStyle w:val="100000000000" w:firstRow="1" w:lastRow="0" w:firstColumn="0" w:lastColumn="0" w:oddVBand="0" w:evenVBand="0" w:oddHBand="0" w:evenHBand="0" w:firstRowFirstColumn="0" w:firstRowLastColumn="0" w:lastRowFirstColumn="0" w:lastRowLastColumn="0"/>
              <w:rPr>
                <w:sz w:val="18"/>
                <w:szCs w:val="18"/>
              </w:rPr>
            </w:pPr>
            <w:r w:rsidRPr="002F438E">
              <w:rPr>
                <w:sz w:val="18"/>
                <w:szCs w:val="18"/>
              </w:rPr>
              <w:t>Resultados</w:t>
            </w:r>
          </w:p>
        </w:tc>
      </w:tr>
      <w:tr w:rsidR="005B3A70" w:rsidRPr="002F438E" w:rsidTr="00C7418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75" w:type="dxa"/>
            <w:vAlign w:val="center"/>
          </w:tcPr>
          <w:p w:rsidR="005B3A70" w:rsidRPr="002A030C" w:rsidRDefault="005B3A70" w:rsidP="00C7418E">
            <w:pPr>
              <w:jc w:val="center"/>
              <w:rPr>
                <w:sz w:val="18"/>
                <w:szCs w:val="18"/>
              </w:rPr>
            </w:pPr>
            <w:r w:rsidRPr="002A030C">
              <w:rPr>
                <w:sz w:val="18"/>
                <w:szCs w:val="18"/>
              </w:rPr>
              <w:t>2009</w:t>
            </w:r>
          </w:p>
        </w:tc>
        <w:tc>
          <w:tcPr>
            <w:tcW w:w="8303" w:type="dxa"/>
          </w:tcPr>
          <w:p w:rsidR="005B3A70" w:rsidRPr="005B3A70" w:rsidRDefault="005B3A70" w:rsidP="00C21E52">
            <w:pPr>
              <w:pStyle w:val="Prrafodelista"/>
              <w:numPr>
                <w:ilvl w:val="0"/>
                <w:numId w:val="41"/>
              </w:numPr>
              <w:spacing w:after="0"/>
              <w:ind w:left="375"/>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5B3A70">
              <w:rPr>
                <w:iCs/>
                <w:color w:val="000000" w:themeColor="text1"/>
                <w:sz w:val="20"/>
                <w:szCs w:val="20"/>
              </w:rPr>
              <w:t>Recertificación de la Universidad en la Norma ISO 9001:2008.</w:t>
            </w:r>
          </w:p>
          <w:p w:rsidR="005B3A70" w:rsidRPr="005B3A70" w:rsidRDefault="005B3A70" w:rsidP="00C21E52">
            <w:pPr>
              <w:pStyle w:val="Prrafodelista"/>
              <w:numPr>
                <w:ilvl w:val="0"/>
                <w:numId w:val="41"/>
              </w:numPr>
              <w:spacing w:after="0"/>
              <w:ind w:left="375"/>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5B3A70">
              <w:rPr>
                <w:iCs/>
                <w:color w:val="000000" w:themeColor="text1"/>
                <w:sz w:val="20"/>
                <w:szCs w:val="20"/>
              </w:rPr>
              <w:t>Levantamiento de la Línea Base  de la Estructura Organizacional, lo que reflejó una sobrevaloración de la percepción de la comunidad al plantear la meta.</w:t>
            </w:r>
          </w:p>
          <w:p w:rsidR="005B3A70" w:rsidRPr="005B3A70" w:rsidRDefault="005B3A70" w:rsidP="00C21E52">
            <w:pPr>
              <w:pStyle w:val="Prrafodelista"/>
              <w:numPr>
                <w:ilvl w:val="0"/>
                <w:numId w:val="41"/>
              </w:numPr>
              <w:spacing w:after="200" w:line="276" w:lineRule="auto"/>
              <w:ind w:left="375"/>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5B3A70">
              <w:rPr>
                <w:iCs/>
                <w:color w:val="000000" w:themeColor="text1"/>
                <w:sz w:val="20"/>
                <w:szCs w:val="20"/>
              </w:rPr>
              <w:t xml:space="preserve">Levantamiento y aplicación del instrumento Percepción Estructura Organizacional apoyado en el modelo de </w:t>
            </w:r>
            <w:proofErr w:type="spellStart"/>
            <w:r w:rsidRPr="005B3A70">
              <w:rPr>
                <w:iCs/>
                <w:color w:val="000000" w:themeColor="text1"/>
                <w:sz w:val="20"/>
                <w:szCs w:val="20"/>
              </w:rPr>
              <w:t>Weisbord</w:t>
            </w:r>
            <w:proofErr w:type="spellEnd"/>
            <w:r w:rsidRPr="005B3A70">
              <w:rPr>
                <w:iCs/>
                <w:color w:val="000000" w:themeColor="text1"/>
                <w:sz w:val="20"/>
                <w:szCs w:val="20"/>
              </w:rPr>
              <w:t xml:space="preserve"> Diagnóstico Organizacional, dirigida a la alta dirección de la </w:t>
            </w:r>
            <w:r w:rsidRPr="005B3A70">
              <w:rPr>
                <w:iCs/>
                <w:color w:val="000000" w:themeColor="text1"/>
                <w:sz w:val="20"/>
                <w:szCs w:val="20"/>
              </w:rPr>
              <w:lastRenderedPageBreak/>
              <w:t>Universidad.</w:t>
            </w:r>
          </w:p>
          <w:p w:rsidR="005B3A70" w:rsidRPr="002F438E" w:rsidRDefault="005B3A70" w:rsidP="00C21E52">
            <w:pPr>
              <w:pStyle w:val="Prrafodelista"/>
              <w:numPr>
                <w:ilvl w:val="0"/>
                <w:numId w:val="41"/>
              </w:numPr>
              <w:spacing w:after="200" w:line="276" w:lineRule="auto"/>
              <w:ind w:left="375"/>
              <w:cnfStyle w:val="000000100000" w:firstRow="0" w:lastRow="0" w:firstColumn="0" w:lastColumn="0" w:oddVBand="0" w:evenVBand="0" w:oddHBand="1" w:evenHBand="0" w:firstRowFirstColumn="0" w:firstRowLastColumn="0" w:lastRowFirstColumn="0" w:lastRowLastColumn="0"/>
              <w:rPr>
                <w:b/>
                <w:iCs/>
                <w:color w:val="000000" w:themeColor="text1"/>
                <w:sz w:val="20"/>
                <w:szCs w:val="20"/>
              </w:rPr>
            </w:pPr>
            <w:r w:rsidRPr="005B3A70">
              <w:rPr>
                <w:iCs/>
                <w:color w:val="000000" w:themeColor="text1"/>
                <w:sz w:val="20"/>
                <w:szCs w:val="20"/>
              </w:rPr>
              <w:t>Levantamiento de la línea base Cultura Organizacional, planeación de necesidades del talento Humano y diseño de la estrategia de intervención clima y cultura organizacional.</w:t>
            </w:r>
          </w:p>
        </w:tc>
      </w:tr>
      <w:tr w:rsidR="005B3A70" w:rsidRPr="002F438E" w:rsidTr="00C7418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75" w:type="dxa"/>
            <w:vAlign w:val="center"/>
          </w:tcPr>
          <w:p w:rsidR="005B3A70" w:rsidRPr="002A030C" w:rsidRDefault="005B3A70" w:rsidP="00C7418E">
            <w:pPr>
              <w:jc w:val="center"/>
              <w:rPr>
                <w:sz w:val="18"/>
                <w:szCs w:val="18"/>
              </w:rPr>
            </w:pPr>
            <w:r w:rsidRPr="002A030C">
              <w:rPr>
                <w:sz w:val="18"/>
                <w:szCs w:val="18"/>
              </w:rPr>
              <w:lastRenderedPageBreak/>
              <w:t>2010</w:t>
            </w:r>
          </w:p>
        </w:tc>
        <w:tc>
          <w:tcPr>
            <w:tcW w:w="8303" w:type="dxa"/>
          </w:tcPr>
          <w:p w:rsidR="005B3A70" w:rsidRPr="005B3A70" w:rsidRDefault="005B3A70" w:rsidP="00C21E52">
            <w:pPr>
              <w:pStyle w:val="Prrafodelista"/>
              <w:numPr>
                <w:ilvl w:val="0"/>
                <w:numId w:val="41"/>
              </w:numPr>
              <w:spacing w:after="200" w:line="276" w:lineRule="auto"/>
              <w:ind w:left="375"/>
              <w:cnfStyle w:val="000000010000" w:firstRow="0" w:lastRow="0" w:firstColumn="0" w:lastColumn="0" w:oddVBand="0" w:evenVBand="0" w:oddHBand="0" w:evenHBand="1" w:firstRowFirstColumn="0" w:firstRowLastColumn="0" w:lastRowFirstColumn="0" w:lastRowLastColumn="0"/>
              <w:rPr>
                <w:iCs/>
                <w:color w:val="000000" w:themeColor="text1"/>
                <w:sz w:val="20"/>
                <w:szCs w:val="20"/>
              </w:rPr>
            </w:pPr>
            <w:r w:rsidRPr="005B3A70">
              <w:rPr>
                <w:iCs/>
                <w:color w:val="000000" w:themeColor="text1"/>
                <w:sz w:val="20"/>
                <w:szCs w:val="20"/>
              </w:rPr>
              <w:t>Percepción positiva de la cultura organizacional y clima organizacional</w:t>
            </w:r>
          </w:p>
          <w:p w:rsidR="005B3A70" w:rsidRPr="005B3A70" w:rsidRDefault="005B3A70" w:rsidP="00C21E52">
            <w:pPr>
              <w:pStyle w:val="Prrafodelista"/>
              <w:numPr>
                <w:ilvl w:val="0"/>
                <w:numId w:val="41"/>
              </w:numPr>
              <w:spacing w:after="200" w:line="276" w:lineRule="auto"/>
              <w:ind w:left="375"/>
              <w:cnfStyle w:val="000000010000" w:firstRow="0" w:lastRow="0" w:firstColumn="0" w:lastColumn="0" w:oddVBand="0" w:evenVBand="0" w:oddHBand="0" w:evenHBand="1" w:firstRowFirstColumn="0" w:firstRowLastColumn="0" w:lastRowFirstColumn="0" w:lastRowLastColumn="0"/>
              <w:rPr>
                <w:iCs/>
                <w:color w:val="000000" w:themeColor="text1"/>
                <w:sz w:val="20"/>
                <w:szCs w:val="20"/>
              </w:rPr>
            </w:pPr>
            <w:r w:rsidRPr="005B3A70">
              <w:rPr>
                <w:iCs/>
                <w:color w:val="000000" w:themeColor="text1"/>
                <w:sz w:val="20"/>
                <w:szCs w:val="20"/>
              </w:rPr>
              <w:t>Levantamiento de la línea base del Clima Organizacional que permitirá a la organización tomar acciones encaminadas al bienestar de la comunidad universitaria, lo que deberá redundar en mejores resultados institucionales.</w:t>
            </w:r>
          </w:p>
          <w:p w:rsidR="005B3A70" w:rsidRPr="005B3A70" w:rsidRDefault="005B3A70" w:rsidP="00C21E52">
            <w:pPr>
              <w:pStyle w:val="Prrafodelista"/>
              <w:numPr>
                <w:ilvl w:val="0"/>
                <w:numId w:val="41"/>
              </w:numPr>
              <w:spacing w:after="200" w:line="276" w:lineRule="auto"/>
              <w:ind w:left="375"/>
              <w:cnfStyle w:val="000000010000" w:firstRow="0" w:lastRow="0" w:firstColumn="0" w:lastColumn="0" w:oddVBand="0" w:evenVBand="0" w:oddHBand="0" w:evenHBand="1" w:firstRowFirstColumn="0" w:firstRowLastColumn="0" w:lastRowFirstColumn="0" w:lastRowLastColumn="0"/>
              <w:rPr>
                <w:iCs/>
                <w:color w:val="000000" w:themeColor="text1"/>
                <w:sz w:val="20"/>
                <w:szCs w:val="20"/>
              </w:rPr>
            </w:pPr>
            <w:r w:rsidRPr="005B3A70">
              <w:rPr>
                <w:iCs/>
                <w:color w:val="000000" w:themeColor="text1"/>
                <w:sz w:val="20"/>
                <w:szCs w:val="20"/>
              </w:rPr>
              <w:t>Se registró una buena percepción en el nivel de satisfacción de los usuarios de los procesos certificados en el sistema de gestión de la calidad.</w:t>
            </w:r>
          </w:p>
          <w:p w:rsidR="005B3A70" w:rsidRPr="005B3A70" w:rsidRDefault="005B3A70" w:rsidP="00C21E52">
            <w:pPr>
              <w:pStyle w:val="Prrafodelista"/>
              <w:numPr>
                <w:ilvl w:val="0"/>
                <w:numId w:val="41"/>
              </w:numPr>
              <w:spacing w:after="200" w:line="276" w:lineRule="auto"/>
              <w:ind w:left="375"/>
              <w:cnfStyle w:val="000000010000" w:firstRow="0" w:lastRow="0" w:firstColumn="0" w:lastColumn="0" w:oddVBand="0" w:evenVBand="0" w:oddHBand="0" w:evenHBand="1" w:firstRowFirstColumn="0" w:firstRowLastColumn="0" w:lastRowFirstColumn="0" w:lastRowLastColumn="0"/>
              <w:rPr>
                <w:sz w:val="18"/>
                <w:szCs w:val="18"/>
              </w:rPr>
            </w:pPr>
            <w:r w:rsidRPr="005B3A70">
              <w:rPr>
                <w:iCs/>
                <w:color w:val="000000" w:themeColor="text1"/>
                <w:sz w:val="20"/>
                <w:szCs w:val="20"/>
              </w:rPr>
              <w:t xml:space="preserve">Avance en la modernización para responderá la proyección de la Universidad. </w:t>
            </w:r>
          </w:p>
        </w:tc>
      </w:tr>
      <w:tr w:rsidR="005B3A70" w:rsidRPr="002F438E" w:rsidTr="00C7418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75" w:type="dxa"/>
            <w:vAlign w:val="center"/>
          </w:tcPr>
          <w:p w:rsidR="005B3A70" w:rsidRPr="002A030C" w:rsidRDefault="005B3A70" w:rsidP="00C7418E">
            <w:pPr>
              <w:jc w:val="center"/>
              <w:rPr>
                <w:sz w:val="18"/>
                <w:szCs w:val="18"/>
              </w:rPr>
            </w:pPr>
            <w:r w:rsidRPr="002A030C">
              <w:rPr>
                <w:sz w:val="18"/>
                <w:szCs w:val="18"/>
              </w:rPr>
              <w:t>2011</w:t>
            </w:r>
          </w:p>
        </w:tc>
        <w:tc>
          <w:tcPr>
            <w:tcW w:w="8303" w:type="dxa"/>
          </w:tcPr>
          <w:p w:rsidR="005B3A70" w:rsidRPr="005B3A70" w:rsidRDefault="005B3A70" w:rsidP="00C21E52">
            <w:pPr>
              <w:pStyle w:val="Prrafodelista"/>
              <w:numPr>
                <w:ilvl w:val="0"/>
                <w:numId w:val="41"/>
              </w:numPr>
              <w:spacing w:after="200" w:line="276" w:lineRule="auto"/>
              <w:ind w:left="375"/>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5B3A70">
              <w:rPr>
                <w:iCs/>
                <w:color w:val="000000" w:themeColor="text1"/>
                <w:sz w:val="20"/>
                <w:szCs w:val="20"/>
              </w:rPr>
              <w:t>Se aprobó el modelo de gestión por competencias a través de resolución de rectoría  900 del 12 de mayo de 2011 y su respectiva sensibilización al personal administrativo.</w:t>
            </w:r>
          </w:p>
          <w:p w:rsidR="005B3A70" w:rsidRPr="005B3A70" w:rsidRDefault="005B3A70" w:rsidP="00C21E52">
            <w:pPr>
              <w:pStyle w:val="Prrafodelista"/>
              <w:numPr>
                <w:ilvl w:val="0"/>
                <w:numId w:val="41"/>
              </w:numPr>
              <w:spacing w:after="200" w:line="276" w:lineRule="auto"/>
              <w:ind w:left="375"/>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5B3A70">
              <w:rPr>
                <w:iCs/>
                <w:color w:val="000000" w:themeColor="text1"/>
                <w:sz w:val="20"/>
                <w:szCs w:val="20"/>
              </w:rPr>
              <w:t>Levantamiento de perfiles de cargos actuales del área, la identificación de brechas de la institución y del personal.</w:t>
            </w:r>
          </w:p>
          <w:p w:rsidR="005B3A70" w:rsidRPr="005B3A70" w:rsidRDefault="005B3A70" w:rsidP="00C21E52">
            <w:pPr>
              <w:pStyle w:val="Prrafodelista"/>
              <w:numPr>
                <w:ilvl w:val="0"/>
                <w:numId w:val="41"/>
              </w:numPr>
              <w:spacing w:after="200" w:line="276" w:lineRule="auto"/>
              <w:ind w:left="375"/>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5B3A70">
              <w:rPr>
                <w:iCs/>
                <w:color w:val="000000" w:themeColor="text1"/>
                <w:sz w:val="20"/>
                <w:szCs w:val="20"/>
              </w:rPr>
              <w:t>Socialización de resultados de la medición de clima organizacional, definiendo las necesidades de intervención de clima en los procesos administrativos.</w:t>
            </w:r>
          </w:p>
          <w:p w:rsidR="005B3A70" w:rsidRPr="005B3A70" w:rsidRDefault="005B3A70" w:rsidP="00C21E52">
            <w:pPr>
              <w:pStyle w:val="Prrafodelista"/>
              <w:numPr>
                <w:ilvl w:val="0"/>
                <w:numId w:val="41"/>
              </w:numPr>
              <w:spacing w:after="200" w:line="276" w:lineRule="auto"/>
              <w:ind w:left="375"/>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5B3A70">
              <w:rPr>
                <w:iCs/>
                <w:color w:val="000000" w:themeColor="text1"/>
                <w:sz w:val="20"/>
                <w:szCs w:val="20"/>
              </w:rPr>
              <w:t>Levantamiento de la información de los procedimientos correspondiente a la Rectoría, con sus dependencias y áreas internas de trabajo, se concluyó con el levantamiento de la información de la Vicerrectoría Académica y sus tres centros adscritos, además de iniciar labores en el levantamiento de las  nueve  facultades</w:t>
            </w:r>
          </w:p>
          <w:p w:rsidR="005B3A70" w:rsidRPr="005B3A70" w:rsidRDefault="005B3A70" w:rsidP="00C21E52">
            <w:pPr>
              <w:pStyle w:val="Prrafodelista"/>
              <w:numPr>
                <w:ilvl w:val="0"/>
                <w:numId w:val="41"/>
              </w:numPr>
              <w:spacing w:after="200" w:line="276" w:lineRule="auto"/>
              <w:ind w:left="375"/>
              <w:cnfStyle w:val="000000100000" w:firstRow="0" w:lastRow="0" w:firstColumn="0" w:lastColumn="0" w:oddVBand="0" w:evenVBand="0" w:oddHBand="1" w:evenHBand="0" w:firstRowFirstColumn="0" w:firstRowLastColumn="0" w:lastRowFirstColumn="0" w:lastRowLastColumn="0"/>
              <w:rPr>
                <w:iCs/>
                <w:color w:val="000000" w:themeColor="text1"/>
                <w:sz w:val="20"/>
                <w:szCs w:val="20"/>
              </w:rPr>
            </w:pPr>
            <w:r w:rsidRPr="005B3A70">
              <w:rPr>
                <w:iCs/>
                <w:color w:val="000000" w:themeColor="text1"/>
                <w:sz w:val="20"/>
                <w:szCs w:val="20"/>
              </w:rPr>
              <w:t>Se realizó la evaluación a los laboratorios para la norma 17025 por parte de  auditores internos.</w:t>
            </w:r>
          </w:p>
        </w:tc>
      </w:tr>
    </w:tbl>
    <w:p w:rsidR="005B3A70" w:rsidRDefault="005B3A70" w:rsidP="000D7B00">
      <w:pPr>
        <w:spacing w:after="0"/>
        <w:jc w:val="center"/>
        <w:rPr>
          <w:b/>
          <w:i/>
          <w:sz w:val="20"/>
          <w:szCs w:val="20"/>
        </w:rPr>
      </w:pPr>
    </w:p>
    <w:p w:rsidR="007B21CF" w:rsidRDefault="001302C5" w:rsidP="000D7B00">
      <w:pPr>
        <w:jc w:val="center"/>
        <w:rPr>
          <w:b/>
          <w:i/>
          <w:sz w:val="20"/>
        </w:rPr>
      </w:pPr>
      <w:r>
        <w:rPr>
          <w:b/>
          <w:i/>
          <w:sz w:val="20"/>
        </w:rPr>
        <w:t>Fuente: Informes de Gestión</w:t>
      </w:r>
    </w:p>
    <w:p w:rsidR="000D7B00" w:rsidRDefault="000D7B00" w:rsidP="00732E87">
      <w:pPr>
        <w:pStyle w:val="Ttulo2"/>
        <w:numPr>
          <w:ilvl w:val="1"/>
          <w:numId w:val="21"/>
        </w:numPr>
        <w:spacing w:line="276" w:lineRule="auto"/>
      </w:pPr>
      <w:bookmarkStart w:id="90" w:name="_Toc290360677"/>
      <w:bookmarkStart w:id="91" w:name="_Toc319421852"/>
      <w:bookmarkStart w:id="92" w:name="_Toc350238227"/>
      <w:bookmarkStart w:id="93" w:name="_Toc354671330"/>
      <w:r w:rsidRPr="00610BD7">
        <w:t>Desarrollo Financiero</w:t>
      </w:r>
      <w:bookmarkEnd w:id="90"/>
      <w:bookmarkEnd w:id="91"/>
      <w:bookmarkEnd w:id="92"/>
      <w:bookmarkEnd w:id="93"/>
    </w:p>
    <w:p w:rsidR="000D7B00" w:rsidRDefault="000D7B00" w:rsidP="000D7B00">
      <w:pPr>
        <w:autoSpaceDE w:val="0"/>
        <w:autoSpaceDN w:val="0"/>
        <w:adjustRightInd w:val="0"/>
        <w:spacing w:after="0"/>
        <w:jc w:val="left"/>
      </w:pPr>
    </w:p>
    <w:p w:rsidR="000D7B00" w:rsidRPr="006073B2" w:rsidRDefault="000D7B00" w:rsidP="000D7B00">
      <w:pPr>
        <w:autoSpaceDE w:val="0"/>
        <w:autoSpaceDN w:val="0"/>
        <w:adjustRightInd w:val="0"/>
        <w:spacing w:after="0"/>
      </w:pPr>
      <w:r>
        <w:rPr>
          <w:rFonts w:cs="Calibri"/>
        </w:rPr>
        <w:t>El Desarrollo Financiero recoge los resultados de la universidad en la optimización de los ingresos, la adopción de nuevas líneas de financiamiento y la racionalización del uso de los recursos; en aras de buscar l</w:t>
      </w:r>
      <w:r w:rsidRPr="00FB457E">
        <w:t>a sostenibilidad financiera y la transparencia en la eje</w:t>
      </w:r>
      <w:r>
        <w:t>cución de los recursos públicos. Resultados que se presentan a continuación:</w:t>
      </w:r>
    </w:p>
    <w:p w:rsidR="000D7B00" w:rsidRDefault="000D7B00" w:rsidP="00CD336A">
      <w:pPr>
        <w:pStyle w:val="Ttulo3"/>
      </w:pPr>
      <w:bookmarkStart w:id="94" w:name="_Toc350238228"/>
      <w:bookmarkStart w:id="95" w:name="_Toc354671331"/>
      <w:r w:rsidRPr="00732E87">
        <w:t>Optimización de ingresos</w:t>
      </w:r>
      <w:bookmarkEnd w:id="94"/>
      <w:bookmarkEnd w:id="95"/>
      <w:r w:rsidRPr="00732E87">
        <w:t xml:space="preserve"> </w:t>
      </w:r>
    </w:p>
    <w:p w:rsidR="000D7B00" w:rsidRDefault="000D7B00" w:rsidP="000D7B00">
      <w:r>
        <w:t>A través de este componente se pretende lograr la optimización de los ingresos de la Institución, revisando las políticas internas y externas que permitan una mejora de los ingresos Propios y de la Nación. Durante la vigencia 2012 se tiene un logro de 20 puntos porcentuales sobre la meta proyectada, logro que se evidencia por el cumplimiento en la ejecución del plan operativo y por la optimización de los ingresos vs gastos</w:t>
      </w:r>
    </w:p>
    <w:p w:rsidR="000D7B00" w:rsidRPr="00DA3F17" w:rsidRDefault="000D7B00" w:rsidP="000D7B00">
      <w:r>
        <w:t>Lo anterior se ve reflejado con la consolidación de una propuesta financiera que permite minimizar e</w:t>
      </w:r>
      <w:r w:rsidRPr="00DA3F17">
        <w:t>l riesgo en la colocación de recursos, ayudar a financia el PDI y mejorar las condicio</w:t>
      </w:r>
      <w:r>
        <w:t xml:space="preserve">nes de vida de los funcionario, esta propuesta se encuentra </w:t>
      </w:r>
      <w:r w:rsidRPr="00DA3F17">
        <w:t>revis</w:t>
      </w:r>
      <w:r>
        <w:t xml:space="preserve">ada por la División Financiera y </w:t>
      </w:r>
      <w:r w:rsidRPr="00DA3F17">
        <w:t xml:space="preserve">está </w:t>
      </w:r>
      <w:r w:rsidRPr="00DA3F17">
        <w:lastRenderedPageBreak/>
        <w:t>pendiente la presentación a las diferentes instancias (Secretaria General, Rector, Consejo Acadé</w:t>
      </w:r>
      <w:r>
        <w:t>mico y Superior) para aprobación, adicionalmente se logró que el crecimiento de los ingresos estuviera por encima del crecimiento de los gastos</w:t>
      </w:r>
      <w:r w:rsidRPr="006235DC">
        <w:rPr>
          <w:rFonts w:cs="Arial"/>
        </w:rPr>
        <w:t>.</w:t>
      </w:r>
    </w:p>
    <w:p w:rsidR="000D7B00" w:rsidRDefault="000D7B00" w:rsidP="00A47486">
      <w:bookmarkStart w:id="96" w:name="_Toc350238229"/>
    </w:p>
    <w:p w:rsidR="000D7B00" w:rsidRPr="00732E87" w:rsidRDefault="000D7B00" w:rsidP="00732E87">
      <w:pPr>
        <w:pStyle w:val="Ttulo3"/>
      </w:pPr>
      <w:bookmarkStart w:id="97" w:name="_Toc354671332"/>
      <w:r w:rsidRPr="00732E87">
        <w:t>Nuevas líneas de financiamiento</w:t>
      </w:r>
      <w:bookmarkEnd w:id="96"/>
      <w:bookmarkEnd w:id="97"/>
      <w:r w:rsidRPr="00732E87">
        <w:t xml:space="preserve"> </w:t>
      </w:r>
    </w:p>
    <w:p w:rsidR="000D7B00" w:rsidRDefault="000D7B00" w:rsidP="000D7B00"/>
    <w:p w:rsidR="000D7B00" w:rsidRDefault="000D7B00" w:rsidP="000D7B00">
      <w:r>
        <w:t xml:space="preserve">Se logró un cumplimiento del 90.91% de las actividades estipuladas en el plan operativo, dentro de las cuales se encontraba el trabajo conjunto con la comisión del SUE y de Vicerrectores Administrativos en la recopilación de la información de las universidad públicas en variables como: docentes, administrativos, formación, sistemas de información, infraestructura, entre otras;  ejercicio que permitió la entrega final al SUE sobre el documento </w:t>
      </w:r>
      <w:r w:rsidRPr="00DA3F17">
        <w:t>"Desfinanciamiento de la E</w:t>
      </w:r>
      <w:r>
        <w:t>ducación Superior en Colombia" y así llegar a acuerdos con el Ministerio de Educación Nacional para buscar nuevas líneas de financiamiento para la Universidad</w:t>
      </w:r>
    </w:p>
    <w:p w:rsidR="000D7B00" w:rsidRDefault="000D7B00" w:rsidP="000D7B00"/>
    <w:p w:rsidR="000D7B00" w:rsidRPr="00732E87" w:rsidRDefault="000D7B00" w:rsidP="00732E87">
      <w:pPr>
        <w:pStyle w:val="Ttulo3"/>
      </w:pPr>
      <w:bookmarkStart w:id="98" w:name="_Toc350238230"/>
      <w:bookmarkStart w:id="99" w:name="_Toc354671333"/>
      <w:r w:rsidRPr="00732E87">
        <w:t>Racionalización del uso de los recursos</w:t>
      </w:r>
      <w:bookmarkEnd w:id="98"/>
      <w:bookmarkEnd w:id="99"/>
      <w:r w:rsidRPr="00732E87">
        <w:t xml:space="preserve"> </w:t>
      </w:r>
    </w:p>
    <w:p w:rsidR="000D7B00" w:rsidRDefault="000D7B00" w:rsidP="000D7B00">
      <w:pPr>
        <w:autoSpaceDE w:val="0"/>
        <w:autoSpaceDN w:val="0"/>
        <w:adjustRightInd w:val="0"/>
        <w:spacing w:after="0"/>
      </w:pPr>
    </w:p>
    <w:p w:rsidR="000D7B00" w:rsidRPr="00983F3E" w:rsidRDefault="000D7B00" w:rsidP="000D7B00">
      <w:r w:rsidRPr="00983F3E">
        <w:t xml:space="preserve">Este componente busca la </w:t>
      </w:r>
      <w:r>
        <w:t xml:space="preserve">revisión y </w:t>
      </w:r>
      <w:r w:rsidRPr="00983F3E">
        <w:t>adopción de políticas, procedimientos, simplificación de trámites que permitan la racionalización del uso de los recursos</w:t>
      </w:r>
      <w:r>
        <w:t xml:space="preserve">.  Durante la vigencia 2013 se tiene un logro del 87% alcanzado por el cumplimiento en el plan operativo y por el resultado obtenido en el proceso de </w:t>
      </w:r>
      <w:r w:rsidRPr="00983F3E">
        <w:t xml:space="preserve">revisión a los inventarios de la Universidad </w:t>
      </w:r>
      <w:r>
        <w:t xml:space="preserve">que permitió identificar los equipos </w:t>
      </w:r>
      <w:r w:rsidRPr="00983F3E">
        <w:t xml:space="preserve">aptos para dar de baja </w:t>
      </w:r>
      <w:r>
        <w:t xml:space="preserve">por valor de </w:t>
      </w:r>
      <w:r w:rsidRPr="00983F3E">
        <w:t xml:space="preserve"> $1.164 Millones, </w:t>
      </w:r>
      <w:r>
        <w:t xml:space="preserve">de los cuales se a 31 de diciembre se dieron de </w:t>
      </w:r>
      <w:r w:rsidRPr="00983F3E">
        <w:t xml:space="preserve">baja </w:t>
      </w:r>
      <w:r>
        <w:t>equipos</w:t>
      </w:r>
      <w:r w:rsidRPr="00983F3E">
        <w:t xml:space="preserve"> por valor de $864 Millones.</w:t>
      </w:r>
    </w:p>
    <w:p w:rsidR="000D7B00" w:rsidRPr="00983F3E" w:rsidRDefault="000D7B00" w:rsidP="000D7B00"/>
    <w:p w:rsidR="000D7B00" w:rsidRPr="00C801DB" w:rsidRDefault="000D7B00" w:rsidP="000D7B00">
      <w:r>
        <w:t>Durante el periodo de ejecución del Plan de Desarrollo Institucional, el componente Desarrollo financiero organizacional ha presentado los siguientes logros:</w:t>
      </w:r>
    </w:p>
    <w:p w:rsidR="000D7B00" w:rsidRDefault="000D7B00" w:rsidP="000D7B00">
      <w:pPr>
        <w:rPr>
          <w:rFonts w:cs="Calibri"/>
          <w:color w:val="000000"/>
        </w:rPr>
      </w:pPr>
      <w:r w:rsidRPr="008F1538">
        <w:rPr>
          <w:rFonts w:cs="Calibri"/>
          <w:b/>
          <w:bCs/>
          <w:color w:val="000000"/>
        </w:rPr>
        <w:t>Desarrollo financiero</w:t>
      </w:r>
      <w:r w:rsidRPr="00D60B1A">
        <w:rPr>
          <w:rFonts w:cs="Calibri"/>
          <w:b/>
          <w:bCs/>
          <w:color w:val="000000"/>
        </w:rPr>
        <w:t xml:space="preserve"> </w:t>
      </w:r>
      <w:r w:rsidRPr="00E87E0E">
        <w:rPr>
          <w:rFonts w:cs="Calibri"/>
          <w:color w:val="000000"/>
        </w:rPr>
        <w:t xml:space="preserve">= </w:t>
      </w:r>
      <w:r w:rsidRPr="008F1538">
        <w:rPr>
          <w:rFonts w:cs="Calibri"/>
          <w:color w:val="000000"/>
        </w:rPr>
        <w:t xml:space="preserve">OI * 40% + NFL * 20% + RUR * 40% </w:t>
      </w:r>
    </w:p>
    <w:p w:rsidR="000D7B00" w:rsidRDefault="000D7B00" w:rsidP="00C21E52">
      <w:pPr>
        <w:pStyle w:val="Prrafodelista"/>
        <w:numPr>
          <w:ilvl w:val="0"/>
          <w:numId w:val="31"/>
        </w:numPr>
        <w:autoSpaceDE w:val="0"/>
        <w:autoSpaceDN w:val="0"/>
        <w:adjustRightInd w:val="0"/>
        <w:spacing w:after="70"/>
      </w:pPr>
      <w:r>
        <w:t>OI: Optimización de ingresos</w:t>
      </w:r>
    </w:p>
    <w:p w:rsidR="000D7B00" w:rsidRPr="003131AE" w:rsidRDefault="000D7B00" w:rsidP="00C21E52">
      <w:pPr>
        <w:pStyle w:val="Prrafodelista"/>
        <w:numPr>
          <w:ilvl w:val="0"/>
          <w:numId w:val="31"/>
        </w:numPr>
        <w:autoSpaceDE w:val="0"/>
        <w:autoSpaceDN w:val="0"/>
        <w:adjustRightInd w:val="0"/>
        <w:spacing w:after="70"/>
      </w:pPr>
      <w:r>
        <w:t xml:space="preserve">NLF: Nuevas líneas de financiamiento </w:t>
      </w:r>
    </w:p>
    <w:p w:rsidR="000D7B00" w:rsidRDefault="000D7B00" w:rsidP="00C21E52">
      <w:pPr>
        <w:pStyle w:val="Prrafodelista"/>
        <w:numPr>
          <w:ilvl w:val="0"/>
          <w:numId w:val="31"/>
        </w:numPr>
        <w:autoSpaceDE w:val="0"/>
        <w:autoSpaceDN w:val="0"/>
        <w:adjustRightInd w:val="0"/>
        <w:spacing w:after="70"/>
      </w:pPr>
      <w:r>
        <w:t>RUR: Racionalización del uso de los recursos</w:t>
      </w:r>
    </w:p>
    <w:p w:rsidR="000D7B00" w:rsidRDefault="000D7B00" w:rsidP="000D7B00">
      <w:pPr>
        <w:pStyle w:val="Default"/>
        <w:jc w:val="both"/>
        <w:rPr>
          <w:rFonts w:asciiTheme="minorHAnsi" w:hAnsiTheme="minorHAnsi" w:cstheme="minorBidi"/>
          <w:color w:val="auto"/>
          <w:sz w:val="22"/>
          <w:szCs w:val="22"/>
        </w:rPr>
      </w:pPr>
    </w:p>
    <w:p w:rsidR="000D7B00" w:rsidRPr="00CB1558" w:rsidRDefault="000D7B00" w:rsidP="000D7B00">
      <w:pPr>
        <w:jc w:val="center"/>
        <w:rPr>
          <w:b/>
          <w:bCs/>
          <w:color w:val="000000" w:themeColor="text1"/>
        </w:rPr>
      </w:pPr>
      <w:r w:rsidRPr="00CB1558">
        <w:rPr>
          <w:b/>
          <w:bCs/>
          <w:color w:val="000000" w:themeColor="text1"/>
        </w:rPr>
        <w:t>Logros alcanzados Desarrollo Financiero para el año 2009 – 2012</w:t>
      </w:r>
    </w:p>
    <w:p w:rsidR="000D7B00" w:rsidRDefault="000D7B00" w:rsidP="000D7B00">
      <w:pPr>
        <w:jc w:val="center"/>
        <w:rPr>
          <w:bCs/>
          <w:color w:val="000000" w:themeColor="text1"/>
        </w:rPr>
      </w:pPr>
      <w:r w:rsidRPr="0069072F">
        <w:rPr>
          <w:noProof/>
          <w:lang w:val="es-CO" w:eastAsia="es-CO"/>
        </w:rPr>
        <w:drawing>
          <wp:inline distT="0" distB="0" distL="0" distR="0">
            <wp:extent cx="4772025" cy="1628775"/>
            <wp:effectExtent l="0" t="0" r="0" b="0"/>
            <wp:docPr id="55" name="1 Gráfico"/>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0D7B00" w:rsidRDefault="000D7B00" w:rsidP="000D7B00">
      <w:pPr>
        <w:jc w:val="center"/>
        <w:rPr>
          <w:b/>
          <w:i/>
          <w:sz w:val="20"/>
          <w:szCs w:val="20"/>
        </w:rPr>
      </w:pPr>
      <w:r w:rsidRPr="00354DFA">
        <w:rPr>
          <w:b/>
          <w:i/>
          <w:sz w:val="20"/>
          <w:szCs w:val="20"/>
        </w:rPr>
        <w:lastRenderedPageBreak/>
        <w:t xml:space="preserve">Fuente: </w:t>
      </w:r>
      <w:r>
        <w:rPr>
          <w:b/>
          <w:i/>
          <w:sz w:val="20"/>
          <w:szCs w:val="20"/>
        </w:rPr>
        <w:t>Informes de Gestión</w:t>
      </w:r>
    </w:p>
    <w:tbl>
      <w:tblPr>
        <w:tblStyle w:val="Cuadrculaclara-nfasis1"/>
        <w:tblW w:w="0" w:type="auto"/>
        <w:tblLook w:val="04A0" w:firstRow="1" w:lastRow="0" w:firstColumn="1" w:lastColumn="0" w:noHBand="0" w:noVBand="1"/>
      </w:tblPr>
      <w:tblGrid>
        <w:gridCol w:w="675"/>
        <w:gridCol w:w="8303"/>
      </w:tblGrid>
      <w:tr w:rsidR="00F63D3F" w:rsidRPr="002F438E" w:rsidTr="00C7418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75" w:type="dxa"/>
          </w:tcPr>
          <w:p w:rsidR="00F63D3F" w:rsidRPr="002F438E" w:rsidRDefault="00F63D3F" w:rsidP="00C7418E">
            <w:pPr>
              <w:jc w:val="center"/>
              <w:rPr>
                <w:sz w:val="18"/>
                <w:szCs w:val="18"/>
              </w:rPr>
            </w:pPr>
            <w:r w:rsidRPr="002F438E">
              <w:rPr>
                <w:sz w:val="18"/>
                <w:szCs w:val="18"/>
              </w:rPr>
              <w:t>Año</w:t>
            </w:r>
          </w:p>
        </w:tc>
        <w:tc>
          <w:tcPr>
            <w:tcW w:w="8303" w:type="dxa"/>
          </w:tcPr>
          <w:p w:rsidR="00F63D3F" w:rsidRPr="002F438E" w:rsidRDefault="00F63D3F" w:rsidP="00C7418E">
            <w:pPr>
              <w:jc w:val="center"/>
              <w:cnfStyle w:val="100000000000" w:firstRow="1" w:lastRow="0" w:firstColumn="0" w:lastColumn="0" w:oddVBand="0" w:evenVBand="0" w:oddHBand="0" w:evenHBand="0" w:firstRowFirstColumn="0" w:firstRowLastColumn="0" w:lastRowFirstColumn="0" w:lastRowLastColumn="0"/>
              <w:rPr>
                <w:sz w:val="18"/>
                <w:szCs w:val="18"/>
              </w:rPr>
            </w:pPr>
            <w:r w:rsidRPr="002F438E">
              <w:rPr>
                <w:sz w:val="18"/>
                <w:szCs w:val="18"/>
              </w:rPr>
              <w:t>Resultados</w:t>
            </w:r>
          </w:p>
        </w:tc>
      </w:tr>
      <w:tr w:rsidR="00F63D3F" w:rsidRPr="002F438E" w:rsidTr="00C7418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75" w:type="dxa"/>
            <w:vAlign w:val="center"/>
          </w:tcPr>
          <w:p w:rsidR="00F63D3F" w:rsidRPr="002A030C" w:rsidRDefault="00F63D3F" w:rsidP="00C7418E">
            <w:pPr>
              <w:jc w:val="center"/>
              <w:rPr>
                <w:sz w:val="18"/>
                <w:szCs w:val="18"/>
              </w:rPr>
            </w:pPr>
            <w:r w:rsidRPr="002A030C">
              <w:rPr>
                <w:sz w:val="18"/>
                <w:szCs w:val="18"/>
              </w:rPr>
              <w:t>2009</w:t>
            </w:r>
          </w:p>
        </w:tc>
        <w:tc>
          <w:tcPr>
            <w:tcW w:w="8303" w:type="dxa"/>
          </w:tcPr>
          <w:p w:rsidR="00F63D3F" w:rsidRPr="00F63D3F" w:rsidRDefault="00F63D3F" w:rsidP="00C21E52">
            <w:pPr>
              <w:pStyle w:val="Prrafodelista"/>
              <w:numPr>
                <w:ilvl w:val="0"/>
                <w:numId w:val="41"/>
              </w:numPr>
              <w:spacing w:after="200" w:line="276" w:lineRule="auto"/>
              <w:ind w:left="389"/>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F63D3F">
              <w:rPr>
                <w:color w:val="000000" w:themeColor="text1"/>
                <w:sz w:val="20"/>
                <w:szCs w:val="20"/>
              </w:rPr>
              <w:t>Se intervino en su totalidad las actividades propuestas con respecto a la matrícula académica y financiera específicamente determinación de cupos máximos por asignatura y topes en la contratación de monitores permitiendo una racionalización en el uso de los recursos.</w:t>
            </w:r>
          </w:p>
        </w:tc>
      </w:tr>
      <w:tr w:rsidR="00F63D3F" w:rsidRPr="002F438E" w:rsidTr="00C7418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75" w:type="dxa"/>
            <w:vAlign w:val="center"/>
          </w:tcPr>
          <w:p w:rsidR="00F63D3F" w:rsidRPr="002A030C" w:rsidRDefault="00F63D3F" w:rsidP="00C7418E">
            <w:pPr>
              <w:jc w:val="center"/>
              <w:rPr>
                <w:sz w:val="18"/>
                <w:szCs w:val="18"/>
              </w:rPr>
            </w:pPr>
            <w:r w:rsidRPr="002A030C">
              <w:rPr>
                <w:sz w:val="18"/>
                <w:szCs w:val="18"/>
              </w:rPr>
              <w:t>2010</w:t>
            </w:r>
          </w:p>
        </w:tc>
        <w:tc>
          <w:tcPr>
            <w:tcW w:w="8303" w:type="dxa"/>
          </w:tcPr>
          <w:p w:rsidR="00F63D3F" w:rsidRPr="00F63D3F" w:rsidRDefault="00F63D3F" w:rsidP="00C21E52">
            <w:pPr>
              <w:pStyle w:val="Prrafodelista"/>
              <w:numPr>
                <w:ilvl w:val="0"/>
                <w:numId w:val="41"/>
              </w:numPr>
              <w:spacing w:after="200" w:line="276" w:lineRule="auto"/>
              <w:ind w:left="389"/>
              <w:cnfStyle w:val="000000010000" w:firstRow="0" w:lastRow="0" w:firstColumn="0" w:lastColumn="0" w:oddVBand="0" w:evenVBand="0" w:oddHBand="0" w:evenHBand="1" w:firstRowFirstColumn="0" w:firstRowLastColumn="0" w:lastRowFirstColumn="0" w:lastRowLastColumn="0"/>
              <w:rPr>
                <w:color w:val="000000" w:themeColor="text1"/>
                <w:sz w:val="20"/>
                <w:szCs w:val="20"/>
              </w:rPr>
            </w:pPr>
            <w:r w:rsidRPr="00F63D3F">
              <w:rPr>
                <w:color w:val="000000" w:themeColor="text1"/>
                <w:sz w:val="20"/>
                <w:szCs w:val="20"/>
              </w:rPr>
              <w:t>Se obtuvo racionalización de los servicios de préstamo de auditorios, uso eficiente a los espacios del Jardín.</w:t>
            </w:r>
          </w:p>
          <w:p w:rsidR="00F63D3F" w:rsidRPr="00F63D3F" w:rsidRDefault="00F63D3F" w:rsidP="00C21E52">
            <w:pPr>
              <w:pStyle w:val="Prrafodelista"/>
              <w:numPr>
                <w:ilvl w:val="0"/>
                <w:numId w:val="41"/>
              </w:numPr>
              <w:spacing w:after="200" w:line="276" w:lineRule="auto"/>
              <w:ind w:left="389"/>
              <w:cnfStyle w:val="000000010000" w:firstRow="0" w:lastRow="0" w:firstColumn="0" w:lastColumn="0" w:oddVBand="0" w:evenVBand="0" w:oddHBand="0" w:evenHBand="1" w:firstRowFirstColumn="0" w:firstRowLastColumn="0" w:lastRowFirstColumn="0" w:lastRowLastColumn="0"/>
              <w:rPr>
                <w:color w:val="000000" w:themeColor="text1"/>
                <w:sz w:val="20"/>
                <w:szCs w:val="20"/>
              </w:rPr>
            </w:pPr>
            <w:r w:rsidRPr="00F63D3F">
              <w:rPr>
                <w:color w:val="000000" w:themeColor="text1"/>
                <w:sz w:val="20"/>
                <w:szCs w:val="20"/>
              </w:rPr>
              <w:t>Reducción de gastos en material de publicaciones por la implementación de asignación de vales para fotocopias en el área académica y administrativa.</w:t>
            </w:r>
          </w:p>
          <w:p w:rsidR="00F63D3F" w:rsidRPr="00F63D3F" w:rsidRDefault="00F63D3F" w:rsidP="00C21E52">
            <w:pPr>
              <w:pStyle w:val="Prrafodelista"/>
              <w:numPr>
                <w:ilvl w:val="0"/>
                <w:numId w:val="41"/>
              </w:numPr>
              <w:spacing w:after="200" w:line="276" w:lineRule="auto"/>
              <w:ind w:left="389"/>
              <w:cnfStyle w:val="000000010000" w:firstRow="0" w:lastRow="0" w:firstColumn="0" w:lastColumn="0" w:oddVBand="0" w:evenVBand="0" w:oddHBand="0" w:evenHBand="1" w:firstRowFirstColumn="0" w:firstRowLastColumn="0" w:lastRowFirstColumn="0" w:lastRowLastColumn="0"/>
              <w:rPr>
                <w:color w:val="000000" w:themeColor="text1"/>
                <w:sz w:val="20"/>
                <w:szCs w:val="20"/>
              </w:rPr>
            </w:pPr>
            <w:r w:rsidRPr="00F63D3F">
              <w:rPr>
                <w:color w:val="000000" w:themeColor="text1"/>
                <w:sz w:val="20"/>
                <w:szCs w:val="20"/>
              </w:rPr>
              <w:t xml:space="preserve">Se logró gestión de recursos adicionales como los temas de: Votaciones, ICFES y aumento de cobertura. </w:t>
            </w:r>
          </w:p>
        </w:tc>
      </w:tr>
      <w:tr w:rsidR="00F63D3F" w:rsidRPr="002F438E" w:rsidTr="00C7418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75" w:type="dxa"/>
            <w:vAlign w:val="center"/>
          </w:tcPr>
          <w:p w:rsidR="00F63D3F" w:rsidRPr="002A030C" w:rsidRDefault="00F63D3F" w:rsidP="00C7418E">
            <w:pPr>
              <w:jc w:val="center"/>
              <w:rPr>
                <w:sz w:val="18"/>
                <w:szCs w:val="18"/>
              </w:rPr>
            </w:pPr>
            <w:r w:rsidRPr="002A030C">
              <w:rPr>
                <w:sz w:val="18"/>
                <w:szCs w:val="18"/>
              </w:rPr>
              <w:t>2011</w:t>
            </w:r>
          </w:p>
        </w:tc>
        <w:tc>
          <w:tcPr>
            <w:tcW w:w="8303" w:type="dxa"/>
          </w:tcPr>
          <w:p w:rsidR="00F63D3F" w:rsidRPr="00F63D3F" w:rsidRDefault="00F63D3F" w:rsidP="00C21E52">
            <w:pPr>
              <w:pStyle w:val="Prrafodelista"/>
              <w:numPr>
                <w:ilvl w:val="0"/>
                <w:numId w:val="41"/>
              </w:numPr>
              <w:spacing w:after="200" w:line="276" w:lineRule="auto"/>
              <w:ind w:left="389"/>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F63D3F">
              <w:rPr>
                <w:color w:val="000000" w:themeColor="text1"/>
                <w:sz w:val="20"/>
                <w:szCs w:val="20"/>
              </w:rPr>
              <w:t xml:space="preserve">Se optimizaron los ingresos por derechos académicos y redes, dado que estos fueron discriminados en los recibos de pago de matrícula de los programas de pregrado jornada especial  El crecimiento de los ingresos estuvo por encima del crecimiento de los gastos. </w:t>
            </w:r>
          </w:p>
          <w:p w:rsidR="00F63D3F" w:rsidRPr="00F63D3F" w:rsidRDefault="00F63D3F" w:rsidP="00C21E52">
            <w:pPr>
              <w:pStyle w:val="Prrafodelista"/>
              <w:numPr>
                <w:ilvl w:val="0"/>
                <w:numId w:val="41"/>
              </w:numPr>
              <w:spacing w:after="200" w:line="276" w:lineRule="auto"/>
              <w:ind w:left="389"/>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F63D3F">
              <w:rPr>
                <w:color w:val="000000" w:themeColor="text1"/>
                <w:sz w:val="20"/>
                <w:szCs w:val="20"/>
              </w:rPr>
              <w:t>Se optimizaron los ingresos por matrícula a través de los CERES, aplicando el incremento en SMMLV.</w:t>
            </w:r>
          </w:p>
          <w:p w:rsidR="00F63D3F" w:rsidRPr="00F63D3F" w:rsidRDefault="00F63D3F" w:rsidP="00C21E52">
            <w:pPr>
              <w:pStyle w:val="Prrafodelista"/>
              <w:numPr>
                <w:ilvl w:val="0"/>
                <w:numId w:val="41"/>
              </w:numPr>
              <w:spacing w:after="200" w:line="276" w:lineRule="auto"/>
              <w:ind w:left="389"/>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F63D3F">
              <w:rPr>
                <w:color w:val="000000" w:themeColor="text1"/>
                <w:sz w:val="20"/>
                <w:szCs w:val="20"/>
              </w:rPr>
              <w:t>Se logró la aprobación del Decreto 4970 de liquidación de presupuesto en el cual se aprobó la disminución de recursos de concurrencia pensional por valor de $9.000 Millones  lo cual generaba una amenaza que afectaría la financiación del presupuesto de funcionamiento y el fondo de pensiones.</w:t>
            </w:r>
          </w:p>
          <w:p w:rsidR="00F63D3F" w:rsidRPr="00F63D3F" w:rsidRDefault="00F63D3F" w:rsidP="00C21E52">
            <w:pPr>
              <w:pStyle w:val="Prrafodelista"/>
              <w:numPr>
                <w:ilvl w:val="0"/>
                <w:numId w:val="41"/>
              </w:numPr>
              <w:spacing w:after="200" w:line="276" w:lineRule="auto"/>
              <w:ind w:left="389"/>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F63D3F">
              <w:rPr>
                <w:color w:val="000000" w:themeColor="text1"/>
                <w:sz w:val="20"/>
                <w:szCs w:val="20"/>
              </w:rPr>
              <w:t>Se tuvo un avance sobre la propuesta normativa con respecto al catálogo general de cuentas de inventarios y la visita en campo para clasificar los inventarios de algunas dependencias académicas y administrativas.</w:t>
            </w:r>
          </w:p>
          <w:p w:rsidR="00F63D3F" w:rsidRPr="00F63D3F" w:rsidRDefault="00F63D3F" w:rsidP="00C21E52">
            <w:pPr>
              <w:pStyle w:val="Prrafodelista"/>
              <w:numPr>
                <w:ilvl w:val="0"/>
                <w:numId w:val="41"/>
              </w:numPr>
              <w:spacing w:after="200" w:line="276" w:lineRule="auto"/>
              <w:ind w:left="389"/>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F63D3F">
              <w:rPr>
                <w:color w:val="000000" w:themeColor="text1"/>
                <w:sz w:val="20"/>
                <w:szCs w:val="20"/>
              </w:rPr>
              <w:t>Implementación de la política para controlar el consumo de combustible de los vehículos oficiales y de las plantas eléctricas de los diferentes bloques de la UTP, generando un ahorro del 44.21% en los gastos de suministro de combustible.</w:t>
            </w:r>
          </w:p>
        </w:tc>
      </w:tr>
    </w:tbl>
    <w:p w:rsidR="00F63D3F" w:rsidRDefault="00F63D3F" w:rsidP="000D7B00">
      <w:pPr>
        <w:jc w:val="center"/>
        <w:rPr>
          <w:b/>
          <w:i/>
          <w:sz w:val="20"/>
          <w:szCs w:val="20"/>
        </w:rPr>
      </w:pPr>
      <w:r>
        <w:rPr>
          <w:b/>
          <w:i/>
          <w:sz w:val="20"/>
          <w:szCs w:val="20"/>
        </w:rPr>
        <w:t>Fuente: Informes de Gestión</w:t>
      </w:r>
    </w:p>
    <w:p w:rsidR="00F63D3F" w:rsidRPr="00F856BB" w:rsidRDefault="00F63D3F" w:rsidP="000D7B00">
      <w:pPr>
        <w:jc w:val="center"/>
        <w:rPr>
          <w:bCs/>
          <w:color w:val="000000" w:themeColor="text1"/>
        </w:rPr>
      </w:pPr>
    </w:p>
    <w:p w:rsidR="000D7B00" w:rsidRDefault="000D7B00" w:rsidP="000D7B00">
      <w:pPr>
        <w:jc w:val="center"/>
        <w:rPr>
          <w:b/>
          <w:i/>
          <w:sz w:val="20"/>
          <w:szCs w:val="20"/>
        </w:rPr>
      </w:pPr>
    </w:p>
    <w:p w:rsidR="000D7B00" w:rsidRDefault="000D7B00" w:rsidP="000D7B00">
      <w:pPr>
        <w:spacing w:after="0"/>
        <w:jc w:val="center"/>
        <w:rPr>
          <w:b/>
          <w:i/>
          <w:sz w:val="20"/>
          <w:szCs w:val="20"/>
        </w:rPr>
      </w:pPr>
    </w:p>
    <w:p w:rsidR="000D7B00" w:rsidRDefault="000D7B00" w:rsidP="000D7B00">
      <w:pPr>
        <w:jc w:val="center"/>
        <w:rPr>
          <w:b/>
          <w:i/>
          <w:sz w:val="20"/>
        </w:rPr>
      </w:pPr>
    </w:p>
    <w:p w:rsidR="008A45BD" w:rsidRDefault="008A45BD">
      <w:pPr>
        <w:spacing w:after="200" w:line="276" w:lineRule="auto"/>
        <w:jc w:val="left"/>
        <w:rPr>
          <w:rFonts w:asciiTheme="minorHAnsi" w:hAnsiTheme="minorHAnsi" w:cs="Arial"/>
        </w:rPr>
      </w:pPr>
      <w:r>
        <w:rPr>
          <w:rFonts w:asciiTheme="minorHAnsi" w:hAnsiTheme="minorHAnsi" w:cs="Arial"/>
        </w:rPr>
        <w:br w:type="page"/>
      </w:r>
    </w:p>
    <w:p w:rsidR="00B963FC" w:rsidRPr="00535E30" w:rsidRDefault="00535E30" w:rsidP="00C0346D">
      <w:pPr>
        <w:pStyle w:val="Ttulo2"/>
        <w:numPr>
          <w:ilvl w:val="1"/>
          <w:numId w:val="21"/>
        </w:numPr>
        <w:spacing w:line="276" w:lineRule="auto"/>
      </w:pPr>
      <w:bookmarkStart w:id="100" w:name="_Toc304826938"/>
      <w:bookmarkStart w:id="101" w:name="_Toc347392844"/>
      <w:bookmarkStart w:id="102" w:name="_Toc354671334"/>
      <w:r w:rsidRPr="00535E30">
        <w:rPr>
          <w:caps w:val="0"/>
        </w:rPr>
        <w:lastRenderedPageBreak/>
        <w:t>COBERTURA CON CALIDAD</w:t>
      </w:r>
      <w:bookmarkEnd w:id="100"/>
      <w:bookmarkEnd w:id="101"/>
      <w:bookmarkEnd w:id="102"/>
    </w:p>
    <w:p w:rsidR="00B963FC" w:rsidRPr="00535E30" w:rsidRDefault="00B963FC" w:rsidP="00F80905">
      <w:pPr>
        <w:spacing w:after="0" w:line="276" w:lineRule="auto"/>
        <w:rPr>
          <w:rFonts w:asciiTheme="minorHAnsi" w:hAnsiTheme="minorHAnsi" w:cs="Arial"/>
          <w:b/>
        </w:rPr>
      </w:pPr>
    </w:p>
    <w:p w:rsidR="00A627CB" w:rsidRPr="00BF0335" w:rsidRDefault="00A627CB" w:rsidP="00732E87">
      <w:r w:rsidRPr="00BF0335">
        <w:t>El objetivo de cobertura con calidad plantea acciones que tienen como reto garantizar el acceso a programas de calidad en pregrado y postgrado a una proporción de personas de una población potencial, de acuerdo con la capacidad instalada, posibilidades y proyecciones de crecimiento, con currículos universales, flexibles y pertinentes que contengan propuestas innovadoras en materia pedagógica e investigativa cuya formación integral, ética y humana les permita asumir las responsabilidades sociales que el presente siglo demande, todo esto articulado con la educación básica y media</w:t>
      </w:r>
      <w:r>
        <w:t>.</w:t>
      </w:r>
    </w:p>
    <w:p w:rsidR="00A627CB" w:rsidRPr="00BF0335" w:rsidRDefault="00A627CB" w:rsidP="00732E87">
      <w:r w:rsidRPr="00BF0335">
        <w:t xml:space="preserve">En términos generales, el Objetivo de Cobertura con calidad obtuvo un nivel de cumplimiento a nivel de propósitos del </w:t>
      </w:r>
      <w:r w:rsidRPr="00BF0335">
        <w:rPr>
          <w:b/>
        </w:rPr>
        <w:t>95.93%</w:t>
      </w:r>
      <w:r w:rsidRPr="00BF0335">
        <w:t xml:space="preserve">, en el nivel de componentes de </w:t>
      </w:r>
      <w:r>
        <w:rPr>
          <w:b/>
        </w:rPr>
        <w:t>95.93%</w:t>
      </w:r>
      <w:r w:rsidRPr="00BF0335">
        <w:t xml:space="preserve"> y en el nivel de proyectos del </w:t>
      </w:r>
      <w:r>
        <w:rPr>
          <w:b/>
        </w:rPr>
        <w:t>96.84%</w:t>
      </w:r>
      <w:r w:rsidRPr="00BF0335">
        <w:t>. Los resultados contemplan los siguientes aspectos:</w:t>
      </w:r>
    </w:p>
    <w:p w:rsidR="00A627CB" w:rsidRPr="00BF0335" w:rsidRDefault="00A627CB" w:rsidP="00A627CB">
      <w:pPr>
        <w:spacing w:after="0"/>
        <w:rPr>
          <w:rFonts w:ascii="Maiandra GD" w:hAnsi="Maiandra GD"/>
          <w:sz w:val="24"/>
          <w:highlight w:val="yellow"/>
        </w:rPr>
      </w:pPr>
    </w:p>
    <w:p w:rsidR="00A627CB" w:rsidRPr="00CB7CD2" w:rsidRDefault="00A627CB" w:rsidP="00732E87">
      <w:pPr>
        <w:pStyle w:val="Ttulo3"/>
      </w:pPr>
      <w:bookmarkStart w:id="103" w:name="_Toc319328941"/>
      <w:bookmarkStart w:id="104" w:name="_Toc319421854"/>
      <w:bookmarkStart w:id="105" w:name="_Toc354671335"/>
      <w:r w:rsidRPr="00CB7CD2">
        <w:t>Absorción de la Educación Media</w:t>
      </w:r>
      <w:bookmarkEnd w:id="103"/>
      <w:bookmarkEnd w:id="104"/>
      <w:bookmarkEnd w:id="105"/>
    </w:p>
    <w:p w:rsidR="00A627CB" w:rsidRPr="00CB7CD2" w:rsidRDefault="00A627CB" w:rsidP="00A627CB">
      <w:pPr>
        <w:pStyle w:val="Prrafodelista"/>
        <w:spacing w:after="0"/>
        <w:ind w:left="0"/>
        <w:rPr>
          <w:rFonts w:ascii="Maiandra GD" w:hAnsi="Maiandra GD"/>
          <w:b/>
          <w:sz w:val="24"/>
          <w:szCs w:val="24"/>
        </w:rPr>
      </w:pPr>
    </w:p>
    <w:p w:rsidR="00A627CB" w:rsidRDefault="00A627CB" w:rsidP="00732E87">
      <w:r w:rsidRPr="00CB7CD2">
        <w:t xml:space="preserve">La absorción de la educación media calcula la relación del número de estudiantes que se matricularon por primera vez en la Universidad en programas de pregrado en el </w:t>
      </w:r>
      <w:r w:rsidRPr="00C73FE5">
        <w:rPr>
          <w:b/>
        </w:rPr>
        <w:t>2012</w:t>
      </w:r>
      <w:r w:rsidRPr="00CB7CD2">
        <w:t xml:space="preserve"> y el número de estudiantes que se graduaron en la educación media en el departamento de Risaralda en el </w:t>
      </w:r>
      <w:r w:rsidRPr="00C73FE5">
        <w:rPr>
          <w:b/>
        </w:rPr>
        <w:t>2011</w:t>
      </w:r>
      <w:r w:rsidRPr="00CB7CD2">
        <w:t>.</w:t>
      </w:r>
    </w:p>
    <w:p w:rsidR="00A627CB" w:rsidRPr="00732E87" w:rsidRDefault="00A627CB" w:rsidP="00732E87">
      <w:pPr>
        <w:jc w:val="center"/>
        <w:rPr>
          <w:b/>
          <w:color w:val="000000" w:themeColor="text1"/>
        </w:rPr>
      </w:pPr>
      <w:r w:rsidRPr="00732E87">
        <w:rPr>
          <w:b/>
          <w:color w:val="000000" w:themeColor="text1"/>
        </w:rPr>
        <w:t>Resultados - Metas Absorción de la Educación media.</w:t>
      </w:r>
    </w:p>
    <w:p w:rsidR="00A627CB" w:rsidRPr="00CB7CD2" w:rsidRDefault="00A627CB" w:rsidP="00732E87">
      <w:pPr>
        <w:jc w:val="center"/>
        <w:rPr>
          <w:b/>
        </w:rPr>
      </w:pPr>
      <w:r w:rsidRPr="00CB7CD2">
        <w:rPr>
          <w:noProof/>
          <w:lang w:val="es-CO" w:eastAsia="es-CO"/>
        </w:rPr>
        <w:drawing>
          <wp:inline distT="0" distB="0" distL="0" distR="0">
            <wp:extent cx="4772025" cy="2562225"/>
            <wp:effectExtent l="19050" t="0" r="0" b="0"/>
            <wp:docPr id="96" name="1 Gráfico"/>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A627CB" w:rsidRPr="00CB7CD2" w:rsidRDefault="00A627CB" w:rsidP="00732E87">
      <w:pPr>
        <w:jc w:val="center"/>
        <w:rPr>
          <w:b/>
          <w:i/>
        </w:rPr>
      </w:pPr>
      <w:r w:rsidRPr="00CB7CD2">
        <w:rPr>
          <w:b/>
          <w:i/>
        </w:rPr>
        <w:t>Fuente: SIGOB</w:t>
      </w:r>
    </w:p>
    <w:p w:rsidR="00A627CB" w:rsidRDefault="00A627CB" w:rsidP="00732E87">
      <w:r w:rsidRPr="00CB7CD2">
        <w:t xml:space="preserve">Este indicador reporta un </w:t>
      </w:r>
      <w:r>
        <w:t xml:space="preserve">resultado </w:t>
      </w:r>
      <w:r w:rsidRPr="00CB7CD2">
        <w:t xml:space="preserve">del </w:t>
      </w:r>
      <w:r w:rsidRPr="00F0322A">
        <w:rPr>
          <w:b/>
        </w:rPr>
        <w:t>36.95%</w:t>
      </w:r>
      <w:r w:rsidRPr="00CB7CD2">
        <w:t xml:space="preserve">, correspondiente a un nivel de cumplimiento del </w:t>
      </w:r>
      <w:r w:rsidRPr="00F0322A">
        <w:rPr>
          <w:b/>
        </w:rPr>
        <w:t>92.38%</w:t>
      </w:r>
      <w:r w:rsidRPr="00CB7CD2">
        <w:t xml:space="preserve"> de la meta propuesta para la vigencia de </w:t>
      </w:r>
      <w:r w:rsidRPr="00F0322A">
        <w:rPr>
          <w:b/>
        </w:rPr>
        <w:t>4</w:t>
      </w:r>
      <w:r>
        <w:rPr>
          <w:b/>
        </w:rPr>
        <w:t>0</w:t>
      </w:r>
      <w:r w:rsidRPr="00F0322A">
        <w:rPr>
          <w:b/>
        </w:rPr>
        <w:t>%</w:t>
      </w:r>
      <w:r w:rsidRPr="00CB7CD2">
        <w:t xml:space="preserve">. Para su cálculo se tomó del total de </w:t>
      </w:r>
      <w:r w:rsidRPr="00CC1582">
        <w:rPr>
          <w:b/>
        </w:rPr>
        <w:t>3.905 estudiantes</w:t>
      </w:r>
      <w:r w:rsidRPr="00CB7CD2">
        <w:t xml:space="preserve"> matriculados por primera vez durante el año </w:t>
      </w:r>
      <w:r w:rsidRPr="00C73FE5">
        <w:rPr>
          <w:b/>
        </w:rPr>
        <w:t>2012</w:t>
      </w:r>
      <w:r w:rsidRPr="00CB7CD2">
        <w:t xml:space="preserve"> sobre </w:t>
      </w:r>
      <w:r w:rsidRPr="00CC1582">
        <w:rPr>
          <w:b/>
        </w:rPr>
        <w:t>10.568 estudiantes</w:t>
      </w:r>
      <w:r w:rsidRPr="00CB7CD2">
        <w:t xml:space="preserve"> graduados en educación media a nivel departamental en el año </w:t>
      </w:r>
      <w:r w:rsidRPr="00C73FE5">
        <w:rPr>
          <w:b/>
        </w:rPr>
        <w:t>2011</w:t>
      </w:r>
      <w:r w:rsidRPr="00CB7CD2">
        <w:t>.</w:t>
      </w:r>
    </w:p>
    <w:p w:rsidR="00A627CB" w:rsidRDefault="00A627CB" w:rsidP="00A627CB">
      <w:pPr>
        <w:spacing w:after="0"/>
        <w:rPr>
          <w:rFonts w:ascii="Maiandra GD" w:hAnsi="Maiandra GD"/>
          <w:sz w:val="20"/>
          <w:szCs w:val="20"/>
        </w:rPr>
      </w:pPr>
    </w:p>
    <w:p w:rsidR="00A627CB" w:rsidRDefault="00A627CB" w:rsidP="00732E87">
      <w:pPr>
        <w:pStyle w:val="Ttulo4"/>
      </w:pPr>
      <w:r>
        <w:lastRenderedPageBreak/>
        <w:t>Tendencia de la Absorción de la Educación Media</w:t>
      </w:r>
    </w:p>
    <w:p w:rsidR="00A627CB" w:rsidRDefault="00A627CB" w:rsidP="00A627CB">
      <w:pPr>
        <w:spacing w:after="0"/>
        <w:rPr>
          <w:rFonts w:ascii="Maiandra GD" w:hAnsi="Maiandra GD"/>
          <w:b/>
          <w:sz w:val="20"/>
          <w:szCs w:val="20"/>
        </w:rPr>
      </w:pPr>
    </w:p>
    <w:p w:rsidR="00A627CB" w:rsidRDefault="00A627CB" w:rsidP="00732E87">
      <w:r>
        <w:t xml:space="preserve">Con relación a la evolución de este indicador, se puede observar como a partir del año </w:t>
      </w:r>
      <w:r w:rsidRPr="00C73FE5">
        <w:rPr>
          <w:b/>
        </w:rPr>
        <w:t>2011</w:t>
      </w:r>
      <w:r>
        <w:t xml:space="preserve"> este ha venido en decrecimiento, esto se debe a que el número de graduados de la educación media viene en constante aumento, por otro lado, la Universidad se ha mantenido relativamente estable en la oferta de cupos debido a las capacidades institucionales, cabe destacar, que en los últimos años la oferta académica en el departamento se viene diversificando.</w:t>
      </w:r>
    </w:p>
    <w:p w:rsidR="00A627CB" w:rsidRPr="00C10558" w:rsidRDefault="00C10558" w:rsidP="00732E87">
      <w:r w:rsidRPr="00C10558">
        <w:t>También es importante resaltar que se ha venido incrementando año tras año el número de graduados de la Educación media, esto como fruto de las políticas nacionales y departamentales orientadas a incrementar la cobertura en la educación básica y media.</w:t>
      </w:r>
    </w:p>
    <w:p w:rsidR="00A627CB" w:rsidRDefault="00A627CB" w:rsidP="00A627CB">
      <w:pPr>
        <w:spacing w:after="0"/>
        <w:rPr>
          <w:rFonts w:ascii="Maiandra GD" w:hAnsi="Maiandra GD"/>
          <w:b/>
          <w:sz w:val="20"/>
          <w:szCs w:val="20"/>
        </w:rPr>
      </w:pPr>
    </w:p>
    <w:p w:rsidR="00A627CB" w:rsidRDefault="00A627CB" w:rsidP="00A627CB">
      <w:pPr>
        <w:spacing w:after="0"/>
        <w:jc w:val="center"/>
        <w:rPr>
          <w:rFonts w:ascii="Maiandra GD" w:hAnsi="Maiandra GD"/>
          <w:b/>
          <w:sz w:val="20"/>
          <w:szCs w:val="20"/>
        </w:rPr>
      </w:pPr>
      <w:r>
        <w:rPr>
          <w:noProof/>
          <w:lang w:val="es-CO" w:eastAsia="es-CO"/>
        </w:rPr>
        <w:drawing>
          <wp:inline distT="0" distB="0" distL="0" distR="0">
            <wp:extent cx="4572000" cy="2743200"/>
            <wp:effectExtent l="0" t="0" r="0" b="0"/>
            <wp:docPr id="2" name="Grá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A627CB" w:rsidRPr="00732E87" w:rsidRDefault="00A627CB" w:rsidP="00732E87">
      <w:pPr>
        <w:jc w:val="center"/>
        <w:rPr>
          <w:b/>
        </w:rPr>
      </w:pPr>
      <w:r w:rsidRPr="00732E87">
        <w:rPr>
          <w:b/>
        </w:rPr>
        <w:t>Fuente: MEN – Base de Datos del Centro de Registro y Control Académico</w:t>
      </w:r>
    </w:p>
    <w:p w:rsidR="00A627CB" w:rsidRDefault="00A627CB" w:rsidP="00732E87"/>
    <w:p w:rsidR="00A627CB" w:rsidRPr="000342C2" w:rsidRDefault="00A627CB" w:rsidP="00732E87">
      <w:r>
        <w:t xml:space="preserve">Nota: Los valores del indicador de absorción de la educación media aquí calculados pueden variar frente a los reportados en el Sistema de Gerencia de los años anteriores, esto dado que se ha venido consolidando los valores reportados por el MEN acerca del número de graduados de la educación media, y también dado que en el año </w:t>
      </w:r>
      <w:r w:rsidRPr="00C73FE5">
        <w:rPr>
          <w:b/>
        </w:rPr>
        <w:t>2012</w:t>
      </w:r>
      <w:r>
        <w:t xml:space="preserve"> se realizó una mejora al indicador calculando la absorción bruta, ya que antes se tomaba como neta; por tanto, se recalcularon los valores de los años anteriores con la nueva medición.</w:t>
      </w:r>
    </w:p>
    <w:p w:rsidR="00A627CB" w:rsidRPr="00BF0335" w:rsidRDefault="00A627CB" w:rsidP="00A627CB">
      <w:pPr>
        <w:spacing w:after="0"/>
        <w:rPr>
          <w:rFonts w:ascii="Maiandra GD" w:hAnsi="Maiandra GD"/>
          <w:sz w:val="24"/>
          <w:szCs w:val="24"/>
          <w:highlight w:val="yellow"/>
        </w:rPr>
      </w:pPr>
    </w:p>
    <w:p w:rsidR="00A627CB" w:rsidRPr="003009E9" w:rsidRDefault="00A627CB" w:rsidP="00732E87">
      <w:pPr>
        <w:pStyle w:val="Ttulo3"/>
      </w:pPr>
      <w:bookmarkStart w:id="106" w:name="_Toc319328942"/>
      <w:bookmarkStart w:id="107" w:name="_Toc319421855"/>
      <w:bookmarkStart w:id="108" w:name="_Toc354671336"/>
      <w:r w:rsidRPr="003009E9">
        <w:t>Absorción de la Educación Superior</w:t>
      </w:r>
      <w:bookmarkEnd w:id="106"/>
      <w:bookmarkEnd w:id="107"/>
      <w:bookmarkEnd w:id="108"/>
    </w:p>
    <w:p w:rsidR="00A627CB" w:rsidRPr="00BF0335" w:rsidRDefault="00A627CB" w:rsidP="00A627CB">
      <w:pPr>
        <w:spacing w:after="0"/>
        <w:rPr>
          <w:rFonts w:ascii="Maiandra GD" w:hAnsi="Maiandra GD"/>
          <w:sz w:val="24"/>
          <w:szCs w:val="24"/>
          <w:highlight w:val="yellow"/>
        </w:rPr>
      </w:pPr>
    </w:p>
    <w:p w:rsidR="008A45BD" w:rsidRDefault="008A45BD" w:rsidP="00732E87">
      <w:r w:rsidRPr="00CB7CD2">
        <w:t xml:space="preserve">La absorción de la educación </w:t>
      </w:r>
      <w:r>
        <w:t xml:space="preserve">superior </w:t>
      </w:r>
      <w:r w:rsidRPr="00CB7CD2">
        <w:t>calcula la relación del número de estudiantes que se matricularon por primera vez en la Universidad en programas de p</w:t>
      </w:r>
      <w:r>
        <w:t>ost</w:t>
      </w:r>
      <w:r w:rsidRPr="00CB7CD2">
        <w:t>grado en el 201</w:t>
      </w:r>
      <w:r>
        <w:t>2</w:t>
      </w:r>
      <w:r w:rsidRPr="00CB7CD2">
        <w:t xml:space="preserve"> y el número de estudiantes que se graduaron en la educación </w:t>
      </w:r>
      <w:r>
        <w:t>superior</w:t>
      </w:r>
      <w:r w:rsidRPr="00CB7CD2">
        <w:t xml:space="preserve"> en el departamento de Risaralda en el </w:t>
      </w:r>
      <w:r w:rsidRPr="00C73FE5">
        <w:rPr>
          <w:b/>
        </w:rPr>
        <w:t>2011</w:t>
      </w:r>
      <w:r w:rsidRPr="00CB7CD2">
        <w:t>.</w:t>
      </w:r>
    </w:p>
    <w:p w:rsidR="008A45BD" w:rsidRDefault="008A45BD" w:rsidP="00732E87"/>
    <w:p w:rsidR="00A627CB" w:rsidRPr="003009E9" w:rsidRDefault="00A627CB" w:rsidP="00732E87">
      <w:r w:rsidRPr="003009E9">
        <w:lastRenderedPageBreak/>
        <w:t xml:space="preserve">El indicador se ubicó en </w:t>
      </w:r>
      <w:r w:rsidRPr="003009E9">
        <w:rPr>
          <w:b/>
        </w:rPr>
        <w:t>18.45%,</w:t>
      </w:r>
      <w:r w:rsidRPr="003009E9">
        <w:t xml:space="preserve">  lo cual corresponde a un avance del </w:t>
      </w:r>
      <w:r w:rsidRPr="003009E9">
        <w:rPr>
          <w:b/>
        </w:rPr>
        <w:t>95.60%</w:t>
      </w:r>
      <w:r w:rsidRPr="003009E9">
        <w:t xml:space="preserve"> de la meta planteada de </w:t>
      </w:r>
      <w:r w:rsidRPr="003009E9">
        <w:rPr>
          <w:b/>
        </w:rPr>
        <w:t>19.30%</w:t>
      </w:r>
      <w:r w:rsidRPr="003009E9">
        <w:t xml:space="preserve">, el indicador se calculó tomando el total de matriculados en el primer semestre del año 2012 de </w:t>
      </w:r>
      <w:r w:rsidRPr="003009E9">
        <w:rPr>
          <w:b/>
        </w:rPr>
        <w:t>332</w:t>
      </w:r>
      <w:r w:rsidRPr="003009E9">
        <w:t xml:space="preserve"> estudiantes sobre el número de </w:t>
      </w:r>
      <w:r w:rsidRPr="003009E9">
        <w:rPr>
          <w:b/>
        </w:rPr>
        <w:t>1</w:t>
      </w:r>
      <w:r>
        <w:rPr>
          <w:b/>
        </w:rPr>
        <w:t>.</w:t>
      </w:r>
      <w:r w:rsidRPr="003009E9">
        <w:rPr>
          <w:b/>
        </w:rPr>
        <w:t xml:space="preserve">799 </w:t>
      </w:r>
      <w:r w:rsidRPr="003009E9">
        <w:t>graduados en pregrado en Risaralda.</w:t>
      </w:r>
    </w:p>
    <w:p w:rsidR="00A627CB" w:rsidRPr="00BF0335" w:rsidRDefault="00A627CB" w:rsidP="00A627CB">
      <w:pPr>
        <w:spacing w:after="0"/>
        <w:rPr>
          <w:rFonts w:ascii="Maiandra GD" w:hAnsi="Maiandra GD"/>
          <w:sz w:val="20"/>
          <w:szCs w:val="20"/>
          <w:highlight w:val="yellow"/>
        </w:rPr>
      </w:pPr>
    </w:p>
    <w:p w:rsidR="00A627CB" w:rsidRPr="00BF0335" w:rsidRDefault="00A627CB" w:rsidP="00A627CB">
      <w:pPr>
        <w:spacing w:after="0"/>
        <w:rPr>
          <w:rFonts w:ascii="Maiandra GD" w:hAnsi="Maiandra GD"/>
          <w:sz w:val="24"/>
          <w:szCs w:val="24"/>
          <w:highlight w:val="yellow"/>
        </w:rPr>
      </w:pPr>
    </w:p>
    <w:p w:rsidR="00A627CB" w:rsidRPr="00732E87" w:rsidRDefault="00A627CB" w:rsidP="00732E87">
      <w:pPr>
        <w:jc w:val="center"/>
        <w:rPr>
          <w:b/>
          <w:noProof/>
        </w:rPr>
      </w:pPr>
      <w:r w:rsidRPr="00732E87">
        <w:rPr>
          <w:b/>
        </w:rPr>
        <w:t>Resultados - Metas Absorción de la Educación Superior (Posgrado)</w:t>
      </w:r>
      <w:r w:rsidRPr="00732E87">
        <w:rPr>
          <w:b/>
          <w:noProof/>
        </w:rPr>
        <w:t xml:space="preserve"> en el 2012.</w:t>
      </w:r>
    </w:p>
    <w:p w:rsidR="00A627CB" w:rsidRPr="003009E9" w:rsidRDefault="00A627CB" w:rsidP="00732E87">
      <w:pPr>
        <w:jc w:val="center"/>
      </w:pPr>
      <w:r w:rsidRPr="003009E9">
        <w:rPr>
          <w:noProof/>
          <w:lang w:val="es-CO" w:eastAsia="es-CO"/>
        </w:rPr>
        <w:drawing>
          <wp:inline distT="0" distB="0" distL="0" distR="0">
            <wp:extent cx="5088835" cy="1868557"/>
            <wp:effectExtent l="0" t="0" r="0" b="0"/>
            <wp:docPr id="121" name="1 Gráfico"/>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A627CB" w:rsidRPr="003009E9" w:rsidRDefault="00A627CB" w:rsidP="00732E87">
      <w:pPr>
        <w:jc w:val="center"/>
        <w:rPr>
          <w:b/>
          <w:i/>
          <w:sz w:val="20"/>
          <w:szCs w:val="20"/>
        </w:rPr>
      </w:pPr>
      <w:r w:rsidRPr="003009E9">
        <w:rPr>
          <w:b/>
          <w:i/>
          <w:sz w:val="20"/>
          <w:szCs w:val="20"/>
        </w:rPr>
        <w:t>Fuente: SIGOB</w:t>
      </w:r>
    </w:p>
    <w:p w:rsidR="00A627CB" w:rsidRPr="00117DC5" w:rsidRDefault="00A627CB" w:rsidP="00765233">
      <w:r w:rsidRPr="00117DC5">
        <w:t xml:space="preserve">Las estrategias para el avance de éste indicador están dadas por la promoción que cada uno de los programas de posgrado efectúa de éstos (publicidad en medios impresos y digitales, charlas a empresas y otras universidades del país). </w:t>
      </w:r>
      <w:r>
        <w:t>E</w:t>
      </w:r>
      <w:r w:rsidRPr="00117DC5">
        <w:t>n la actualidad no existe una política Institucional para la articulación entre la educación superior y la posgraduada, no obstante, la investigación para identificar las necesidades más relevantes de la región (Plan Operativo que se encuentra en curso actualmente) resulta un insumo relevante para la oferta de programas de posgrado pertinentes a la demanda actual, se recomienda establecer estrategias institucionales para la vinculación de estudiantes de posgrado a la Universidad.</w:t>
      </w:r>
    </w:p>
    <w:p w:rsidR="00A627CB" w:rsidRDefault="00A627CB" w:rsidP="00732E87">
      <w:pPr>
        <w:pStyle w:val="Ttulo4"/>
      </w:pPr>
      <w:r>
        <w:t>Tendencia de la Absorción de la Educación Superior</w:t>
      </w:r>
    </w:p>
    <w:p w:rsidR="00A627CB" w:rsidRDefault="00A627CB" w:rsidP="00A627CB">
      <w:pPr>
        <w:spacing w:after="0"/>
        <w:rPr>
          <w:rFonts w:ascii="Maiandra GD" w:hAnsi="Maiandra GD"/>
          <w:highlight w:val="yellow"/>
        </w:rPr>
      </w:pPr>
    </w:p>
    <w:p w:rsidR="00A627CB" w:rsidRPr="00A0395A" w:rsidRDefault="00A627CB" w:rsidP="00732E87">
      <w:r w:rsidRPr="00A0395A">
        <w:t xml:space="preserve">Con </w:t>
      </w:r>
      <w:r>
        <w:t xml:space="preserve">respecto al comportamiento de la Absorción de la Educación Superior, en los últimos años se ha mantenido alrededor del </w:t>
      </w:r>
      <w:r w:rsidRPr="00744FF1">
        <w:rPr>
          <w:b/>
        </w:rPr>
        <w:t>18%</w:t>
      </w:r>
      <w:r>
        <w:t>, el comportamiento es similar a la absorción de la educación media, ya que, la tasa de graduación en el departamento viene en ascenso (el dato 2011 de graduados lo reporta el SNIES de manera preliminar), sin embargo, la Universidad ha mantenido relativamente estable</w:t>
      </w:r>
      <w:r w:rsidR="00C92798">
        <w:t>s</w:t>
      </w:r>
      <w:r>
        <w:t xml:space="preserve"> los niveles de matrícula por primera vez a nivel </w:t>
      </w:r>
      <w:proofErr w:type="spellStart"/>
      <w:r>
        <w:t>postgradua</w:t>
      </w:r>
      <w:r w:rsidR="00C92798">
        <w:t>l</w:t>
      </w:r>
      <w:proofErr w:type="spellEnd"/>
      <w:r>
        <w:t>.</w:t>
      </w:r>
    </w:p>
    <w:p w:rsidR="00A627CB" w:rsidRDefault="00A627CB" w:rsidP="00A627CB">
      <w:pPr>
        <w:spacing w:after="0"/>
        <w:jc w:val="center"/>
        <w:rPr>
          <w:rFonts w:ascii="Maiandra GD" w:hAnsi="Maiandra GD"/>
          <w:highlight w:val="yellow"/>
        </w:rPr>
      </w:pPr>
      <w:r>
        <w:rPr>
          <w:noProof/>
          <w:lang w:val="es-CO" w:eastAsia="es-CO"/>
        </w:rPr>
        <w:lastRenderedPageBreak/>
        <w:drawing>
          <wp:inline distT="0" distB="0" distL="0" distR="0">
            <wp:extent cx="4572000" cy="2743200"/>
            <wp:effectExtent l="0" t="0" r="0" b="0"/>
            <wp:docPr id="7" name="Gráfico 7"/>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A627CB" w:rsidRDefault="00A627CB" w:rsidP="00A627CB">
      <w:pPr>
        <w:spacing w:after="0"/>
        <w:jc w:val="center"/>
        <w:rPr>
          <w:rFonts w:ascii="Maiandra GD" w:hAnsi="Maiandra GD"/>
          <w:b/>
          <w:sz w:val="20"/>
          <w:szCs w:val="20"/>
        </w:rPr>
      </w:pPr>
      <w:r>
        <w:rPr>
          <w:rFonts w:ascii="Maiandra GD" w:hAnsi="Maiandra GD"/>
          <w:b/>
          <w:sz w:val="20"/>
          <w:szCs w:val="20"/>
        </w:rPr>
        <w:t>Fuente: SNIES – Base de Datos del Centro de Registro y Control Académico</w:t>
      </w:r>
    </w:p>
    <w:p w:rsidR="00A627CB" w:rsidRDefault="00A627CB" w:rsidP="00A627CB">
      <w:pPr>
        <w:spacing w:after="0"/>
        <w:jc w:val="center"/>
        <w:rPr>
          <w:rFonts w:ascii="Maiandra GD" w:hAnsi="Maiandra GD"/>
          <w:highlight w:val="yellow"/>
        </w:rPr>
      </w:pPr>
    </w:p>
    <w:p w:rsidR="00A627CB" w:rsidRDefault="00A627CB" w:rsidP="00732E87">
      <w:pPr>
        <w:rPr>
          <w:highlight w:val="yellow"/>
        </w:rPr>
      </w:pPr>
      <w:r>
        <w:rPr>
          <w:b/>
        </w:rPr>
        <w:t xml:space="preserve">Nota: </w:t>
      </w:r>
      <w:r>
        <w:t>Los valores del indicador de absorción de la educación superior aquí calculados pueden variar frente a los reportados en el Sistema de Gerencia de los años anteriores, esto dado que se ha venido consolidando los valores reportados por el SNIES acerca del número de graduados pregrado del Departamento.</w:t>
      </w:r>
    </w:p>
    <w:p w:rsidR="00A627CB" w:rsidRPr="00BF0335" w:rsidRDefault="00A627CB" w:rsidP="00A627CB">
      <w:pPr>
        <w:spacing w:after="0"/>
        <w:rPr>
          <w:rFonts w:ascii="Maiandra GD" w:hAnsi="Maiandra GD"/>
          <w:highlight w:val="yellow"/>
        </w:rPr>
      </w:pPr>
    </w:p>
    <w:p w:rsidR="00A627CB" w:rsidRPr="009E4E54" w:rsidRDefault="00A627CB" w:rsidP="00732E87">
      <w:pPr>
        <w:pStyle w:val="Ttulo3"/>
      </w:pPr>
      <w:bookmarkStart w:id="109" w:name="_Toc319328951"/>
      <w:bookmarkStart w:id="110" w:name="_Toc319421856"/>
      <w:bookmarkStart w:id="111" w:name="_Toc354671337"/>
      <w:r w:rsidRPr="009E4E54">
        <w:t>Estudiantes Graduados por Cohorte</w:t>
      </w:r>
      <w:bookmarkEnd w:id="109"/>
      <w:bookmarkEnd w:id="110"/>
      <w:bookmarkEnd w:id="111"/>
    </w:p>
    <w:p w:rsidR="00A627CB" w:rsidRPr="00BF0335" w:rsidRDefault="00A627CB" w:rsidP="00A627CB">
      <w:pPr>
        <w:pStyle w:val="Prrafodelista"/>
        <w:ind w:left="0"/>
        <w:rPr>
          <w:rFonts w:ascii="Maiandra GD" w:hAnsi="Maiandra GD"/>
          <w:b/>
          <w:sz w:val="24"/>
          <w:szCs w:val="24"/>
          <w:highlight w:val="yellow"/>
        </w:rPr>
      </w:pPr>
    </w:p>
    <w:p w:rsidR="00F24AC1" w:rsidRDefault="00A627CB" w:rsidP="00732E87">
      <w:r>
        <w:t xml:space="preserve">El indicador de estudiantes graduados por cohorte busca medir la efectividad de egreso exitoso de los estudiantes de pregrado, para su cálculo se toma en cuenta el </w:t>
      </w:r>
      <w:r w:rsidR="00D35E14">
        <w:t xml:space="preserve">porcentaje </w:t>
      </w:r>
      <w:r>
        <w:t>de estudiantes de pregrado que se gradúan en el tiempo normal de duración del programa más dos años (es decir, en el caso de un programa de Ingeniería que duré 5 años, se considerarían los estudiantes que se gradúen en 7 años o menos).</w:t>
      </w:r>
      <w:r w:rsidR="00D80B09">
        <w:t xml:space="preserve"> </w:t>
      </w:r>
      <w:r w:rsidR="00F24AC1">
        <w:t>Es importante mencionar que, aquellos estudiantes que no logran entrar en el cálculo del indicador (</w:t>
      </w:r>
      <w:r w:rsidR="00D80B09">
        <w:t xml:space="preserve">ya que </w:t>
      </w:r>
      <w:r w:rsidR="00F24AC1">
        <w:t xml:space="preserve">superan el tiempo normal de duración del programa), son aquellos que deben ser monitoreados permanentemente, ya que o podrían convertirse en desertores </w:t>
      </w:r>
      <w:r w:rsidR="00D80B09">
        <w:t xml:space="preserve">de su programa académico </w:t>
      </w:r>
      <w:r w:rsidR="00F24AC1">
        <w:t>o en egresados no graduados.</w:t>
      </w:r>
    </w:p>
    <w:p w:rsidR="00E52A7D" w:rsidRDefault="00E52A7D" w:rsidP="00732E87"/>
    <w:p w:rsidR="00A627CB" w:rsidRPr="009E4E54" w:rsidRDefault="00A627CB" w:rsidP="00732E87">
      <w:r w:rsidRPr="009E4E54">
        <w:t xml:space="preserve">Para este indicador en el presente año, se reporta un avance del </w:t>
      </w:r>
      <w:r w:rsidRPr="009E4E54">
        <w:rPr>
          <w:b/>
        </w:rPr>
        <w:t>27.50%</w:t>
      </w:r>
      <w:r w:rsidRPr="009E4E54">
        <w:t xml:space="preserve">. La meta propuesta fue  </w:t>
      </w:r>
      <w:r w:rsidRPr="009E4E54">
        <w:rPr>
          <w:b/>
        </w:rPr>
        <w:t>30%</w:t>
      </w:r>
      <w:r w:rsidRPr="009E4E54">
        <w:t xml:space="preserve">, es decir, la meta tuvo un cumplimiento del </w:t>
      </w:r>
      <w:r w:rsidRPr="009E4E54">
        <w:rPr>
          <w:b/>
        </w:rPr>
        <w:t>91,67%</w:t>
      </w:r>
      <w:r w:rsidRPr="009E4E54">
        <w:t>. No obstante, los programas académicos de la Universidad exponen una preocupación generalizada por el impacto de</w:t>
      </w:r>
      <w:r w:rsidR="00F5419D">
        <w:t xml:space="preserve"> algunos factores</w:t>
      </w:r>
      <w:r w:rsidRPr="009E4E54">
        <w:t xml:space="preserve"> en la graduación de los estudiantes</w:t>
      </w:r>
      <w:r w:rsidR="00F5419D">
        <w:t xml:space="preserve"> (trabajo de grado, asignaturas pendientes, entre otras.)</w:t>
      </w:r>
      <w:r w:rsidRPr="009E4E54">
        <w:t>, razón por la cual vienen adelantando la revisión de sus mallas curriculares con el fin de identificar la causa de este retraso. Cabe resaltar que el proceso de Reforma Curricular resulta de vital importancia en ésta revisión.</w:t>
      </w:r>
    </w:p>
    <w:p w:rsidR="00A627CB" w:rsidRDefault="00A627CB" w:rsidP="00A627CB">
      <w:pPr>
        <w:pStyle w:val="Epgrafe"/>
        <w:rPr>
          <w:rFonts w:ascii="Maiandra GD" w:hAnsi="Maiandra GD"/>
          <w:color w:val="000000" w:themeColor="text1"/>
        </w:rPr>
      </w:pPr>
    </w:p>
    <w:p w:rsidR="00A627CB" w:rsidRDefault="00A627CB" w:rsidP="00A627CB">
      <w:pPr>
        <w:pStyle w:val="Epgrafe"/>
        <w:rPr>
          <w:rFonts w:ascii="Maiandra GD" w:hAnsi="Maiandra GD"/>
          <w:color w:val="000000" w:themeColor="text1"/>
        </w:rPr>
      </w:pPr>
    </w:p>
    <w:p w:rsidR="00A627CB" w:rsidRDefault="00A627CB" w:rsidP="00A627CB">
      <w:pPr>
        <w:pStyle w:val="Epgrafe"/>
        <w:rPr>
          <w:rFonts w:ascii="Maiandra GD" w:hAnsi="Maiandra GD"/>
          <w:color w:val="000000" w:themeColor="text1"/>
        </w:rPr>
      </w:pPr>
    </w:p>
    <w:p w:rsidR="00A627CB" w:rsidRDefault="00A627CB" w:rsidP="00A627CB">
      <w:pPr>
        <w:pStyle w:val="Epgrafe"/>
        <w:rPr>
          <w:rFonts w:ascii="Maiandra GD" w:hAnsi="Maiandra GD"/>
          <w:color w:val="000000" w:themeColor="text1"/>
        </w:rPr>
      </w:pPr>
    </w:p>
    <w:p w:rsidR="00A627CB" w:rsidRDefault="00A627CB" w:rsidP="00A627CB">
      <w:pPr>
        <w:pStyle w:val="Epgrafe"/>
        <w:rPr>
          <w:rFonts w:ascii="Maiandra GD" w:hAnsi="Maiandra GD"/>
          <w:color w:val="000000" w:themeColor="text1"/>
        </w:rPr>
      </w:pPr>
    </w:p>
    <w:p w:rsidR="00A627CB" w:rsidRPr="00732E87" w:rsidRDefault="00A627CB" w:rsidP="00732E87">
      <w:pPr>
        <w:jc w:val="center"/>
        <w:rPr>
          <w:b/>
        </w:rPr>
      </w:pPr>
      <w:r w:rsidRPr="00732E87">
        <w:rPr>
          <w:b/>
        </w:rPr>
        <w:t>Resultados – Metas de Estudiantes Graduados por Cohorte en el 2012.</w:t>
      </w:r>
    </w:p>
    <w:p w:rsidR="00A627CB" w:rsidRPr="00732E87" w:rsidRDefault="00A627CB" w:rsidP="00732E87">
      <w:pPr>
        <w:jc w:val="center"/>
        <w:rPr>
          <w:b/>
        </w:rPr>
      </w:pPr>
      <w:r w:rsidRPr="00732E87">
        <w:rPr>
          <w:b/>
          <w:noProof/>
          <w:lang w:val="es-CO" w:eastAsia="es-CO"/>
        </w:rPr>
        <w:drawing>
          <wp:inline distT="0" distB="0" distL="0" distR="0">
            <wp:extent cx="4772025" cy="1868400"/>
            <wp:effectExtent l="0" t="0" r="0" b="0"/>
            <wp:docPr id="122" name="1 Gráfico"/>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A627CB" w:rsidRPr="00732E87" w:rsidRDefault="00A627CB" w:rsidP="00732E87">
      <w:pPr>
        <w:jc w:val="center"/>
        <w:rPr>
          <w:b/>
          <w:i/>
          <w:sz w:val="20"/>
        </w:rPr>
      </w:pPr>
      <w:r w:rsidRPr="00732E87">
        <w:rPr>
          <w:b/>
          <w:i/>
          <w:sz w:val="20"/>
        </w:rPr>
        <w:t>Fuente: SIGOB</w:t>
      </w:r>
    </w:p>
    <w:p w:rsidR="00A627CB" w:rsidRPr="009E4E54" w:rsidRDefault="00A627CB" w:rsidP="00A627CB"/>
    <w:p w:rsidR="00A627CB" w:rsidRPr="009E4E54" w:rsidRDefault="00A627CB" w:rsidP="00732E87">
      <w:r w:rsidRPr="009E4E54">
        <w:t>Al revisar los programas con menor y mayor tasa de egreso por cohorte, se identifica lo siguiente:</w:t>
      </w:r>
    </w:p>
    <w:p w:rsidR="00A627CB" w:rsidRDefault="00A627CB" w:rsidP="00A627CB">
      <w:pPr>
        <w:pStyle w:val="Prrafodelista"/>
        <w:ind w:left="0"/>
        <w:rPr>
          <w:rFonts w:ascii="Maiandra GD" w:hAnsi="Maiandra GD"/>
          <w:sz w:val="20"/>
          <w:szCs w:val="20"/>
        </w:rPr>
      </w:pPr>
    </w:p>
    <w:tbl>
      <w:tblPr>
        <w:tblStyle w:val="Cuadrculaclara-nfasis1"/>
        <w:tblW w:w="0" w:type="auto"/>
        <w:tblLook w:val="0420" w:firstRow="1" w:lastRow="0" w:firstColumn="0" w:lastColumn="0" w:noHBand="0" w:noVBand="1"/>
      </w:tblPr>
      <w:tblGrid>
        <w:gridCol w:w="4489"/>
        <w:gridCol w:w="4489"/>
      </w:tblGrid>
      <w:tr w:rsidR="00A627CB" w:rsidRPr="00732E87" w:rsidTr="005550DB">
        <w:trPr>
          <w:cnfStyle w:val="100000000000" w:firstRow="1" w:lastRow="0" w:firstColumn="0" w:lastColumn="0" w:oddVBand="0" w:evenVBand="0" w:oddHBand="0" w:evenHBand="0" w:firstRowFirstColumn="0" w:firstRowLastColumn="0" w:lastRowFirstColumn="0" w:lastRowLastColumn="0"/>
        </w:trPr>
        <w:tc>
          <w:tcPr>
            <w:tcW w:w="4489" w:type="dxa"/>
          </w:tcPr>
          <w:p w:rsidR="00A627CB" w:rsidRPr="00732E87" w:rsidRDefault="00A627CB" w:rsidP="005550DB">
            <w:pPr>
              <w:pStyle w:val="Prrafodelista"/>
              <w:ind w:left="0"/>
              <w:jc w:val="center"/>
              <w:rPr>
                <w:sz w:val="18"/>
                <w:szCs w:val="18"/>
              </w:rPr>
            </w:pPr>
            <w:r w:rsidRPr="00732E87">
              <w:rPr>
                <w:sz w:val="18"/>
                <w:szCs w:val="18"/>
              </w:rPr>
              <w:t>Programas con baja tasa de egreso por cohorte</w:t>
            </w:r>
          </w:p>
        </w:tc>
        <w:tc>
          <w:tcPr>
            <w:tcW w:w="4489" w:type="dxa"/>
          </w:tcPr>
          <w:p w:rsidR="00A627CB" w:rsidRPr="00732E87" w:rsidRDefault="00A627CB" w:rsidP="005550DB">
            <w:pPr>
              <w:pStyle w:val="Prrafodelista"/>
              <w:ind w:left="0"/>
              <w:jc w:val="center"/>
              <w:rPr>
                <w:sz w:val="18"/>
                <w:szCs w:val="18"/>
              </w:rPr>
            </w:pPr>
            <w:r w:rsidRPr="00732E87">
              <w:rPr>
                <w:sz w:val="18"/>
                <w:szCs w:val="18"/>
              </w:rPr>
              <w:t>Programas con alta tasa de egreso por cohorte</w:t>
            </w:r>
          </w:p>
        </w:tc>
      </w:tr>
      <w:tr w:rsidR="00A627CB" w:rsidRPr="00732E87" w:rsidTr="00732E87">
        <w:trPr>
          <w:cnfStyle w:val="000000100000" w:firstRow="0" w:lastRow="0" w:firstColumn="0" w:lastColumn="0" w:oddVBand="0" w:evenVBand="0" w:oddHBand="1" w:evenHBand="0" w:firstRowFirstColumn="0" w:firstRowLastColumn="0" w:lastRowFirstColumn="0" w:lastRowLastColumn="0"/>
        </w:trPr>
        <w:tc>
          <w:tcPr>
            <w:tcW w:w="4489" w:type="dxa"/>
            <w:vAlign w:val="center"/>
          </w:tcPr>
          <w:p w:rsidR="00A627CB" w:rsidRPr="00732E87" w:rsidRDefault="00A627CB" w:rsidP="00732E87">
            <w:pPr>
              <w:pStyle w:val="Prrafodelista"/>
              <w:ind w:left="142"/>
              <w:jc w:val="left"/>
              <w:rPr>
                <w:sz w:val="18"/>
                <w:szCs w:val="18"/>
              </w:rPr>
            </w:pPr>
            <w:r w:rsidRPr="00732E87">
              <w:rPr>
                <w:sz w:val="18"/>
                <w:szCs w:val="18"/>
              </w:rPr>
              <w:t>Licenciatura en Español y Literatura (nocturno)</w:t>
            </w:r>
          </w:p>
        </w:tc>
        <w:tc>
          <w:tcPr>
            <w:tcW w:w="4489" w:type="dxa"/>
            <w:vAlign w:val="center"/>
          </w:tcPr>
          <w:p w:rsidR="00A627CB" w:rsidRPr="00732E87" w:rsidRDefault="00A627CB" w:rsidP="00732E87">
            <w:pPr>
              <w:pStyle w:val="Prrafodelista"/>
              <w:ind w:left="142"/>
              <w:jc w:val="left"/>
              <w:rPr>
                <w:sz w:val="18"/>
                <w:szCs w:val="18"/>
              </w:rPr>
            </w:pPr>
            <w:r w:rsidRPr="00732E87">
              <w:rPr>
                <w:sz w:val="18"/>
                <w:szCs w:val="18"/>
              </w:rPr>
              <w:t>Ingeniería Industrial</w:t>
            </w:r>
          </w:p>
        </w:tc>
      </w:tr>
      <w:tr w:rsidR="00A627CB" w:rsidRPr="00732E87" w:rsidTr="00732E87">
        <w:trPr>
          <w:cnfStyle w:val="000000010000" w:firstRow="0" w:lastRow="0" w:firstColumn="0" w:lastColumn="0" w:oddVBand="0" w:evenVBand="0" w:oddHBand="0" w:evenHBand="1" w:firstRowFirstColumn="0" w:firstRowLastColumn="0" w:lastRowFirstColumn="0" w:lastRowLastColumn="0"/>
        </w:trPr>
        <w:tc>
          <w:tcPr>
            <w:tcW w:w="4489" w:type="dxa"/>
            <w:vAlign w:val="center"/>
          </w:tcPr>
          <w:p w:rsidR="00A627CB" w:rsidRPr="00732E87" w:rsidRDefault="00A627CB" w:rsidP="00732E87">
            <w:pPr>
              <w:pStyle w:val="Prrafodelista"/>
              <w:ind w:left="142"/>
              <w:jc w:val="left"/>
              <w:rPr>
                <w:sz w:val="18"/>
                <w:szCs w:val="18"/>
              </w:rPr>
            </w:pPr>
            <w:r w:rsidRPr="00732E87">
              <w:rPr>
                <w:sz w:val="18"/>
                <w:szCs w:val="18"/>
              </w:rPr>
              <w:t>Tecnología Eléctrica</w:t>
            </w:r>
          </w:p>
        </w:tc>
        <w:tc>
          <w:tcPr>
            <w:tcW w:w="4489" w:type="dxa"/>
            <w:vAlign w:val="center"/>
          </w:tcPr>
          <w:p w:rsidR="00A627CB" w:rsidRPr="00732E87" w:rsidRDefault="00A627CB" w:rsidP="00732E87">
            <w:pPr>
              <w:pStyle w:val="Prrafodelista"/>
              <w:ind w:left="142"/>
              <w:jc w:val="left"/>
              <w:rPr>
                <w:sz w:val="18"/>
                <w:szCs w:val="18"/>
              </w:rPr>
            </w:pPr>
            <w:r w:rsidRPr="00732E87">
              <w:rPr>
                <w:sz w:val="18"/>
                <w:szCs w:val="18"/>
              </w:rPr>
              <w:t>Medicina</w:t>
            </w:r>
          </w:p>
        </w:tc>
      </w:tr>
      <w:tr w:rsidR="00A627CB" w:rsidRPr="00732E87" w:rsidTr="00732E87">
        <w:trPr>
          <w:cnfStyle w:val="000000100000" w:firstRow="0" w:lastRow="0" w:firstColumn="0" w:lastColumn="0" w:oddVBand="0" w:evenVBand="0" w:oddHBand="1" w:evenHBand="0" w:firstRowFirstColumn="0" w:firstRowLastColumn="0" w:lastRowFirstColumn="0" w:lastRowLastColumn="0"/>
        </w:trPr>
        <w:tc>
          <w:tcPr>
            <w:tcW w:w="4489" w:type="dxa"/>
            <w:vAlign w:val="center"/>
          </w:tcPr>
          <w:p w:rsidR="00A627CB" w:rsidRPr="00732E87" w:rsidRDefault="00A627CB" w:rsidP="00732E87">
            <w:pPr>
              <w:pStyle w:val="Prrafodelista"/>
              <w:ind w:left="142"/>
              <w:jc w:val="left"/>
              <w:rPr>
                <w:sz w:val="18"/>
                <w:szCs w:val="18"/>
              </w:rPr>
            </w:pPr>
            <w:r w:rsidRPr="00732E87">
              <w:rPr>
                <w:sz w:val="18"/>
                <w:szCs w:val="18"/>
              </w:rPr>
              <w:t xml:space="preserve">Tecnología Industrial </w:t>
            </w:r>
          </w:p>
        </w:tc>
        <w:tc>
          <w:tcPr>
            <w:tcW w:w="4489" w:type="dxa"/>
            <w:vAlign w:val="center"/>
          </w:tcPr>
          <w:p w:rsidR="00A627CB" w:rsidRPr="00732E87" w:rsidRDefault="00A627CB" w:rsidP="00732E87">
            <w:pPr>
              <w:pStyle w:val="Prrafodelista"/>
              <w:ind w:left="142"/>
              <w:jc w:val="left"/>
              <w:rPr>
                <w:sz w:val="18"/>
                <w:szCs w:val="18"/>
              </w:rPr>
            </w:pPr>
            <w:r w:rsidRPr="00732E87">
              <w:rPr>
                <w:sz w:val="18"/>
                <w:szCs w:val="18"/>
              </w:rPr>
              <w:t>Administración Industrial</w:t>
            </w:r>
          </w:p>
        </w:tc>
      </w:tr>
      <w:tr w:rsidR="00A627CB" w:rsidRPr="00732E87" w:rsidTr="00732E87">
        <w:trPr>
          <w:cnfStyle w:val="000000010000" w:firstRow="0" w:lastRow="0" w:firstColumn="0" w:lastColumn="0" w:oddVBand="0" w:evenVBand="0" w:oddHBand="0" w:evenHBand="1" w:firstRowFirstColumn="0" w:firstRowLastColumn="0" w:lastRowFirstColumn="0" w:lastRowLastColumn="0"/>
        </w:trPr>
        <w:tc>
          <w:tcPr>
            <w:tcW w:w="4489" w:type="dxa"/>
            <w:vAlign w:val="center"/>
          </w:tcPr>
          <w:p w:rsidR="00A627CB" w:rsidRPr="00732E87" w:rsidRDefault="00A627CB" w:rsidP="00732E87">
            <w:pPr>
              <w:pStyle w:val="Prrafodelista"/>
              <w:ind w:left="142"/>
              <w:jc w:val="left"/>
              <w:rPr>
                <w:sz w:val="18"/>
                <w:szCs w:val="18"/>
              </w:rPr>
            </w:pPr>
            <w:r w:rsidRPr="00732E87">
              <w:rPr>
                <w:sz w:val="18"/>
                <w:szCs w:val="18"/>
              </w:rPr>
              <w:t>Tecnología Mecánica</w:t>
            </w:r>
          </w:p>
        </w:tc>
        <w:tc>
          <w:tcPr>
            <w:tcW w:w="4489" w:type="dxa"/>
            <w:vAlign w:val="center"/>
          </w:tcPr>
          <w:p w:rsidR="00A627CB" w:rsidRPr="00732E87" w:rsidRDefault="00A627CB" w:rsidP="00732E87">
            <w:pPr>
              <w:pStyle w:val="Prrafodelista"/>
              <w:ind w:left="142"/>
              <w:jc w:val="left"/>
              <w:rPr>
                <w:sz w:val="18"/>
                <w:szCs w:val="18"/>
              </w:rPr>
            </w:pPr>
            <w:r w:rsidRPr="00732E87">
              <w:rPr>
                <w:sz w:val="18"/>
                <w:szCs w:val="18"/>
              </w:rPr>
              <w:t>Química Industrial</w:t>
            </w:r>
          </w:p>
        </w:tc>
      </w:tr>
      <w:tr w:rsidR="00A627CB" w:rsidRPr="00732E87" w:rsidTr="00732E87">
        <w:trPr>
          <w:cnfStyle w:val="000000100000" w:firstRow="0" w:lastRow="0" w:firstColumn="0" w:lastColumn="0" w:oddVBand="0" w:evenVBand="0" w:oddHBand="1" w:evenHBand="0" w:firstRowFirstColumn="0" w:firstRowLastColumn="0" w:lastRowFirstColumn="0" w:lastRowLastColumn="0"/>
        </w:trPr>
        <w:tc>
          <w:tcPr>
            <w:tcW w:w="4489" w:type="dxa"/>
            <w:vAlign w:val="center"/>
          </w:tcPr>
          <w:p w:rsidR="00A627CB" w:rsidRPr="00732E87" w:rsidRDefault="00A627CB" w:rsidP="00732E87">
            <w:pPr>
              <w:pStyle w:val="Prrafodelista"/>
              <w:ind w:left="142"/>
              <w:jc w:val="left"/>
              <w:rPr>
                <w:sz w:val="18"/>
                <w:szCs w:val="18"/>
              </w:rPr>
            </w:pPr>
            <w:r w:rsidRPr="00732E87">
              <w:rPr>
                <w:sz w:val="18"/>
                <w:szCs w:val="18"/>
              </w:rPr>
              <w:t>Tecnología Química</w:t>
            </w:r>
          </w:p>
        </w:tc>
        <w:tc>
          <w:tcPr>
            <w:tcW w:w="4489" w:type="dxa"/>
            <w:vAlign w:val="center"/>
          </w:tcPr>
          <w:p w:rsidR="00A627CB" w:rsidRPr="00732E87" w:rsidRDefault="00A627CB" w:rsidP="00732E87">
            <w:pPr>
              <w:pStyle w:val="Prrafodelista"/>
              <w:ind w:left="0"/>
              <w:jc w:val="left"/>
              <w:rPr>
                <w:sz w:val="18"/>
                <w:szCs w:val="18"/>
              </w:rPr>
            </w:pPr>
          </w:p>
        </w:tc>
      </w:tr>
    </w:tbl>
    <w:p w:rsidR="00A627CB" w:rsidRPr="009E4E54" w:rsidRDefault="00A627CB" w:rsidP="00A627CB">
      <w:pPr>
        <w:spacing w:after="0"/>
        <w:jc w:val="center"/>
        <w:rPr>
          <w:rFonts w:ascii="Maiandra GD" w:hAnsi="Maiandra GD"/>
          <w:b/>
          <w:i/>
          <w:sz w:val="20"/>
        </w:rPr>
      </w:pPr>
      <w:r w:rsidRPr="009E4E54">
        <w:rPr>
          <w:rFonts w:ascii="Maiandra GD" w:hAnsi="Maiandra GD"/>
          <w:b/>
          <w:i/>
          <w:sz w:val="20"/>
        </w:rPr>
        <w:t>Fuente: SIGOB</w:t>
      </w:r>
    </w:p>
    <w:p w:rsidR="00A627CB" w:rsidRPr="009E4E54" w:rsidRDefault="00A627CB" w:rsidP="00A627CB">
      <w:pPr>
        <w:pStyle w:val="Prrafodelista"/>
        <w:ind w:left="0"/>
        <w:rPr>
          <w:rFonts w:ascii="Maiandra GD" w:hAnsi="Maiandra GD"/>
          <w:sz w:val="20"/>
          <w:szCs w:val="20"/>
        </w:rPr>
      </w:pPr>
    </w:p>
    <w:p w:rsidR="00A627CB" w:rsidRPr="00647639" w:rsidRDefault="00A627CB" w:rsidP="00732E87">
      <w:pPr>
        <w:pStyle w:val="Ttulo3"/>
      </w:pPr>
      <w:bookmarkStart w:id="112" w:name="_Toc319421857"/>
      <w:bookmarkStart w:id="113" w:name="_Toc354671338"/>
      <w:r w:rsidRPr="00647639">
        <w:t>Acreditación de programas</w:t>
      </w:r>
      <w:r>
        <w:t xml:space="preserve"> académicos</w:t>
      </w:r>
      <w:r w:rsidRPr="00647639">
        <w:t xml:space="preserve"> (pregrado)</w:t>
      </w:r>
      <w:bookmarkEnd w:id="112"/>
      <w:bookmarkEnd w:id="113"/>
    </w:p>
    <w:p w:rsidR="00A627CB" w:rsidRDefault="00A627CB" w:rsidP="00A627CB">
      <w:pPr>
        <w:rPr>
          <w:rFonts w:ascii="Maiandra GD" w:hAnsi="Maiandra GD"/>
          <w:b/>
          <w:sz w:val="24"/>
          <w:szCs w:val="24"/>
          <w:highlight w:val="yellow"/>
        </w:rPr>
      </w:pPr>
    </w:p>
    <w:p w:rsidR="00A627CB" w:rsidRDefault="00A627CB" w:rsidP="00732E87">
      <w:r>
        <w:t xml:space="preserve">Este indicador busca medir la efectividad de los programas en alcanzar la acreditación de alta calidad, para esto, se mide el número de programas académicos de pregrado que cuentan con la acreditación de alta calidad, o tienen un concepto favorable de los “Pares académicos evaluadores” sobre el total de programas académicos de pregrado que pueden optar por dicha distinción según los requisitos del Consejo Nacional de Acreditación. Al cierre de la vigencia </w:t>
      </w:r>
      <w:r w:rsidRPr="00C779BA">
        <w:rPr>
          <w:b/>
        </w:rPr>
        <w:t>2012</w:t>
      </w:r>
      <w:r>
        <w:t xml:space="preserve">, se contaba con </w:t>
      </w:r>
      <w:r w:rsidRPr="00C779BA">
        <w:rPr>
          <w:b/>
        </w:rPr>
        <w:t>1</w:t>
      </w:r>
      <w:r>
        <w:rPr>
          <w:b/>
        </w:rPr>
        <w:t>5</w:t>
      </w:r>
      <w:r>
        <w:t xml:space="preserve"> programas de pregrado acreditados, </w:t>
      </w:r>
      <w:r w:rsidRPr="00D229D8">
        <w:rPr>
          <w:b/>
        </w:rPr>
        <w:t>1</w:t>
      </w:r>
      <w:r w:rsidRPr="00647639">
        <w:t xml:space="preserve"> programas con concepto </w:t>
      </w:r>
      <w:r>
        <w:t xml:space="preserve">favorable, sobre un total de </w:t>
      </w:r>
      <w:r w:rsidRPr="00C779BA">
        <w:rPr>
          <w:b/>
        </w:rPr>
        <w:t>21</w:t>
      </w:r>
      <w:r>
        <w:t xml:space="preserve"> programas de pregrado acreditables</w:t>
      </w:r>
      <w:r w:rsidRPr="00647639">
        <w:t>.</w:t>
      </w:r>
    </w:p>
    <w:p w:rsidR="00732E87" w:rsidRPr="00647639" w:rsidRDefault="00732E87" w:rsidP="00732E87"/>
    <w:p w:rsidR="00A627CB" w:rsidRDefault="00A627CB" w:rsidP="00732E87">
      <w:r w:rsidRPr="00647639">
        <w:t xml:space="preserve">Se tiene a la fecha un avance del </w:t>
      </w:r>
      <w:r w:rsidRPr="00FF1786">
        <w:rPr>
          <w:b/>
        </w:rPr>
        <w:t>76.19%</w:t>
      </w:r>
      <w:r w:rsidRPr="00647639">
        <w:t xml:space="preserve"> correspondiente a un nivel de cumplimiento del </w:t>
      </w:r>
      <w:r w:rsidRPr="00FF1786">
        <w:rPr>
          <w:b/>
        </w:rPr>
        <w:t>101.59%</w:t>
      </w:r>
      <w:r w:rsidRPr="00647639">
        <w:t>, con respecto a la meta propuesta para la presente vigencia</w:t>
      </w:r>
      <w:r>
        <w:t xml:space="preserve"> del </w:t>
      </w:r>
      <w:r w:rsidRPr="00FF1786">
        <w:rPr>
          <w:b/>
        </w:rPr>
        <w:t>75%</w:t>
      </w:r>
      <w:r w:rsidRPr="00647639">
        <w:t>.</w:t>
      </w:r>
    </w:p>
    <w:p w:rsidR="00732E87" w:rsidRPr="00647639" w:rsidRDefault="00732E87" w:rsidP="00A627CB">
      <w:pPr>
        <w:pStyle w:val="Prrafodelista"/>
        <w:ind w:left="0"/>
        <w:rPr>
          <w:rFonts w:ascii="Maiandra GD" w:hAnsi="Maiandra GD"/>
          <w:sz w:val="20"/>
          <w:szCs w:val="20"/>
        </w:rPr>
      </w:pPr>
    </w:p>
    <w:tbl>
      <w:tblPr>
        <w:tblStyle w:val="Cuadrculaclara-nfasis1"/>
        <w:tblW w:w="0" w:type="auto"/>
        <w:jc w:val="center"/>
        <w:tblLook w:val="04A0" w:firstRow="1" w:lastRow="0" w:firstColumn="1" w:lastColumn="0" w:noHBand="0" w:noVBand="1"/>
      </w:tblPr>
      <w:tblGrid>
        <w:gridCol w:w="4553"/>
        <w:gridCol w:w="4319"/>
      </w:tblGrid>
      <w:tr w:rsidR="00A627CB" w:rsidRPr="00732E87" w:rsidTr="00732E8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553" w:type="dxa"/>
            <w:vAlign w:val="center"/>
          </w:tcPr>
          <w:p w:rsidR="00A627CB" w:rsidRPr="00732E87" w:rsidRDefault="00A627CB" w:rsidP="00732E87">
            <w:pPr>
              <w:pStyle w:val="Prrafodelista"/>
              <w:ind w:left="0"/>
              <w:jc w:val="center"/>
              <w:rPr>
                <w:sz w:val="18"/>
                <w:szCs w:val="18"/>
              </w:rPr>
            </w:pPr>
            <w:r w:rsidRPr="00732E87">
              <w:rPr>
                <w:sz w:val="18"/>
                <w:szCs w:val="18"/>
              </w:rPr>
              <w:lastRenderedPageBreak/>
              <w:t>Programas Acreditados</w:t>
            </w:r>
          </w:p>
        </w:tc>
        <w:tc>
          <w:tcPr>
            <w:tcW w:w="4319" w:type="dxa"/>
            <w:vAlign w:val="center"/>
          </w:tcPr>
          <w:p w:rsidR="00A627CB" w:rsidRPr="00732E87" w:rsidRDefault="00A627CB" w:rsidP="00732E87">
            <w:pPr>
              <w:pStyle w:val="Prrafodelista"/>
              <w:ind w:left="0"/>
              <w:jc w:val="center"/>
              <w:cnfStyle w:val="100000000000" w:firstRow="1" w:lastRow="0" w:firstColumn="0" w:lastColumn="0" w:oddVBand="0" w:evenVBand="0" w:oddHBand="0" w:evenHBand="0" w:firstRowFirstColumn="0" w:firstRowLastColumn="0" w:lastRowFirstColumn="0" w:lastRowLastColumn="0"/>
              <w:rPr>
                <w:sz w:val="18"/>
                <w:szCs w:val="18"/>
              </w:rPr>
            </w:pPr>
            <w:r w:rsidRPr="00732E87">
              <w:rPr>
                <w:sz w:val="18"/>
                <w:szCs w:val="18"/>
              </w:rPr>
              <w:t>Programas en proceso de acreditación</w:t>
            </w:r>
          </w:p>
        </w:tc>
      </w:tr>
      <w:tr w:rsidR="00A627CB" w:rsidRPr="00732E87" w:rsidTr="00732E8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553" w:type="dxa"/>
            <w:vAlign w:val="center"/>
          </w:tcPr>
          <w:p w:rsidR="00A627CB" w:rsidRPr="00732E87" w:rsidRDefault="00A627CB" w:rsidP="00EB79AD">
            <w:pPr>
              <w:pStyle w:val="Prrafodelista"/>
              <w:spacing w:after="0"/>
              <w:ind w:left="0"/>
              <w:jc w:val="left"/>
              <w:rPr>
                <w:b w:val="0"/>
                <w:bCs w:val="0"/>
                <w:sz w:val="18"/>
                <w:szCs w:val="18"/>
              </w:rPr>
            </w:pPr>
            <w:r w:rsidRPr="00732E87">
              <w:rPr>
                <w:b w:val="0"/>
                <w:bCs w:val="0"/>
                <w:sz w:val="18"/>
                <w:szCs w:val="18"/>
              </w:rPr>
              <w:t>Ingeniería Eléctrica</w:t>
            </w:r>
          </w:p>
        </w:tc>
        <w:tc>
          <w:tcPr>
            <w:tcW w:w="4319" w:type="dxa"/>
            <w:vAlign w:val="center"/>
          </w:tcPr>
          <w:p w:rsidR="00A627CB" w:rsidRPr="00732E87" w:rsidRDefault="00A627CB" w:rsidP="00EB79AD">
            <w:pPr>
              <w:pStyle w:val="Prrafodelista"/>
              <w:spacing w:after="0"/>
              <w:ind w:left="0"/>
              <w:jc w:val="left"/>
              <w:cnfStyle w:val="000000100000" w:firstRow="0" w:lastRow="0" w:firstColumn="0" w:lastColumn="0" w:oddVBand="0" w:evenVBand="0" w:oddHBand="1" w:evenHBand="0" w:firstRowFirstColumn="0" w:firstRowLastColumn="0" w:lastRowFirstColumn="0" w:lastRowLastColumn="0"/>
              <w:rPr>
                <w:bCs/>
                <w:sz w:val="18"/>
                <w:szCs w:val="18"/>
              </w:rPr>
            </w:pPr>
            <w:r w:rsidRPr="00732E87">
              <w:rPr>
                <w:bCs/>
                <w:sz w:val="18"/>
                <w:szCs w:val="18"/>
              </w:rPr>
              <w:t>Licenciatura en Artes Visuales</w:t>
            </w:r>
          </w:p>
        </w:tc>
      </w:tr>
      <w:tr w:rsidR="00A627CB" w:rsidRPr="00732E87" w:rsidTr="00732E87">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553" w:type="dxa"/>
            <w:vAlign w:val="center"/>
          </w:tcPr>
          <w:p w:rsidR="00A627CB" w:rsidRPr="00732E87" w:rsidRDefault="00A627CB" w:rsidP="00EB79AD">
            <w:pPr>
              <w:pStyle w:val="Prrafodelista"/>
              <w:spacing w:after="0"/>
              <w:ind w:left="0"/>
              <w:jc w:val="left"/>
              <w:rPr>
                <w:b w:val="0"/>
                <w:bCs w:val="0"/>
                <w:sz w:val="18"/>
                <w:szCs w:val="18"/>
              </w:rPr>
            </w:pPr>
            <w:r w:rsidRPr="00732E87">
              <w:rPr>
                <w:b w:val="0"/>
                <w:bCs w:val="0"/>
                <w:sz w:val="18"/>
                <w:szCs w:val="18"/>
              </w:rPr>
              <w:t>Tecnología Mecánica</w:t>
            </w:r>
          </w:p>
        </w:tc>
        <w:tc>
          <w:tcPr>
            <w:tcW w:w="4319" w:type="dxa"/>
            <w:vAlign w:val="center"/>
          </w:tcPr>
          <w:p w:rsidR="00A627CB" w:rsidRPr="00732E87" w:rsidRDefault="00A627CB" w:rsidP="00EB79AD">
            <w:pPr>
              <w:pStyle w:val="Prrafodelista"/>
              <w:spacing w:after="0"/>
              <w:ind w:left="0"/>
              <w:jc w:val="left"/>
              <w:cnfStyle w:val="000000010000" w:firstRow="0" w:lastRow="0" w:firstColumn="0" w:lastColumn="0" w:oddVBand="0" w:evenVBand="0" w:oddHBand="0" w:evenHBand="1" w:firstRowFirstColumn="0" w:firstRowLastColumn="0" w:lastRowFirstColumn="0" w:lastRowLastColumn="0"/>
              <w:rPr>
                <w:bCs/>
                <w:sz w:val="18"/>
                <w:szCs w:val="18"/>
              </w:rPr>
            </w:pPr>
            <w:r w:rsidRPr="00732E87">
              <w:rPr>
                <w:bCs/>
                <w:sz w:val="18"/>
                <w:szCs w:val="18"/>
              </w:rPr>
              <w:t>Administración Industrial</w:t>
            </w:r>
          </w:p>
        </w:tc>
      </w:tr>
      <w:tr w:rsidR="00A627CB" w:rsidRPr="00732E87" w:rsidTr="00732E8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553" w:type="dxa"/>
            <w:vAlign w:val="center"/>
          </w:tcPr>
          <w:p w:rsidR="00A627CB" w:rsidRPr="00732E87" w:rsidRDefault="00A627CB" w:rsidP="00EB79AD">
            <w:pPr>
              <w:pStyle w:val="Prrafodelista"/>
              <w:spacing w:after="0"/>
              <w:ind w:left="0"/>
              <w:jc w:val="left"/>
              <w:rPr>
                <w:sz w:val="18"/>
                <w:szCs w:val="18"/>
              </w:rPr>
            </w:pPr>
            <w:r w:rsidRPr="00732E87">
              <w:rPr>
                <w:b w:val="0"/>
                <w:bCs w:val="0"/>
                <w:sz w:val="18"/>
                <w:szCs w:val="18"/>
              </w:rPr>
              <w:t>Ingeniería de Sistemas y Computación</w:t>
            </w:r>
          </w:p>
        </w:tc>
        <w:tc>
          <w:tcPr>
            <w:tcW w:w="4319" w:type="dxa"/>
            <w:vAlign w:val="center"/>
          </w:tcPr>
          <w:p w:rsidR="00A627CB" w:rsidRPr="00732E87" w:rsidRDefault="00A627CB" w:rsidP="00EB79AD">
            <w:pPr>
              <w:pStyle w:val="Prrafodelista"/>
              <w:spacing w:after="0"/>
              <w:ind w:left="0"/>
              <w:jc w:val="left"/>
              <w:cnfStyle w:val="000000100000" w:firstRow="0" w:lastRow="0" w:firstColumn="0" w:lastColumn="0" w:oddVBand="0" w:evenVBand="0" w:oddHBand="1" w:evenHBand="0" w:firstRowFirstColumn="0" w:firstRowLastColumn="0" w:lastRowFirstColumn="0" w:lastRowLastColumn="0"/>
              <w:rPr>
                <w:bCs/>
                <w:sz w:val="18"/>
                <w:szCs w:val="18"/>
              </w:rPr>
            </w:pPr>
            <w:r w:rsidRPr="00732E87">
              <w:rPr>
                <w:bCs/>
                <w:sz w:val="18"/>
                <w:szCs w:val="18"/>
              </w:rPr>
              <w:t>Ingeniería Industrial</w:t>
            </w:r>
          </w:p>
        </w:tc>
      </w:tr>
      <w:tr w:rsidR="00A627CB" w:rsidRPr="00732E87" w:rsidTr="00732E87">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553" w:type="dxa"/>
            <w:vAlign w:val="center"/>
          </w:tcPr>
          <w:p w:rsidR="00A627CB" w:rsidRPr="00732E87" w:rsidRDefault="00A627CB" w:rsidP="00EB79AD">
            <w:pPr>
              <w:pStyle w:val="Prrafodelista"/>
              <w:spacing w:after="0"/>
              <w:ind w:left="0"/>
              <w:jc w:val="left"/>
              <w:rPr>
                <w:b w:val="0"/>
                <w:bCs w:val="0"/>
                <w:sz w:val="18"/>
                <w:szCs w:val="18"/>
              </w:rPr>
            </w:pPr>
            <w:r w:rsidRPr="00732E87">
              <w:rPr>
                <w:b w:val="0"/>
                <w:bCs w:val="0"/>
                <w:sz w:val="18"/>
                <w:szCs w:val="18"/>
              </w:rPr>
              <w:t>Licenciatura en Pedagogía Infantil</w:t>
            </w:r>
          </w:p>
        </w:tc>
        <w:tc>
          <w:tcPr>
            <w:tcW w:w="4319" w:type="dxa"/>
            <w:vAlign w:val="center"/>
          </w:tcPr>
          <w:p w:rsidR="00A627CB" w:rsidRPr="00732E87" w:rsidRDefault="00A627CB" w:rsidP="00EB79AD">
            <w:pPr>
              <w:pStyle w:val="Prrafodelista"/>
              <w:spacing w:after="0"/>
              <w:ind w:left="0"/>
              <w:jc w:val="left"/>
              <w:cnfStyle w:val="000000010000" w:firstRow="0" w:lastRow="0" w:firstColumn="0" w:lastColumn="0" w:oddVBand="0" w:evenVBand="0" w:oddHBand="0" w:evenHBand="1" w:firstRowFirstColumn="0" w:firstRowLastColumn="0" w:lastRowFirstColumn="0" w:lastRowLastColumn="0"/>
              <w:rPr>
                <w:bCs/>
                <w:sz w:val="18"/>
                <w:szCs w:val="18"/>
              </w:rPr>
            </w:pPr>
            <w:r w:rsidRPr="00732E87">
              <w:rPr>
                <w:bCs/>
                <w:sz w:val="18"/>
                <w:szCs w:val="18"/>
              </w:rPr>
              <w:t>Medicina</w:t>
            </w:r>
          </w:p>
        </w:tc>
      </w:tr>
      <w:tr w:rsidR="00A627CB" w:rsidRPr="00732E87" w:rsidTr="00EB79AD">
        <w:trPr>
          <w:cnfStyle w:val="000000100000" w:firstRow="0" w:lastRow="0" w:firstColumn="0" w:lastColumn="0" w:oddVBand="0" w:evenVBand="0" w:oddHBand="1" w:evenHBand="0" w:firstRowFirstColumn="0" w:firstRowLastColumn="0" w:lastRowFirstColumn="0" w:lastRowLastColumn="0"/>
          <w:trHeight w:val="108"/>
          <w:jc w:val="center"/>
        </w:trPr>
        <w:tc>
          <w:tcPr>
            <w:cnfStyle w:val="001000000000" w:firstRow="0" w:lastRow="0" w:firstColumn="1" w:lastColumn="0" w:oddVBand="0" w:evenVBand="0" w:oddHBand="0" w:evenHBand="0" w:firstRowFirstColumn="0" w:firstRowLastColumn="0" w:lastRowFirstColumn="0" w:lastRowLastColumn="0"/>
            <w:tcW w:w="4553" w:type="dxa"/>
            <w:vAlign w:val="center"/>
          </w:tcPr>
          <w:p w:rsidR="00A627CB" w:rsidRPr="00732E87" w:rsidRDefault="00A627CB" w:rsidP="00EB79AD">
            <w:pPr>
              <w:pStyle w:val="Prrafodelista"/>
              <w:spacing w:after="0"/>
              <w:ind w:left="0"/>
              <w:jc w:val="left"/>
              <w:rPr>
                <w:b w:val="0"/>
                <w:bCs w:val="0"/>
                <w:sz w:val="18"/>
                <w:szCs w:val="18"/>
              </w:rPr>
            </w:pPr>
            <w:r w:rsidRPr="00732E87">
              <w:rPr>
                <w:b w:val="0"/>
                <w:bCs w:val="0"/>
                <w:sz w:val="18"/>
                <w:szCs w:val="18"/>
              </w:rPr>
              <w:t>Tecnología Industrial</w:t>
            </w:r>
          </w:p>
        </w:tc>
        <w:tc>
          <w:tcPr>
            <w:tcW w:w="4319" w:type="dxa"/>
            <w:vAlign w:val="center"/>
          </w:tcPr>
          <w:p w:rsidR="00A627CB" w:rsidRPr="00732E87" w:rsidRDefault="00A627CB" w:rsidP="00EB79AD">
            <w:pPr>
              <w:pStyle w:val="Prrafodelista"/>
              <w:spacing w:after="0"/>
              <w:ind w:left="0"/>
              <w:jc w:val="left"/>
              <w:cnfStyle w:val="000000100000" w:firstRow="0" w:lastRow="0" w:firstColumn="0" w:lastColumn="0" w:oddVBand="0" w:evenVBand="0" w:oddHBand="1" w:evenHBand="0" w:firstRowFirstColumn="0" w:firstRowLastColumn="0" w:lastRowFirstColumn="0" w:lastRowLastColumn="0"/>
              <w:rPr>
                <w:bCs/>
                <w:sz w:val="18"/>
                <w:szCs w:val="18"/>
              </w:rPr>
            </w:pPr>
            <w:r w:rsidRPr="00732E87">
              <w:rPr>
                <w:bCs/>
                <w:sz w:val="18"/>
                <w:szCs w:val="18"/>
              </w:rPr>
              <w:t>Ciencias del Deporte y la Recreación</w:t>
            </w:r>
          </w:p>
        </w:tc>
      </w:tr>
      <w:tr w:rsidR="00EB79AD" w:rsidRPr="00732E87" w:rsidTr="00EB79AD">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553" w:type="dxa"/>
            <w:vAlign w:val="center"/>
          </w:tcPr>
          <w:p w:rsidR="00EB79AD" w:rsidRPr="00732E87" w:rsidRDefault="00EB79AD" w:rsidP="00EB79AD">
            <w:pPr>
              <w:pStyle w:val="Prrafodelista"/>
              <w:spacing w:after="0"/>
              <w:ind w:left="0"/>
              <w:jc w:val="left"/>
              <w:rPr>
                <w:b w:val="0"/>
                <w:bCs w:val="0"/>
                <w:sz w:val="18"/>
                <w:szCs w:val="18"/>
              </w:rPr>
            </w:pPr>
            <w:r w:rsidRPr="00732E87">
              <w:rPr>
                <w:b w:val="0"/>
                <w:bCs w:val="0"/>
                <w:sz w:val="18"/>
                <w:szCs w:val="18"/>
              </w:rPr>
              <w:t>Licenciatura en Matemáticas y Física</w:t>
            </w:r>
          </w:p>
        </w:tc>
        <w:tc>
          <w:tcPr>
            <w:tcW w:w="4319" w:type="dxa"/>
            <w:vMerge w:val="restart"/>
          </w:tcPr>
          <w:p w:rsidR="00EB79AD" w:rsidRPr="00732E87" w:rsidRDefault="00EB79AD" w:rsidP="00EB79AD">
            <w:pPr>
              <w:pStyle w:val="Prrafodelista"/>
              <w:spacing w:after="0"/>
              <w:ind w:left="0"/>
              <w:cnfStyle w:val="000000010000" w:firstRow="0" w:lastRow="0" w:firstColumn="0" w:lastColumn="0" w:oddVBand="0" w:evenVBand="0" w:oddHBand="0" w:evenHBand="1" w:firstRowFirstColumn="0" w:firstRowLastColumn="0" w:lastRowFirstColumn="0" w:lastRowLastColumn="0"/>
              <w:rPr>
                <w:bCs/>
                <w:sz w:val="18"/>
                <w:szCs w:val="18"/>
              </w:rPr>
            </w:pPr>
            <w:r w:rsidRPr="00732E87">
              <w:rPr>
                <w:bCs/>
                <w:sz w:val="18"/>
                <w:szCs w:val="18"/>
              </w:rPr>
              <w:t>Licenciatura en Lengua Inglesa</w:t>
            </w:r>
          </w:p>
        </w:tc>
      </w:tr>
      <w:tr w:rsidR="00EB79AD" w:rsidRPr="00732E87" w:rsidTr="00732E8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553" w:type="dxa"/>
            <w:vAlign w:val="center"/>
          </w:tcPr>
          <w:p w:rsidR="00EB79AD" w:rsidRPr="00732E87" w:rsidRDefault="00EB79AD" w:rsidP="00EB79AD">
            <w:pPr>
              <w:pStyle w:val="Prrafodelista"/>
              <w:spacing w:after="0"/>
              <w:ind w:left="0"/>
              <w:jc w:val="left"/>
              <w:rPr>
                <w:b w:val="0"/>
                <w:bCs w:val="0"/>
                <w:sz w:val="18"/>
                <w:szCs w:val="18"/>
              </w:rPr>
            </w:pPr>
            <w:r w:rsidRPr="00732E87">
              <w:rPr>
                <w:b w:val="0"/>
                <w:bCs w:val="0"/>
                <w:sz w:val="18"/>
                <w:szCs w:val="18"/>
              </w:rPr>
              <w:t>Licenciatura en Filosofía</w:t>
            </w:r>
          </w:p>
        </w:tc>
        <w:tc>
          <w:tcPr>
            <w:tcW w:w="4319" w:type="dxa"/>
            <w:vMerge/>
            <w:vAlign w:val="center"/>
          </w:tcPr>
          <w:p w:rsidR="00EB79AD" w:rsidRPr="00732E87" w:rsidRDefault="00EB79AD" w:rsidP="00732E87">
            <w:pPr>
              <w:pStyle w:val="Prrafodelista"/>
              <w:ind w:left="142"/>
              <w:jc w:val="left"/>
              <w:cnfStyle w:val="000000100000" w:firstRow="0" w:lastRow="0" w:firstColumn="0" w:lastColumn="0" w:oddVBand="0" w:evenVBand="0" w:oddHBand="1" w:evenHBand="0" w:firstRowFirstColumn="0" w:firstRowLastColumn="0" w:lastRowFirstColumn="0" w:lastRowLastColumn="0"/>
              <w:rPr>
                <w:sz w:val="18"/>
                <w:szCs w:val="18"/>
              </w:rPr>
            </w:pPr>
          </w:p>
        </w:tc>
      </w:tr>
      <w:tr w:rsidR="00EB79AD" w:rsidRPr="00732E87" w:rsidTr="00732E87">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553" w:type="dxa"/>
            <w:vAlign w:val="center"/>
          </w:tcPr>
          <w:p w:rsidR="00EB79AD" w:rsidRPr="00732E87" w:rsidRDefault="00EB79AD" w:rsidP="00EB79AD">
            <w:pPr>
              <w:pStyle w:val="Prrafodelista"/>
              <w:spacing w:after="0"/>
              <w:ind w:left="0"/>
              <w:jc w:val="left"/>
              <w:rPr>
                <w:b w:val="0"/>
                <w:bCs w:val="0"/>
                <w:sz w:val="18"/>
                <w:szCs w:val="18"/>
              </w:rPr>
            </w:pPr>
            <w:r w:rsidRPr="00732E87">
              <w:rPr>
                <w:b w:val="0"/>
                <w:bCs w:val="0"/>
                <w:sz w:val="18"/>
                <w:szCs w:val="18"/>
              </w:rPr>
              <w:t>Tecnología Eléctrica</w:t>
            </w:r>
          </w:p>
        </w:tc>
        <w:tc>
          <w:tcPr>
            <w:tcW w:w="4319" w:type="dxa"/>
            <w:vMerge/>
            <w:vAlign w:val="center"/>
          </w:tcPr>
          <w:p w:rsidR="00EB79AD" w:rsidRPr="00732E87" w:rsidRDefault="00EB79AD" w:rsidP="00732E87">
            <w:pPr>
              <w:pStyle w:val="Prrafodelista"/>
              <w:ind w:left="142"/>
              <w:jc w:val="left"/>
              <w:cnfStyle w:val="000000010000" w:firstRow="0" w:lastRow="0" w:firstColumn="0" w:lastColumn="0" w:oddVBand="0" w:evenVBand="0" w:oddHBand="0" w:evenHBand="1" w:firstRowFirstColumn="0" w:firstRowLastColumn="0" w:lastRowFirstColumn="0" w:lastRowLastColumn="0"/>
              <w:rPr>
                <w:sz w:val="18"/>
                <w:szCs w:val="18"/>
              </w:rPr>
            </w:pPr>
          </w:p>
        </w:tc>
      </w:tr>
      <w:tr w:rsidR="00EB79AD" w:rsidRPr="00732E87" w:rsidTr="00732E8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553" w:type="dxa"/>
            <w:vAlign w:val="center"/>
          </w:tcPr>
          <w:p w:rsidR="00EB79AD" w:rsidRPr="00732E87" w:rsidRDefault="00EB79AD" w:rsidP="00EB79AD">
            <w:pPr>
              <w:pStyle w:val="Prrafodelista"/>
              <w:spacing w:after="0"/>
              <w:ind w:left="0"/>
              <w:jc w:val="left"/>
              <w:rPr>
                <w:b w:val="0"/>
                <w:bCs w:val="0"/>
                <w:sz w:val="18"/>
                <w:szCs w:val="18"/>
              </w:rPr>
            </w:pPr>
            <w:r w:rsidRPr="00732E87">
              <w:rPr>
                <w:b w:val="0"/>
                <w:bCs w:val="0"/>
                <w:sz w:val="18"/>
                <w:szCs w:val="18"/>
              </w:rPr>
              <w:t>Ingeniería Física</w:t>
            </w:r>
          </w:p>
        </w:tc>
        <w:tc>
          <w:tcPr>
            <w:tcW w:w="4319" w:type="dxa"/>
            <w:vMerge/>
            <w:vAlign w:val="center"/>
          </w:tcPr>
          <w:p w:rsidR="00EB79AD" w:rsidRPr="00732E87" w:rsidRDefault="00EB79AD" w:rsidP="00732E87">
            <w:pPr>
              <w:pStyle w:val="Prrafodelista"/>
              <w:ind w:left="142"/>
              <w:jc w:val="left"/>
              <w:cnfStyle w:val="000000100000" w:firstRow="0" w:lastRow="0" w:firstColumn="0" w:lastColumn="0" w:oddVBand="0" w:evenVBand="0" w:oddHBand="1" w:evenHBand="0" w:firstRowFirstColumn="0" w:firstRowLastColumn="0" w:lastRowFirstColumn="0" w:lastRowLastColumn="0"/>
              <w:rPr>
                <w:sz w:val="18"/>
                <w:szCs w:val="18"/>
              </w:rPr>
            </w:pPr>
          </w:p>
        </w:tc>
      </w:tr>
      <w:tr w:rsidR="00EB79AD" w:rsidRPr="00732E87" w:rsidTr="00732E87">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553" w:type="dxa"/>
            <w:vAlign w:val="center"/>
          </w:tcPr>
          <w:p w:rsidR="00EB79AD" w:rsidRPr="00732E87" w:rsidRDefault="00EB79AD" w:rsidP="00EB79AD">
            <w:pPr>
              <w:pStyle w:val="Prrafodelista"/>
              <w:spacing w:after="0"/>
              <w:ind w:left="0"/>
              <w:jc w:val="left"/>
              <w:rPr>
                <w:b w:val="0"/>
                <w:bCs w:val="0"/>
                <w:sz w:val="18"/>
                <w:szCs w:val="18"/>
              </w:rPr>
            </w:pPr>
            <w:r w:rsidRPr="00732E87">
              <w:rPr>
                <w:b w:val="0"/>
                <w:bCs w:val="0"/>
                <w:sz w:val="18"/>
                <w:szCs w:val="18"/>
              </w:rPr>
              <w:t>Licenciatura en Comunicación e Informática Educativa</w:t>
            </w:r>
          </w:p>
        </w:tc>
        <w:tc>
          <w:tcPr>
            <w:tcW w:w="4319" w:type="dxa"/>
            <w:vMerge/>
            <w:vAlign w:val="center"/>
          </w:tcPr>
          <w:p w:rsidR="00EB79AD" w:rsidRPr="00732E87" w:rsidRDefault="00EB79AD" w:rsidP="00732E87">
            <w:pPr>
              <w:pStyle w:val="Prrafodelista"/>
              <w:ind w:left="142"/>
              <w:jc w:val="left"/>
              <w:cnfStyle w:val="000000010000" w:firstRow="0" w:lastRow="0" w:firstColumn="0" w:lastColumn="0" w:oddVBand="0" w:evenVBand="0" w:oddHBand="0" w:evenHBand="1" w:firstRowFirstColumn="0" w:firstRowLastColumn="0" w:lastRowFirstColumn="0" w:lastRowLastColumn="0"/>
              <w:rPr>
                <w:sz w:val="18"/>
                <w:szCs w:val="18"/>
              </w:rPr>
            </w:pPr>
          </w:p>
        </w:tc>
      </w:tr>
      <w:tr w:rsidR="00EB79AD" w:rsidRPr="00732E87" w:rsidTr="00732E8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553" w:type="dxa"/>
            <w:vAlign w:val="center"/>
          </w:tcPr>
          <w:p w:rsidR="00EB79AD" w:rsidRPr="00732E87" w:rsidRDefault="00EB79AD" w:rsidP="00EB79AD">
            <w:pPr>
              <w:pStyle w:val="Prrafodelista"/>
              <w:spacing w:after="0"/>
              <w:ind w:left="0"/>
              <w:jc w:val="left"/>
              <w:rPr>
                <w:b w:val="0"/>
                <w:bCs w:val="0"/>
                <w:sz w:val="18"/>
                <w:szCs w:val="18"/>
              </w:rPr>
            </w:pPr>
            <w:r w:rsidRPr="00732E87">
              <w:rPr>
                <w:b w:val="0"/>
                <w:bCs w:val="0"/>
                <w:sz w:val="18"/>
                <w:szCs w:val="18"/>
              </w:rPr>
              <w:t>Administración del Medio Ambiente</w:t>
            </w:r>
          </w:p>
        </w:tc>
        <w:tc>
          <w:tcPr>
            <w:tcW w:w="4319" w:type="dxa"/>
            <w:vMerge/>
            <w:vAlign w:val="center"/>
          </w:tcPr>
          <w:p w:rsidR="00EB79AD" w:rsidRPr="00732E87" w:rsidRDefault="00EB79AD" w:rsidP="00732E87">
            <w:pPr>
              <w:pStyle w:val="Prrafodelista"/>
              <w:ind w:left="142"/>
              <w:jc w:val="left"/>
              <w:cnfStyle w:val="000000100000" w:firstRow="0" w:lastRow="0" w:firstColumn="0" w:lastColumn="0" w:oddVBand="0" w:evenVBand="0" w:oddHBand="1" w:evenHBand="0" w:firstRowFirstColumn="0" w:firstRowLastColumn="0" w:lastRowFirstColumn="0" w:lastRowLastColumn="0"/>
              <w:rPr>
                <w:sz w:val="18"/>
                <w:szCs w:val="18"/>
              </w:rPr>
            </w:pPr>
          </w:p>
        </w:tc>
      </w:tr>
      <w:tr w:rsidR="00EB79AD" w:rsidRPr="00732E87" w:rsidTr="00732E87">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553" w:type="dxa"/>
            <w:vAlign w:val="center"/>
          </w:tcPr>
          <w:p w:rsidR="00EB79AD" w:rsidRPr="00732E87" w:rsidRDefault="00EB79AD" w:rsidP="00EB79AD">
            <w:pPr>
              <w:pStyle w:val="Prrafodelista"/>
              <w:spacing w:after="0"/>
              <w:ind w:left="0"/>
              <w:jc w:val="left"/>
              <w:rPr>
                <w:b w:val="0"/>
                <w:bCs w:val="0"/>
                <w:sz w:val="18"/>
                <w:szCs w:val="18"/>
              </w:rPr>
            </w:pPr>
            <w:r w:rsidRPr="00732E87">
              <w:rPr>
                <w:b w:val="0"/>
                <w:bCs w:val="0"/>
                <w:sz w:val="18"/>
                <w:szCs w:val="18"/>
              </w:rPr>
              <w:t>Ingeniería Mecánica</w:t>
            </w:r>
          </w:p>
        </w:tc>
        <w:tc>
          <w:tcPr>
            <w:tcW w:w="4319" w:type="dxa"/>
            <w:vMerge/>
            <w:vAlign w:val="center"/>
          </w:tcPr>
          <w:p w:rsidR="00EB79AD" w:rsidRPr="00732E87" w:rsidRDefault="00EB79AD" w:rsidP="00732E87">
            <w:pPr>
              <w:pStyle w:val="Prrafodelista"/>
              <w:ind w:left="142"/>
              <w:jc w:val="left"/>
              <w:cnfStyle w:val="000000010000" w:firstRow="0" w:lastRow="0" w:firstColumn="0" w:lastColumn="0" w:oddVBand="0" w:evenVBand="0" w:oddHBand="0" w:evenHBand="1" w:firstRowFirstColumn="0" w:firstRowLastColumn="0" w:lastRowFirstColumn="0" w:lastRowLastColumn="0"/>
              <w:rPr>
                <w:sz w:val="18"/>
                <w:szCs w:val="18"/>
              </w:rPr>
            </w:pPr>
          </w:p>
        </w:tc>
      </w:tr>
      <w:tr w:rsidR="00EB79AD" w:rsidRPr="00732E87" w:rsidTr="00732E8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553" w:type="dxa"/>
            <w:vAlign w:val="center"/>
          </w:tcPr>
          <w:p w:rsidR="00EB79AD" w:rsidRPr="00732E87" w:rsidRDefault="00EB79AD" w:rsidP="00EB79AD">
            <w:pPr>
              <w:pStyle w:val="Prrafodelista"/>
              <w:spacing w:after="0"/>
              <w:ind w:left="0"/>
              <w:jc w:val="left"/>
              <w:rPr>
                <w:b w:val="0"/>
                <w:bCs w:val="0"/>
                <w:sz w:val="18"/>
                <w:szCs w:val="18"/>
              </w:rPr>
            </w:pPr>
            <w:r w:rsidRPr="00732E87">
              <w:rPr>
                <w:b w:val="0"/>
                <w:bCs w:val="0"/>
                <w:sz w:val="18"/>
                <w:szCs w:val="18"/>
              </w:rPr>
              <w:t>Licenciatura en Música</w:t>
            </w:r>
          </w:p>
        </w:tc>
        <w:tc>
          <w:tcPr>
            <w:tcW w:w="4319" w:type="dxa"/>
            <w:vMerge/>
            <w:vAlign w:val="center"/>
          </w:tcPr>
          <w:p w:rsidR="00EB79AD" w:rsidRPr="00732E87" w:rsidRDefault="00EB79AD" w:rsidP="00732E87">
            <w:pPr>
              <w:pStyle w:val="Prrafodelista"/>
              <w:ind w:left="142"/>
              <w:jc w:val="left"/>
              <w:cnfStyle w:val="000000100000" w:firstRow="0" w:lastRow="0" w:firstColumn="0" w:lastColumn="0" w:oddVBand="0" w:evenVBand="0" w:oddHBand="1" w:evenHBand="0" w:firstRowFirstColumn="0" w:firstRowLastColumn="0" w:lastRowFirstColumn="0" w:lastRowLastColumn="0"/>
              <w:rPr>
                <w:sz w:val="18"/>
                <w:szCs w:val="18"/>
              </w:rPr>
            </w:pPr>
          </w:p>
        </w:tc>
      </w:tr>
      <w:tr w:rsidR="00EB79AD" w:rsidRPr="00732E87" w:rsidTr="00732E87">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553" w:type="dxa"/>
            <w:vAlign w:val="center"/>
          </w:tcPr>
          <w:p w:rsidR="00EB79AD" w:rsidRPr="00732E87" w:rsidRDefault="00EB79AD" w:rsidP="00EB79AD">
            <w:pPr>
              <w:pStyle w:val="Prrafodelista"/>
              <w:spacing w:after="0"/>
              <w:ind w:left="0"/>
              <w:jc w:val="left"/>
              <w:rPr>
                <w:b w:val="0"/>
                <w:bCs w:val="0"/>
                <w:sz w:val="18"/>
                <w:szCs w:val="18"/>
              </w:rPr>
            </w:pPr>
            <w:r w:rsidRPr="00732E87">
              <w:rPr>
                <w:b w:val="0"/>
                <w:bCs w:val="0"/>
                <w:sz w:val="18"/>
                <w:szCs w:val="18"/>
              </w:rPr>
              <w:t>Licenciatura en Español y Literatura</w:t>
            </w:r>
          </w:p>
        </w:tc>
        <w:tc>
          <w:tcPr>
            <w:tcW w:w="4319" w:type="dxa"/>
            <w:vMerge/>
            <w:vAlign w:val="center"/>
          </w:tcPr>
          <w:p w:rsidR="00EB79AD" w:rsidRPr="00732E87" w:rsidRDefault="00EB79AD" w:rsidP="00732E87">
            <w:pPr>
              <w:pStyle w:val="Prrafodelista"/>
              <w:ind w:left="142"/>
              <w:jc w:val="left"/>
              <w:cnfStyle w:val="000000010000" w:firstRow="0" w:lastRow="0" w:firstColumn="0" w:lastColumn="0" w:oddVBand="0" w:evenVBand="0" w:oddHBand="0" w:evenHBand="1" w:firstRowFirstColumn="0" w:firstRowLastColumn="0" w:lastRowFirstColumn="0" w:lastRowLastColumn="0"/>
              <w:rPr>
                <w:sz w:val="18"/>
                <w:szCs w:val="18"/>
              </w:rPr>
            </w:pPr>
          </w:p>
        </w:tc>
      </w:tr>
      <w:tr w:rsidR="00EB79AD" w:rsidRPr="00732E87" w:rsidTr="00732E8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553" w:type="dxa"/>
            <w:vAlign w:val="center"/>
          </w:tcPr>
          <w:p w:rsidR="00EB79AD" w:rsidRPr="00732E87" w:rsidRDefault="00EB79AD" w:rsidP="00EB79AD">
            <w:pPr>
              <w:pStyle w:val="Prrafodelista"/>
              <w:spacing w:after="0"/>
              <w:ind w:left="0"/>
              <w:jc w:val="left"/>
              <w:rPr>
                <w:b w:val="0"/>
                <w:bCs w:val="0"/>
                <w:sz w:val="18"/>
                <w:szCs w:val="18"/>
              </w:rPr>
            </w:pPr>
            <w:r w:rsidRPr="00732E87">
              <w:rPr>
                <w:b w:val="0"/>
                <w:bCs w:val="0"/>
                <w:sz w:val="18"/>
                <w:szCs w:val="18"/>
              </w:rPr>
              <w:t>Tecnología Química</w:t>
            </w:r>
          </w:p>
        </w:tc>
        <w:tc>
          <w:tcPr>
            <w:tcW w:w="4319" w:type="dxa"/>
            <w:vMerge/>
            <w:vAlign w:val="center"/>
          </w:tcPr>
          <w:p w:rsidR="00EB79AD" w:rsidRPr="00732E87" w:rsidRDefault="00EB79AD" w:rsidP="00732E87">
            <w:pPr>
              <w:pStyle w:val="Prrafodelista"/>
              <w:ind w:left="142"/>
              <w:jc w:val="left"/>
              <w:cnfStyle w:val="000000100000" w:firstRow="0" w:lastRow="0" w:firstColumn="0" w:lastColumn="0" w:oddVBand="0" w:evenVBand="0" w:oddHBand="1" w:evenHBand="0" w:firstRowFirstColumn="0" w:firstRowLastColumn="0" w:lastRowFirstColumn="0" w:lastRowLastColumn="0"/>
              <w:rPr>
                <w:sz w:val="18"/>
                <w:szCs w:val="18"/>
              </w:rPr>
            </w:pPr>
          </w:p>
        </w:tc>
      </w:tr>
    </w:tbl>
    <w:p w:rsidR="00A627CB" w:rsidRPr="00732E87" w:rsidRDefault="00A627CB" w:rsidP="00732E87">
      <w:pPr>
        <w:jc w:val="center"/>
        <w:rPr>
          <w:b/>
        </w:rPr>
      </w:pPr>
      <w:r w:rsidRPr="00732E87">
        <w:rPr>
          <w:b/>
        </w:rPr>
        <w:t>Fuente: Vicerrectoría Académica</w:t>
      </w:r>
    </w:p>
    <w:p w:rsidR="00A627CB" w:rsidRPr="00647639" w:rsidRDefault="00A627CB" w:rsidP="00A627CB">
      <w:pPr>
        <w:pStyle w:val="Prrafodelista"/>
        <w:ind w:left="0"/>
        <w:rPr>
          <w:rFonts w:ascii="Maiandra GD" w:hAnsi="Maiandra GD"/>
          <w:sz w:val="20"/>
          <w:szCs w:val="20"/>
        </w:rPr>
      </w:pPr>
    </w:p>
    <w:p w:rsidR="00A627CB" w:rsidRDefault="00A627CB" w:rsidP="00732E87">
      <w:r w:rsidRPr="00647639">
        <w:t xml:space="preserve">Desde Vicerrectoría Académica se ha dispuesto un </w:t>
      </w:r>
      <w:r w:rsidR="00E52A7D">
        <w:t xml:space="preserve">profesional </w:t>
      </w:r>
      <w:r w:rsidRPr="00647639">
        <w:t xml:space="preserve">encargado de facilitar a los programas en proceso de autoevaluación la elaboración del informe final, realizando un acompañamiento transversal a todo el proceso, éste mismo </w:t>
      </w:r>
      <w:r w:rsidR="00E52A7D">
        <w:t xml:space="preserve">profesional </w:t>
      </w:r>
      <w:r w:rsidRPr="00647639">
        <w:t>asesora los programas de posgrado en la actualidad.</w:t>
      </w:r>
    </w:p>
    <w:p w:rsidR="00E52A7D" w:rsidRPr="00647639" w:rsidRDefault="00E52A7D" w:rsidP="00A627CB">
      <w:pPr>
        <w:pStyle w:val="Prrafodelista"/>
        <w:ind w:left="0"/>
        <w:rPr>
          <w:rFonts w:ascii="Maiandra GD" w:hAnsi="Maiandra GD"/>
          <w:sz w:val="20"/>
          <w:szCs w:val="20"/>
        </w:rPr>
      </w:pPr>
    </w:p>
    <w:p w:rsidR="00A627CB" w:rsidRPr="00732E87" w:rsidRDefault="00A627CB" w:rsidP="00732E87">
      <w:pPr>
        <w:jc w:val="center"/>
        <w:rPr>
          <w:b/>
        </w:rPr>
      </w:pPr>
      <w:r w:rsidRPr="00732E87">
        <w:rPr>
          <w:b/>
        </w:rPr>
        <w:t>Resultados – Metas de Acreditación de programas (pregrado).</w:t>
      </w:r>
    </w:p>
    <w:p w:rsidR="00A627CB" w:rsidRPr="00732E87" w:rsidRDefault="00A627CB" w:rsidP="00732E87">
      <w:pPr>
        <w:jc w:val="center"/>
        <w:rPr>
          <w:b/>
        </w:rPr>
      </w:pPr>
      <w:r w:rsidRPr="00732E87">
        <w:rPr>
          <w:b/>
          <w:noProof/>
          <w:lang w:val="es-CO" w:eastAsia="es-CO"/>
        </w:rPr>
        <w:drawing>
          <wp:inline distT="0" distB="0" distL="0" distR="0">
            <wp:extent cx="4772025" cy="1868400"/>
            <wp:effectExtent l="0" t="0" r="0" b="0"/>
            <wp:docPr id="41" name="1 Gráfico"/>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A627CB" w:rsidRPr="00732E87" w:rsidRDefault="00A627CB" w:rsidP="00732E87">
      <w:pPr>
        <w:jc w:val="center"/>
        <w:rPr>
          <w:b/>
          <w:i/>
          <w:sz w:val="20"/>
        </w:rPr>
      </w:pPr>
      <w:r w:rsidRPr="00732E87">
        <w:rPr>
          <w:b/>
          <w:i/>
          <w:sz w:val="20"/>
        </w:rPr>
        <w:t>Fuente: SIGOB</w:t>
      </w:r>
    </w:p>
    <w:p w:rsidR="00A627CB" w:rsidRPr="00BF0335" w:rsidRDefault="00A627CB" w:rsidP="00A627CB">
      <w:pPr>
        <w:rPr>
          <w:rFonts w:ascii="Maiandra GD" w:hAnsi="Maiandra GD"/>
          <w:b/>
          <w:sz w:val="24"/>
          <w:szCs w:val="24"/>
          <w:highlight w:val="yellow"/>
        </w:rPr>
      </w:pPr>
    </w:p>
    <w:p w:rsidR="00A627CB" w:rsidRPr="00B444E3" w:rsidRDefault="00A627CB" w:rsidP="00732E87">
      <w:pPr>
        <w:pStyle w:val="Ttulo3"/>
      </w:pPr>
      <w:bookmarkStart w:id="114" w:name="_Toc319421858"/>
      <w:bookmarkStart w:id="115" w:name="_Toc354671339"/>
      <w:r w:rsidRPr="00B444E3">
        <w:t>Acreditación de programas</w:t>
      </w:r>
      <w:r>
        <w:t xml:space="preserve"> académicos</w:t>
      </w:r>
      <w:r w:rsidRPr="00B444E3">
        <w:t xml:space="preserve"> (postgrado)</w:t>
      </w:r>
      <w:bookmarkEnd w:id="114"/>
      <w:bookmarkEnd w:id="115"/>
    </w:p>
    <w:p w:rsidR="00A627CB" w:rsidRDefault="00A627CB" w:rsidP="00A627CB">
      <w:pPr>
        <w:pStyle w:val="Prrafodelista"/>
        <w:spacing w:after="0"/>
        <w:ind w:left="0"/>
        <w:rPr>
          <w:rFonts w:ascii="Maiandra GD" w:hAnsi="Maiandra GD"/>
          <w:b/>
          <w:sz w:val="24"/>
          <w:szCs w:val="24"/>
        </w:rPr>
      </w:pPr>
    </w:p>
    <w:p w:rsidR="00A627CB" w:rsidRPr="00647639" w:rsidRDefault="00A627CB" w:rsidP="00732E87">
      <w:r>
        <w:t xml:space="preserve">Este indicador busca medir la efectividad de los programas en alcanzar la acreditación de alta calidad, para esto, se mide el número de programas académicos de postgrado que cuentan con la acreditación de alta calidad, o tienen un concepto favorable de los “Pares académicos evaluadores” sobre el total de programas académicos de postgrado que pueden optar por dicha distinción según los requisitos del Consejo Nacional de Acreditación. Al cierre de la vigencia </w:t>
      </w:r>
      <w:r w:rsidRPr="00C779BA">
        <w:rPr>
          <w:b/>
        </w:rPr>
        <w:t>2012</w:t>
      </w:r>
      <w:r>
        <w:t xml:space="preserve">, </w:t>
      </w:r>
      <w:r>
        <w:lastRenderedPageBreak/>
        <w:t xml:space="preserve">se contaba </w:t>
      </w:r>
      <w:r w:rsidRPr="00C976A7">
        <w:rPr>
          <w:b/>
        </w:rPr>
        <w:t>1</w:t>
      </w:r>
      <w:r w:rsidRPr="00647639">
        <w:t xml:space="preserve"> programas con concepto</w:t>
      </w:r>
      <w:r>
        <w:t xml:space="preserve"> favorable de Pares Académicos, sobre un total de </w:t>
      </w:r>
      <w:r>
        <w:rPr>
          <w:b/>
        </w:rPr>
        <w:t>5</w:t>
      </w:r>
      <w:r>
        <w:t xml:space="preserve"> programas de postgrado acreditables</w:t>
      </w:r>
      <w:r w:rsidRPr="00647639">
        <w:t>.</w:t>
      </w:r>
    </w:p>
    <w:p w:rsidR="00AD40BD" w:rsidRDefault="00AD40BD" w:rsidP="00732E87"/>
    <w:p w:rsidR="00A627CB" w:rsidRDefault="00A627CB" w:rsidP="00732E87">
      <w:r w:rsidRPr="00290490">
        <w:t xml:space="preserve">Se tiene a la fecha un avance del </w:t>
      </w:r>
      <w:r w:rsidRPr="00B444E3">
        <w:rPr>
          <w:b/>
        </w:rPr>
        <w:t>20%</w:t>
      </w:r>
      <w:r w:rsidRPr="00290490">
        <w:t xml:space="preserve"> correspondiente a un nivel de cumplimiento del </w:t>
      </w:r>
      <w:r w:rsidRPr="00B444E3">
        <w:rPr>
          <w:b/>
        </w:rPr>
        <w:t>100%</w:t>
      </w:r>
      <w:r w:rsidRPr="00290490">
        <w:t>, con respecto a la meta propuesta para la presente vigencia.</w:t>
      </w:r>
    </w:p>
    <w:p w:rsidR="00AD40BD" w:rsidRPr="00290490" w:rsidRDefault="00AD40BD" w:rsidP="00A627CB">
      <w:pPr>
        <w:pStyle w:val="Prrafodelista"/>
        <w:ind w:left="0"/>
        <w:rPr>
          <w:rFonts w:ascii="Maiandra GD" w:hAnsi="Maiandra GD"/>
          <w:sz w:val="20"/>
          <w:szCs w:val="20"/>
        </w:rPr>
      </w:pPr>
    </w:p>
    <w:tbl>
      <w:tblPr>
        <w:tblStyle w:val="Cuadrculaclara-nfasis1"/>
        <w:tblW w:w="0" w:type="auto"/>
        <w:jc w:val="center"/>
        <w:tblLook w:val="04A0" w:firstRow="1" w:lastRow="0" w:firstColumn="1" w:lastColumn="0" w:noHBand="0" w:noVBand="1"/>
      </w:tblPr>
      <w:tblGrid>
        <w:gridCol w:w="3510"/>
        <w:gridCol w:w="5362"/>
      </w:tblGrid>
      <w:tr w:rsidR="00A627CB" w:rsidRPr="00732E87" w:rsidTr="005550DB">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510" w:type="dxa"/>
          </w:tcPr>
          <w:p w:rsidR="00A627CB" w:rsidRPr="00732E87" w:rsidRDefault="00A627CB" w:rsidP="005550DB">
            <w:pPr>
              <w:pStyle w:val="Prrafodelista"/>
              <w:ind w:left="0"/>
              <w:jc w:val="center"/>
              <w:rPr>
                <w:sz w:val="18"/>
                <w:szCs w:val="18"/>
              </w:rPr>
            </w:pPr>
            <w:r w:rsidRPr="00732E87">
              <w:rPr>
                <w:sz w:val="18"/>
                <w:szCs w:val="18"/>
              </w:rPr>
              <w:t>Programas Acreditados</w:t>
            </w:r>
          </w:p>
        </w:tc>
        <w:tc>
          <w:tcPr>
            <w:tcW w:w="5362" w:type="dxa"/>
          </w:tcPr>
          <w:p w:rsidR="00A627CB" w:rsidRPr="00732E87" w:rsidRDefault="00A627CB" w:rsidP="005550DB">
            <w:pPr>
              <w:pStyle w:val="Prrafodelista"/>
              <w:ind w:left="0"/>
              <w:jc w:val="center"/>
              <w:cnfStyle w:val="100000000000" w:firstRow="1" w:lastRow="0" w:firstColumn="0" w:lastColumn="0" w:oddVBand="0" w:evenVBand="0" w:oddHBand="0" w:evenHBand="0" w:firstRowFirstColumn="0" w:firstRowLastColumn="0" w:lastRowFirstColumn="0" w:lastRowLastColumn="0"/>
              <w:rPr>
                <w:sz w:val="18"/>
                <w:szCs w:val="18"/>
              </w:rPr>
            </w:pPr>
            <w:r w:rsidRPr="00732E87">
              <w:rPr>
                <w:sz w:val="18"/>
                <w:szCs w:val="18"/>
              </w:rPr>
              <w:t>Programas en proceso de acreditación</w:t>
            </w:r>
          </w:p>
        </w:tc>
      </w:tr>
      <w:tr w:rsidR="00C851A9" w:rsidRPr="00732E87" w:rsidTr="005550D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510" w:type="dxa"/>
            <w:vMerge w:val="restart"/>
            <w:vAlign w:val="center"/>
          </w:tcPr>
          <w:p w:rsidR="00C851A9" w:rsidRPr="00732E87" w:rsidRDefault="00C851A9" w:rsidP="00732E87">
            <w:pPr>
              <w:pStyle w:val="Sinespaciado"/>
              <w:rPr>
                <w:sz w:val="18"/>
                <w:szCs w:val="18"/>
              </w:rPr>
            </w:pPr>
            <w:r w:rsidRPr="00732E87">
              <w:rPr>
                <w:sz w:val="18"/>
                <w:szCs w:val="18"/>
              </w:rPr>
              <w:t>Maestría en Literatura</w:t>
            </w:r>
          </w:p>
        </w:tc>
        <w:tc>
          <w:tcPr>
            <w:tcW w:w="5362" w:type="dxa"/>
          </w:tcPr>
          <w:p w:rsidR="00C851A9" w:rsidRPr="00732E87" w:rsidRDefault="00C851A9" w:rsidP="00732E87">
            <w:pPr>
              <w:pStyle w:val="Sinespaciado"/>
              <w:cnfStyle w:val="000000100000" w:firstRow="0" w:lastRow="0" w:firstColumn="0" w:lastColumn="0" w:oddVBand="0" w:evenVBand="0" w:oddHBand="1" w:evenHBand="0" w:firstRowFirstColumn="0" w:firstRowLastColumn="0" w:lastRowFirstColumn="0" w:lastRowLastColumn="0"/>
              <w:rPr>
                <w:sz w:val="18"/>
                <w:szCs w:val="18"/>
              </w:rPr>
            </w:pPr>
            <w:r w:rsidRPr="00732E87">
              <w:rPr>
                <w:sz w:val="18"/>
                <w:szCs w:val="18"/>
              </w:rPr>
              <w:t>Maestría en Comunicación e Informática Educativa</w:t>
            </w:r>
          </w:p>
          <w:p w:rsidR="00C851A9" w:rsidRPr="00EB79AD" w:rsidRDefault="00C851A9" w:rsidP="00732E87">
            <w:pPr>
              <w:pStyle w:val="Sinespaciado"/>
              <w:cnfStyle w:val="000000100000" w:firstRow="0" w:lastRow="0" w:firstColumn="0" w:lastColumn="0" w:oddVBand="0" w:evenVBand="0" w:oddHBand="1" w:evenHBand="0" w:firstRowFirstColumn="0" w:firstRowLastColumn="0" w:lastRowFirstColumn="0" w:lastRowLastColumn="0"/>
              <w:rPr>
                <w:i/>
                <w:sz w:val="18"/>
                <w:szCs w:val="18"/>
              </w:rPr>
            </w:pPr>
            <w:r w:rsidRPr="00EB79AD">
              <w:rPr>
                <w:i/>
                <w:sz w:val="18"/>
                <w:szCs w:val="18"/>
              </w:rPr>
              <w:t>Visita de Pares Académicos Realizada</w:t>
            </w:r>
          </w:p>
        </w:tc>
      </w:tr>
      <w:tr w:rsidR="00C851A9" w:rsidRPr="00732E87" w:rsidTr="005550DB">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510" w:type="dxa"/>
            <w:vMerge/>
            <w:vAlign w:val="center"/>
          </w:tcPr>
          <w:p w:rsidR="00C851A9" w:rsidRPr="00732E87" w:rsidRDefault="00C851A9" w:rsidP="00732E87">
            <w:pPr>
              <w:pStyle w:val="Sinespaciado"/>
              <w:rPr>
                <w:sz w:val="18"/>
                <w:szCs w:val="18"/>
              </w:rPr>
            </w:pPr>
          </w:p>
        </w:tc>
        <w:tc>
          <w:tcPr>
            <w:tcW w:w="5362" w:type="dxa"/>
          </w:tcPr>
          <w:p w:rsidR="00C851A9" w:rsidRPr="00732E87" w:rsidRDefault="00C851A9" w:rsidP="00732E87">
            <w:pPr>
              <w:pStyle w:val="Sinespaciado"/>
              <w:cnfStyle w:val="000000010000" w:firstRow="0" w:lastRow="0" w:firstColumn="0" w:lastColumn="0" w:oddVBand="0" w:evenVBand="0" w:oddHBand="0" w:evenHBand="1" w:firstRowFirstColumn="0" w:firstRowLastColumn="0" w:lastRowFirstColumn="0" w:lastRowLastColumn="0"/>
              <w:rPr>
                <w:sz w:val="18"/>
                <w:szCs w:val="18"/>
              </w:rPr>
            </w:pPr>
            <w:r w:rsidRPr="00732E87">
              <w:rPr>
                <w:sz w:val="18"/>
                <w:szCs w:val="18"/>
              </w:rPr>
              <w:t>Maestría en Ingeniera Eléctrica</w:t>
            </w:r>
          </w:p>
          <w:p w:rsidR="00C851A9" w:rsidRPr="00EB79AD" w:rsidRDefault="00C851A9" w:rsidP="00732E87">
            <w:pPr>
              <w:pStyle w:val="Sinespaciado"/>
              <w:cnfStyle w:val="000000010000" w:firstRow="0" w:lastRow="0" w:firstColumn="0" w:lastColumn="0" w:oddVBand="0" w:evenVBand="0" w:oddHBand="0" w:evenHBand="1" w:firstRowFirstColumn="0" w:firstRowLastColumn="0" w:lastRowFirstColumn="0" w:lastRowLastColumn="0"/>
              <w:rPr>
                <w:i/>
                <w:sz w:val="18"/>
                <w:szCs w:val="18"/>
              </w:rPr>
            </w:pPr>
            <w:r w:rsidRPr="00EB79AD">
              <w:rPr>
                <w:i/>
                <w:sz w:val="18"/>
                <w:szCs w:val="18"/>
              </w:rPr>
              <w:t>Visita de Pares Académicos Realizada</w:t>
            </w:r>
          </w:p>
        </w:tc>
      </w:tr>
      <w:tr w:rsidR="00C851A9" w:rsidRPr="00732E87" w:rsidTr="005550D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510" w:type="dxa"/>
            <w:vMerge/>
            <w:vAlign w:val="center"/>
          </w:tcPr>
          <w:p w:rsidR="00C851A9" w:rsidRPr="00732E87" w:rsidRDefault="00C851A9" w:rsidP="00732E87">
            <w:pPr>
              <w:pStyle w:val="Sinespaciado"/>
              <w:rPr>
                <w:sz w:val="18"/>
                <w:szCs w:val="18"/>
              </w:rPr>
            </w:pPr>
          </w:p>
        </w:tc>
        <w:tc>
          <w:tcPr>
            <w:tcW w:w="5362" w:type="dxa"/>
          </w:tcPr>
          <w:p w:rsidR="00C851A9" w:rsidRPr="00732E87" w:rsidRDefault="00C851A9" w:rsidP="00732E87">
            <w:pPr>
              <w:pStyle w:val="Sinespaciado"/>
              <w:cnfStyle w:val="000000100000" w:firstRow="0" w:lastRow="0" w:firstColumn="0" w:lastColumn="0" w:oddVBand="0" w:evenVBand="0" w:oddHBand="1" w:evenHBand="0" w:firstRowFirstColumn="0" w:firstRowLastColumn="0" w:lastRowFirstColumn="0" w:lastRowLastColumn="0"/>
              <w:rPr>
                <w:sz w:val="18"/>
                <w:szCs w:val="18"/>
              </w:rPr>
            </w:pPr>
            <w:r w:rsidRPr="00732E87">
              <w:rPr>
                <w:sz w:val="18"/>
                <w:szCs w:val="18"/>
              </w:rPr>
              <w:t>Maestría en Administración Económica y financiera.</w:t>
            </w:r>
          </w:p>
        </w:tc>
      </w:tr>
    </w:tbl>
    <w:p w:rsidR="00A627CB" w:rsidRPr="00732E87" w:rsidRDefault="00A627CB" w:rsidP="00732E87">
      <w:pPr>
        <w:jc w:val="center"/>
        <w:rPr>
          <w:b/>
        </w:rPr>
      </w:pPr>
      <w:r w:rsidRPr="00732E87">
        <w:rPr>
          <w:b/>
        </w:rPr>
        <w:t>Fuente: Vicerrectoría Académica</w:t>
      </w:r>
    </w:p>
    <w:p w:rsidR="00A627CB" w:rsidRPr="00290490" w:rsidRDefault="00A627CB" w:rsidP="00A627CB">
      <w:pPr>
        <w:pStyle w:val="Prrafodelista"/>
        <w:ind w:left="0"/>
        <w:rPr>
          <w:rFonts w:ascii="Maiandra GD" w:hAnsi="Maiandra GD"/>
          <w:sz w:val="20"/>
          <w:szCs w:val="20"/>
        </w:rPr>
      </w:pPr>
    </w:p>
    <w:p w:rsidR="00A627CB" w:rsidRPr="00732E87" w:rsidRDefault="00A627CB" w:rsidP="00732E87">
      <w:pPr>
        <w:jc w:val="center"/>
        <w:rPr>
          <w:b/>
        </w:rPr>
      </w:pPr>
      <w:r w:rsidRPr="00732E87">
        <w:rPr>
          <w:b/>
        </w:rPr>
        <w:t>Resultados – Metas de Acreditación de programas (posgrado).</w:t>
      </w:r>
    </w:p>
    <w:p w:rsidR="00A627CB" w:rsidRPr="00732E87" w:rsidRDefault="00A627CB" w:rsidP="00732E87">
      <w:pPr>
        <w:jc w:val="center"/>
        <w:rPr>
          <w:b/>
        </w:rPr>
      </w:pPr>
      <w:r w:rsidRPr="00732E87">
        <w:rPr>
          <w:b/>
          <w:noProof/>
          <w:lang w:val="es-CO" w:eastAsia="es-CO"/>
        </w:rPr>
        <w:drawing>
          <wp:inline distT="0" distB="0" distL="0" distR="0">
            <wp:extent cx="4772025" cy="1868400"/>
            <wp:effectExtent l="0" t="0" r="0" b="0"/>
            <wp:docPr id="44" name="1 Gráfico"/>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A627CB" w:rsidRPr="00732E87" w:rsidRDefault="00A627CB" w:rsidP="00732E87">
      <w:pPr>
        <w:jc w:val="center"/>
        <w:rPr>
          <w:b/>
          <w:sz w:val="20"/>
        </w:rPr>
      </w:pPr>
      <w:r w:rsidRPr="00732E87">
        <w:rPr>
          <w:b/>
          <w:sz w:val="20"/>
        </w:rPr>
        <w:t>Fuente: SIGOB</w:t>
      </w:r>
    </w:p>
    <w:p w:rsidR="00A627CB" w:rsidRPr="00BF0335" w:rsidRDefault="00A627CB" w:rsidP="00A627CB">
      <w:pPr>
        <w:spacing w:after="0"/>
        <w:rPr>
          <w:rFonts w:ascii="Maiandra GD" w:hAnsi="Maiandra GD"/>
          <w:sz w:val="20"/>
          <w:szCs w:val="20"/>
          <w:highlight w:val="yellow"/>
        </w:rPr>
      </w:pPr>
    </w:p>
    <w:p w:rsidR="00A627CB" w:rsidRPr="00732E87" w:rsidRDefault="00A627CB" w:rsidP="00732E87">
      <w:pPr>
        <w:pStyle w:val="Ttulo4"/>
      </w:pPr>
      <w:bookmarkStart w:id="116" w:name="_Toc319328959"/>
      <w:bookmarkStart w:id="117" w:name="_Toc319421860"/>
      <w:r w:rsidRPr="00732E87">
        <w:t>Sistema Integrado de Planeación Académica, Autoevaluación y Mejoramiento Continuo (SIPAME)</w:t>
      </w:r>
      <w:bookmarkEnd w:id="116"/>
      <w:bookmarkEnd w:id="117"/>
    </w:p>
    <w:p w:rsidR="00A627CB" w:rsidRDefault="00A627CB" w:rsidP="00A627CB">
      <w:pPr>
        <w:spacing w:after="0"/>
        <w:rPr>
          <w:rFonts w:ascii="Maiandra GD" w:hAnsi="Maiandra GD"/>
          <w:sz w:val="24"/>
          <w:highlight w:val="yellow"/>
        </w:rPr>
      </w:pPr>
    </w:p>
    <w:p w:rsidR="00A627CB" w:rsidRDefault="00A627CB" w:rsidP="00732E87">
      <w:r>
        <w:t xml:space="preserve">Desde el inicio del Plan de Desarrollo Institucional, la universidad ha incrementado de 8 a 15 el número de programas acreditados, esto se debe a la estrategia del </w:t>
      </w:r>
      <w:r w:rsidRPr="00AA5841">
        <w:t>Sistema Integrado de Planeación Académica, Autoev</w:t>
      </w:r>
      <w:r>
        <w:t>aluación y Mejoramiento Continuo.</w:t>
      </w:r>
    </w:p>
    <w:p w:rsidR="00A627CB" w:rsidRPr="00FD293A" w:rsidRDefault="00A627CB" w:rsidP="00A627CB">
      <w:pPr>
        <w:pStyle w:val="Prrafodelista"/>
        <w:ind w:left="0"/>
        <w:rPr>
          <w:rFonts w:ascii="Maiandra GD" w:hAnsi="Maiandra GD"/>
          <w:sz w:val="20"/>
          <w:szCs w:val="20"/>
        </w:rPr>
      </w:pPr>
    </w:p>
    <w:p w:rsidR="00A627CB" w:rsidRDefault="00A627CB" w:rsidP="00A627CB">
      <w:pPr>
        <w:pStyle w:val="Prrafodelista"/>
        <w:ind w:left="0"/>
        <w:jc w:val="center"/>
        <w:rPr>
          <w:rFonts w:ascii="Maiandra GD" w:hAnsi="Maiandra GD"/>
          <w:sz w:val="20"/>
          <w:szCs w:val="20"/>
        </w:rPr>
      </w:pPr>
      <w:r>
        <w:rPr>
          <w:noProof/>
          <w:lang w:eastAsia="es-CO" w:bidi="ar-SA"/>
        </w:rPr>
        <w:lastRenderedPageBreak/>
        <w:drawing>
          <wp:inline distT="0" distB="0" distL="0" distR="0">
            <wp:extent cx="4572000" cy="1689811"/>
            <wp:effectExtent l="0" t="0" r="0" b="5715"/>
            <wp:docPr id="9" name="Gráfico 9"/>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A627CB" w:rsidRPr="00732E87" w:rsidRDefault="00A627CB" w:rsidP="00732E87">
      <w:pPr>
        <w:jc w:val="center"/>
        <w:rPr>
          <w:b/>
        </w:rPr>
      </w:pPr>
      <w:r w:rsidRPr="00732E87">
        <w:rPr>
          <w:b/>
        </w:rPr>
        <w:t>Fuente: Boletines Estadísticos – Vicerrectoría Académico</w:t>
      </w:r>
    </w:p>
    <w:p w:rsidR="00ED2295" w:rsidRDefault="00ED2295" w:rsidP="00A627CB">
      <w:pPr>
        <w:pStyle w:val="Prrafodelista"/>
        <w:ind w:left="0"/>
        <w:rPr>
          <w:rFonts w:ascii="Maiandra GD" w:hAnsi="Maiandra GD"/>
          <w:sz w:val="20"/>
          <w:szCs w:val="20"/>
        </w:rPr>
      </w:pPr>
    </w:p>
    <w:p w:rsidR="00A627CB" w:rsidRPr="00AA5841" w:rsidRDefault="00A627CB" w:rsidP="00732E87">
      <w:r w:rsidRPr="00AA5841">
        <w:t>El Sistema Integrado de Planeación Académica, Autoevaluación y Mejoramiento Continuo (SIPAME), es una estrategia de cultura organizacional, que tiene como objetivo fortalecer y fomentar los procesos de autoevaluación con fines de acreditación de programas académicos de pregrado y pos</w:t>
      </w:r>
      <w:r>
        <w:t>t</w:t>
      </w:r>
      <w:r w:rsidRPr="00AA5841">
        <w:t>grados así como de la Institución, la Vicerrectoría Académica a través del Objetivo Institucional de Cobertura con Calidad de la Oferta Educativa, respalda la actividad de Implementar el SIPAME.</w:t>
      </w:r>
    </w:p>
    <w:p w:rsidR="00A627CB" w:rsidRDefault="00A627CB" w:rsidP="00732E87">
      <w:r w:rsidRPr="00AA5841">
        <w:t>En la UTP la autoevaluación es una estrategia que se fundamenta el mejoramiento continuo de los procesos académicos y se refiere a la integralidad de la institución trabajando por la calidad y la excelencia académica.</w:t>
      </w:r>
    </w:p>
    <w:p w:rsidR="00ED2295" w:rsidRPr="00AA5841" w:rsidRDefault="00ED2295" w:rsidP="00732E87">
      <w:pPr>
        <w:rPr>
          <w:rFonts w:ascii="Maiandra GD" w:hAnsi="Maiandra GD"/>
          <w:sz w:val="20"/>
          <w:szCs w:val="20"/>
        </w:rPr>
      </w:pPr>
    </w:p>
    <w:p w:rsidR="00A627CB" w:rsidRPr="00AA5841" w:rsidRDefault="00A627CB" w:rsidP="00732E87">
      <w:pPr>
        <w:rPr>
          <w:rFonts w:ascii="Maiandra GD" w:hAnsi="Maiandra GD"/>
          <w:sz w:val="20"/>
          <w:szCs w:val="20"/>
        </w:rPr>
      </w:pPr>
      <w:r w:rsidRPr="00AA5841">
        <w:rPr>
          <w:rFonts w:ascii="Maiandra GD" w:hAnsi="Maiandra GD"/>
          <w:sz w:val="20"/>
          <w:szCs w:val="20"/>
        </w:rPr>
        <w:t>La acreditación, es un proceso voluntario por el cual se reconoce la alta excelencia académica y el cumplimiento de los propósitos y metas de los Programa Académicos de una Entidad de Educación Superior.</w:t>
      </w:r>
    </w:p>
    <w:p w:rsidR="00A627CB" w:rsidRPr="00ED2295" w:rsidRDefault="00A627CB" w:rsidP="00732E87">
      <w:pPr>
        <w:rPr>
          <w:rFonts w:ascii="Maiandra GD" w:hAnsi="Maiandra GD"/>
          <w:sz w:val="24"/>
          <w:highlight w:val="yellow"/>
        </w:rPr>
      </w:pPr>
    </w:p>
    <w:p w:rsidR="00A627CB" w:rsidRDefault="00A627CB" w:rsidP="00732E87">
      <w:pPr>
        <w:rPr>
          <w:highlight w:val="yellow"/>
        </w:rPr>
      </w:pPr>
      <w:r w:rsidRPr="0089277B">
        <w:rPr>
          <w:noProof/>
          <w:lang w:val="es-CO" w:eastAsia="es-CO"/>
        </w:rPr>
        <w:drawing>
          <wp:anchor distT="0" distB="0" distL="114300" distR="114300" simplePos="0" relativeHeight="251747328" behindDoc="0" locked="0" layoutInCell="1" allowOverlap="1">
            <wp:simplePos x="0" y="0"/>
            <wp:positionH relativeFrom="column">
              <wp:posOffset>3558540</wp:posOffset>
            </wp:positionH>
            <wp:positionV relativeFrom="paragraph">
              <wp:posOffset>83820</wp:posOffset>
            </wp:positionV>
            <wp:extent cx="1841500" cy="790575"/>
            <wp:effectExtent l="19050" t="0" r="6350" b="0"/>
            <wp:wrapSquare wrapText="bothSides"/>
            <wp:docPr id="45" name="Picture 5" descr="C:\Users\usuario UTP\Documents\Alex_26_ene_11\Mis imágenes\acreditac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8" name="Picture 5" descr="C:\Users\usuario UTP\Documents\Alex_26_ene_11\Mis imágenes\acreditacion.JP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841500" cy="790575"/>
                    </a:xfrm>
                    <a:prstGeom prst="rect">
                      <a:avLst/>
                    </a:prstGeom>
                    <a:noFill/>
                    <a:ln>
                      <a:noFill/>
                    </a:ln>
                    <a:extLst/>
                  </pic:spPr>
                </pic:pic>
              </a:graphicData>
            </a:graphic>
          </wp:anchor>
        </w:drawing>
      </w:r>
      <w:r w:rsidRPr="0089277B">
        <w:t xml:space="preserve">Actualmente  </w:t>
      </w:r>
      <w:r w:rsidRPr="00B6285D">
        <w:t>quince (15)  programas cuentan resolución de acreditación vigente, tres (3) se encuentra en proceso de re-acreditación y seis (6) se encuentran en el proces</w:t>
      </w:r>
      <w:r>
        <w:t>o</w:t>
      </w:r>
      <w:r w:rsidRPr="00B6285D">
        <w:t xml:space="preserve"> de acreditación por primera vez, de estos último cuatro (3) programas académicos son de postgrado. </w:t>
      </w:r>
    </w:p>
    <w:p w:rsidR="00A627CB" w:rsidRDefault="00A627CB" w:rsidP="00A627CB">
      <w:pPr>
        <w:spacing w:after="0"/>
        <w:rPr>
          <w:rFonts w:ascii="Maiandra GD" w:hAnsi="Maiandra GD"/>
          <w:sz w:val="20"/>
          <w:szCs w:val="20"/>
          <w:highlight w:val="yellow"/>
        </w:rPr>
      </w:pPr>
    </w:p>
    <w:p w:rsidR="00A627CB" w:rsidRDefault="00ED2295" w:rsidP="00732E87">
      <w:pPr>
        <w:pStyle w:val="Ttulo3"/>
      </w:pPr>
      <w:bookmarkStart w:id="118" w:name="_Toc354671340"/>
      <w:r w:rsidRPr="00ED2295">
        <w:t>Renovación de la Acreditación Institucional  de Alta Calidad</w:t>
      </w:r>
      <w:bookmarkEnd w:id="118"/>
    </w:p>
    <w:p w:rsidR="00ED2295" w:rsidRPr="00ED2295" w:rsidRDefault="00ED2295" w:rsidP="00A47486"/>
    <w:p w:rsidR="00A627CB" w:rsidRPr="00E90CEB" w:rsidRDefault="00A627CB" w:rsidP="00732E87">
      <w:r w:rsidRPr="00E90CEB">
        <w:t>El proceso de renovación de la Acreditación Institucional ha sido un proceso continuo y se ha soportado en el Sistema de Planeación Académica y Mejoramiento Continuo – SIPAME desde su implementación en  2009, con el liderazgo de la Vicerrectoría Académica y la Oficina de Planeación y la participación de las directivas de la Institución se han alcanzado logros muy relevantes en materia de Acreditación de programas y como tal la búsqueda de la Reacreditación Institucional, la cual fue otorgada por primera vez el 30 de junio de 2005 por parte del Ministerio de Educación Nacional por siete (7) años.</w:t>
      </w:r>
    </w:p>
    <w:p w:rsidR="00A627CB" w:rsidRDefault="00A627CB" w:rsidP="00A627CB">
      <w:pPr>
        <w:pStyle w:val="Prrafodelista"/>
        <w:ind w:left="0"/>
        <w:rPr>
          <w:rFonts w:ascii="Maiandra GD" w:hAnsi="Maiandra GD"/>
          <w:b/>
          <w:sz w:val="24"/>
          <w:szCs w:val="24"/>
          <w:highlight w:val="yellow"/>
        </w:rPr>
      </w:pPr>
    </w:p>
    <w:p w:rsidR="00A627CB" w:rsidRDefault="00A627CB" w:rsidP="00A627CB">
      <w:pPr>
        <w:pStyle w:val="Prrafodelista"/>
        <w:ind w:left="0"/>
        <w:jc w:val="center"/>
        <w:rPr>
          <w:rFonts w:ascii="Maiandra GD" w:hAnsi="Maiandra GD"/>
          <w:b/>
          <w:sz w:val="24"/>
          <w:szCs w:val="24"/>
          <w:highlight w:val="yellow"/>
        </w:rPr>
      </w:pPr>
      <w:r>
        <w:rPr>
          <w:noProof/>
          <w:lang w:eastAsia="es-CO" w:bidi="ar-SA"/>
        </w:rPr>
        <w:drawing>
          <wp:inline distT="0" distB="0" distL="0" distR="0">
            <wp:extent cx="5303171" cy="3600450"/>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309634" cy="3604838"/>
                    </a:xfrm>
                    <a:prstGeom prst="rect">
                      <a:avLst/>
                    </a:prstGeom>
                    <a:noFill/>
                  </pic:spPr>
                </pic:pic>
              </a:graphicData>
            </a:graphic>
          </wp:inline>
        </w:drawing>
      </w:r>
    </w:p>
    <w:p w:rsidR="00A627CB" w:rsidRPr="00CF2109" w:rsidRDefault="00A627CB" w:rsidP="00A627CB">
      <w:pPr>
        <w:jc w:val="center"/>
        <w:rPr>
          <w:b/>
          <w:sz w:val="18"/>
        </w:rPr>
      </w:pPr>
      <w:r w:rsidRPr="00CF2109">
        <w:rPr>
          <w:b/>
          <w:sz w:val="18"/>
        </w:rPr>
        <w:t>Gráfico: Sistema de Acreditación Universidad Tecnológica de Pereira</w:t>
      </w:r>
    </w:p>
    <w:p w:rsidR="00A627CB" w:rsidRDefault="00A627CB" w:rsidP="00732E87">
      <w:pPr>
        <w:pStyle w:val="Ttulo4"/>
      </w:pPr>
      <w:r w:rsidRPr="00F42E1F">
        <w:t>Objetivo General del Proceso</w:t>
      </w:r>
    </w:p>
    <w:p w:rsidR="00732E87" w:rsidRPr="00732E87" w:rsidRDefault="00732E87" w:rsidP="00732E87"/>
    <w:p w:rsidR="00A627CB" w:rsidRDefault="00A627CB" w:rsidP="00732E87">
      <w:r w:rsidRPr="00E90CEB">
        <w:t>Realizar metodológicamente en la Universidad Tecnológica de Pereira la Autoevaluación Institucional con fines de la renovación de la Acreditación de Alta calidad, que permita actualizar y mantener el programa de mejoramiento continuo.</w:t>
      </w:r>
    </w:p>
    <w:p w:rsidR="00A627CB" w:rsidRPr="00F42E1F" w:rsidRDefault="00A627CB" w:rsidP="00732E87">
      <w:pPr>
        <w:pStyle w:val="Ttulo4"/>
      </w:pPr>
      <w:r w:rsidRPr="00F42E1F">
        <w:t>Objetivos específicos</w:t>
      </w:r>
    </w:p>
    <w:p w:rsidR="00A627CB" w:rsidRPr="00E90CEB" w:rsidRDefault="00A627CB" w:rsidP="00C21E52">
      <w:pPr>
        <w:pStyle w:val="Prrafodelista"/>
        <w:numPr>
          <w:ilvl w:val="0"/>
          <w:numId w:val="42"/>
        </w:numPr>
      </w:pPr>
      <w:r w:rsidRPr="00E90CEB">
        <w:t xml:space="preserve">Fortalecer el proceso de </w:t>
      </w:r>
      <w:proofErr w:type="spellStart"/>
      <w:r w:rsidRPr="00E90CEB">
        <w:t>autorreconocimiento</w:t>
      </w:r>
      <w:proofErr w:type="spellEnd"/>
      <w:r w:rsidRPr="00E90CEB">
        <w:t xml:space="preserve"> institucional.</w:t>
      </w:r>
    </w:p>
    <w:p w:rsidR="00A627CB" w:rsidRPr="00E90CEB" w:rsidRDefault="00A627CB" w:rsidP="00C21E52">
      <w:pPr>
        <w:pStyle w:val="Prrafodelista"/>
        <w:numPr>
          <w:ilvl w:val="0"/>
          <w:numId w:val="42"/>
        </w:numPr>
      </w:pPr>
      <w:r w:rsidRPr="00E90CEB">
        <w:t>Analizar el cumplimiento del plan de mejoramiento anterior.</w:t>
      </w:r>
    </w:p>
    <w:p w:rsidR="00A627CB" w:rsidRPr="00E90CEB" w:rsidRDefault="00A627CB" w:rsidP="00C21E52">
      <w:pPr>
        <w:pStyle w:val="Prrafodelista"/>
        <w:numPr>
          <w:ilvl w:val="0"/>
          <w:numId w:val="42"/>
        </w:numPr>
      </w:pPr>
      <w:r w:rsidRPr="00E90CEB">
        <w:t xml:space="preserve">Examinar metodológicamente el avance de los factores de misión y proyecto institucional, profesores, estudiantes, procesos académicos, investigación, pertinencia e impacto social, autoevaluación y autorregulación, bienestar institucional, organización, gestión y administración, planta física y recursos de apoyo académico y los recursos financieros. </w:t>
      </w:r>
    </w:p>
    <w:p w:rsidR="00A627CB" w:rsidRDefault="00A627CB" w:rsidP="00C21E52">
      <w:pPr>
        <w:pStyle w:val="Prrafodelista"/>
        <w:numPr>
          <w:ilvl w:val="0"/>
          <w:numId w:val="42"/>
        </w:numPr>
      </w:pPr>
      <w:r w:rsidRPr="00E90CEB">
        <w:t>Actualizar el plan de mejoramiento que contribuya al logro de excelencia de la institución.</w:t>
      </w:r>
    </w:p>
    <w:p w:rsidR="00A627CB" w:rsidRPr="00E90CEB" w:rsidRDefault="00A627CB" w:rsidP="00A627CB">
      <w:pPr>
        <w:pStyle w:val="Prrafodelista"/>
        <w:spacing w:after="0"/>
        <w:rPr>
          <w:rFonts w:ascii="Maiandra GD" w:hAnsi="Maiandra GD"/>
          <w:sz w:val="20"/>
          <w:szCs w:val="20"/>
        </w:rPr>
      </w:pPr>
    </w:p>
    <w:p w:rsidR="00A627CB" w:rsidRPr="00E90CEB" w:rsidRDefault="00A627CB" w:rsidP="00732E87">
      <w:r w:rsidRPr="00E90CEB">
        <w:t>Para dicho fin se establecieron cuatro (4) fases para alcanzar dicho objetivo: Fase I Organización y alistamiento, Fase II sensibilización a la comunidad universitaria, Fase III  Autoevaluación institucional y la Fase IV difusión de resultados y visita de pares.</w:t>
      </w:r>
    </w:p>
    <w:p w:rsidR="00A627CB" w:rsidRDefault="00A627CB" w:rsidP="00A627CB">
      <w:pPr>
        <w:spacing w:after="0"/>
        <w:rPr>
          <w:rFonts w:ascii="Maiandra GD" w:hAnsi="Maiandra GD"/>
          <w:sz w:val="20"/>
          <w:szCs w:val="20"/>
        </w:rPr>
      </w:pPr>
    </w:p>
    <w:p w:rsidR="00A627CB" w:rsidRDefault="00A627CB" w:rsidP="00A627CB">
      <w:pPr>
        <w:spacing w:after="0"/>
        <w:rPr>
          <w:rFonts w:ascii="Maiandra GD" w:hAnsi="Maiandra GD"/>
          <w:sz w:val="20"/>
          <w:szCs w:val="20"/>
        </w:rPr>
      </w:pPr>
      <w:r w:rsidRPr="00D841A2">
        <w:rPr>
          <w:noProof/>
          <w:sz w:val="12"/>
          <w:lang w:val="es-CO" w:eastAsia="es-CO"/>
        </w:rPr>
        <w:lastRenderedPageBreak/>
        <w:drawing>
          <wp:inline distT="0" distB="0" distL="0" distR="0">
            <wp:extent cx="5612130" cy="3753871"/>
            <wp:effectExtent l="0" t="0" r="0" b="0"/>
            <wp:docPr id="15" name="Diagrama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0" r:lo="rId51" r:qs="rId52" r:cs="rId53"/>
              </a:graphicData>
            </a:graphic>
          </wp:inline>
        </w:drawing>
      </w:r>
    </w:p>
    <w:p w:rsidR="00A627CB" w:rsidRDefault="00A627CB" w:rsidP="00A627CB">
      <w:pPr>
        <w:spacing w:after="0"/>
        <w:rPr>
          <w:rFonts w:ascii="Maiandra GD" w:hAnsi="Maiandra GD"/>
          <w:sz w:val="20"/>
          <w:szCs w:val="20"/>
        </w:rPr>
      </w:pPr>
    </w:p>
    <w:p w:rsidR="00A627CB" w:rsidRPr="003E3543" w:rsidRDefault="00A627CB" w:rsidP="00A627CB">
      <w:pPr>
        <w:jc w:val="center"/>
        <w:rPr>
          <w:b/>
          <w:sz w:val="18"/>
        </w:rPr>
      </w:pPr>
      <w:r w:rsidRPr="003E3543">
        <w:rPr>
          <w:b/>
          <w:sz w:val="18"/>
        </w:rPr>
        <w:t>Gráfico: Fases del proceso de renovación de la Renovación de la Acreditación Institucional</w:t>
      </w:r>
    </w:p>
    <w:p w:rsidR="00A627CB" w:rsidRDefault="00A627CB" w:rsidP="00A627CB">
      <w:pPr>
        <w:spacing w:after="0"/>
        <w:rPr>
          <w:rFonts w:ascii="Maiandra GD" w:hAnsi="Maiandra GD"/>
          <w:sz w:val="20"/>
          <w:szCs w:val="20"/>
        </w:rPr>
      </w:pPr>
    </w:p>
    <w:p w:rsidR="00A627CB" w:rsidRDefault="00A627CB" w:rsidP="00732E87">
      <w:r>
        <w:t>Resultados más relevantes:</w:t>
      </w:r>
    </w:p>
    <w:p w:rsidR="00732E87" w:rsidRDefault="00732E87" w:rsidP="00732E87"/>
    <w:p w:rsidR="00A627CB" w:rsidRDefault="00A627CB" w:rsidP="00732E87">
      <w:pPr>
        <w:spacing w:after="200" w:line="276" w:lineRule="auto"/>
      </w:pPr>
      <w:r w:rsidRPr="00732E87">
        <w:rPr>
          <w:b/>
        </w:rPr>
        <w:t>Socialización y difusión de los resultados</w:t>
      </w:r>
      <w:r>
        <w:t>.</w:t>
      </w:r>
    </w:p>
    <w:p w:rsidR="00A627CB" w:rsidRDefault="00A627CB" w:rsidP="004C1D18">
      <w:pPr>
        <w:ind w:left="708"/>
      </w:pPr>
      <w:r>
        <w:t xml:space="preserve">En esta etapa se concentraron las actividades de socialización y difusión de los resultados del  proceso de autoevaluación institucional, las actividades principales fueron: </w:t>
      </w:r>
    </w:p>
    <w:p w:rsidR="00A627CB" w:rsidRDefault="00A627CB" w:rsidP="00C21E52">
      <w:pPr>
        <w:pStyle w:val="Prrafodelista"/>
        <w:numPr>
          <w:ilvl w:val="0"/>
          <w:numId w:val="27"/>
        </w:numPr>
        <w:spacing w:after="200" w:line="276" w:lineRule="auto"/>
        <w:ind w:left="1068"/>
      </w:pPr>
      <w:r>
        <w:t xml:space="preserve">Actividades de difusión con estudiantes y docentes en las facultades en total más </w:t>
      </w:r>
      <w:r w:rsidRPr="004C1D18">
        <w:rPr>
          <w:b/>
        </w:rPr>
        <w:t>2</w:t>
      </w:r>
      <w:r w:rsidR="004C1D18">
        <w:rPr>
          <w:b/>
        </w:rPr>
        <w:t>.</w:t>
      </w:r>
      <w:r w:rsidRPr="004C1D18">
        <w:rPr>
          <w:b/>
        </w:rPr>
        <w:t xml:space="preserve">000 </w:t>
      </w:r>
      <w:r>
        <w:t>participantes.</w:t>
      </w:r>
    </w:p>
    <w:p w:rsidR="00A627CB" w:rsidRDefault="00A627CB" w:rsidP="00C21E52">
      <w:pPr>
        <w:pStyle w:val="Prrafodelista"/>
        <w:numPr>
          <w:ilvl w:val="0"/>
          <w:numId w:val="27"/>
        </w:numPr>
        <w:spacing w:after="200" w:line="276" w:lineRule="auto"/>
        <w:ind w:left="1068"/>
      </w:pPr>
      <w:r>
        <w:t xml:space="preserve">Actividades de difusión con los funcionarios administrativos de la institución con la participación de </w:t>
      </w:r>
      <w:r w:rsidRPr="004C1D18">
        <w:rPr>
          <w:b/>
        </w:rPr>
        <w:t>176</w:t>
      </w:r>
      <w:r>
        <w:t xml:space="preserve"> de ellos.</w:t>
      </w:r>
    </w:p>
    <w:p w:rsidR="00A627CB" w:rsidRDefault="00A627CB" w:rsidP="00C21E52">
      <w:pPr>
        <w:pStyle w:val="Prrafodelista"/>
        <w:numPr>
          <w:ilvl w:val="0"/>
          <w:numId w:val="27"/>
        </w:numPr>
        <w:spacing w:after="200" w:line="276" w:lineRule="auto"/>
        <w:ind w:left="1068"/>
      </w:pPr>
      <w:r>
        <w:t xml:space="preserve">Socialización de resultados por correo electrónico a más de </w:t>
      </w:r>
      <w:r w:rsidRPr="004C1D18">
        <w:rPr>
          <w:b/>
        </w:rPr>
        <w:t>7</w:t>
      </w:r>
      <w:r w:rsidR="00913F84" w:rsidRPr="004C1D18">
        <w:rPr>
          <w:b/>
        </w:rPr>
        <w:t>.</w:t>
      </w:r>
      <w:r w:rsidRPr="004C1D18">
        <w:rPr>
          <w:b/>
        </w:rPr>
        <w:t>000</w:t>
      </w:r>
      <w:r>
        <w:t xml:space="preserve"> miembros de la comunidad universitaria.</w:t>
      </w:r>
    </w:p>
    <w:p w:rsidR="00A627CB" w:rsidRDefault="00A627CB" w:rsidP="00C21E52">
      <w:pPr>
        <w:pStyle w:val="Prrafodelista"/>
        <w:numPr>
          <w:ilvl w:val="0"/>
          <w:numId w:val="27"/>
        </w:numPr>
        <w:spacing w:after="200" w:line="276" w:lineRule="auto"/>
        <w:ind w:left="1068"/>
      </w:pPr>
      <w:r>
        <w:t xml:space="preserve">Difusión por medios masivos como la emisora Universitaria </w:t>
      </w:r>
      <w:proofErr w:type="spellStart"/>
      <w:r>
        <w:t>Stereo</w:t>
      </w:r>
      <w:proofErr w:type="spellEnd"/>
      <w:r>
        <w:t xml:space="preserve"> y página web </w:t>
      </w:r>
      <w:hyperlink r:id="rId55" w:history="1">
        <w:r w:rsidRPr="000B2E24">
          <w:rPr>
            <w:rStyle w:val="Hipervnculo"/>
          </w:rPr>
          <w:t>www.utp.edu.co/acreditacion</w:t>
        </w:r>
      </w:hyperlink>
    </w:p>
    <w:p w:rsidR="00A627CB" w:rsidRDefault="00A627CB" w:rsidP="00C21E52">
      <w:pPr>
        <w:pStyle w:val="Prrafodelista"/>
        <w:numPr>
          <w:ilvl w:val="0"/>
          <w:numId w:val="27"/>
        </w:numPr>
        <w:spacing w:after="200" w:line="276" w:lineRule="auto"/>
        <w:ind w:left="1068"/>
      </w:pPr>
      <w:r>
        <w:t>Participación las actividades de inducción y bienvenida a los estudiantes nuevos dentro de la estrategia de la Vicerrectoría de Responsabilidad Social y Bienestar Universitario.</w:t>
      </w:r>
    </w:p>
    <w:p w:rsidR="00A627CB" w:rsidRDefault="00A627CB" w:rsidP="00C21E52">
      <w:pPr>
        <w:pStyle w:val="Prrafodelista"/>
        <w:numPr>
          <w:ilvl w:val="0"/>
          <w:numId w:val="27"/>
        </w:numPr>
        <w:spacing w:after="200" w:line="276" w:lineRule="auto"/>
        <w:ind w:left="1068"/>
      </w:pPr>
      <w:r>
        <w:lastRenderedPageBreak/>
        <w:t>Instalación de once pendones con información sobre las fortalezas encontradas durante el proceso de autoevaluación, en cada uno de los factores que evalúa el CNA. Ubicación de los Pendones: Bloque E, Bloque A, Bloque M, Bloque I, Galpón, Bloque F, Biblioteca, Bloque S, Bloque Y, Bloque H, Bloque R.</w:t>
      </w:r>
    </w:p>
    <w:p w:rsidR="00A627CB" w:rsidRDefault="00A627CB" w:rsidP="00C21E52">
      <w:pPr>
        <w:pStyle w:val="Prrafodelista"/>
        <w:numPr>
          <w:ilvl w:val="0"/>
          <w:numId w:val="27"/>
        </w:numPr>
        <w:spacing w:after="200" w:line="276" w:lineRule="auto"/>
        <w:ind w:left="1068"/>
      </w:pPr>
      <w:r>
        <w:t>Publicación de afiches en las carteleras de cada bloque con  información de las reuniones con cada uno de los grupos de interés.</w:t>
      </w:r>
    </w:p>
    <w:p w:rsidR="00A627CB" w:rsidRPr="005E6312" w:rsidRDefault="00A627CB" w:rsidP="00A627CB">
      <w:pPr>
        <w:pStyle w:val="Prrafodelista"/>
      </w:pPr>
    </w:p>
    <w:p w:rsidR="00A627CB" w:rsidRDefault="00A627CB" w:rsidP="00732E87">
      <w:pPr>
        <w:spacing w:after="200" w:line="276" w:lineRule="auto"/>
      </w:pPr>
      <w:r w:rsidRPr="00732E87">
        <w:rPr>
          <w:b/>
        </w:rPr>
        <w:t>Visita de pares académicos</w:t>
      </w:r>
      <w:r>
        <w:t>.</w:t>
      </w:r>
    </w:p>
    <w:p w:rsidR="00A627CB" w:rsidRPr="0081491B" w:rsidRDefault="00A627CB" w:rsidP="00A627CB">
      <w:pPr>
        <w:ind w:left="360"/>
      </w:pPr>
      <w:r>
        <w:t>En esta etapa se concretó la visita de los pares académicos designados por el CNA para realizar la visita de Evaluación externa la cual se realizó los días 6, 7 y 8 de noviembre de 2012.</w:t>
      </w:r>
    </w:p>
    <w:p w:rsidR="00A627CB" w:rsidRDefault="00A627CB" w:rsidP="00C21E52">
      <w:pPr>
        <w:pStyle w:val="Prrafodelista"/>
        <w:numPr>
          <w:ilvl w:val="0"/>
          <w:numId w:val="28"/>
        </w:numPr>
        <w:spacing w:after="200" w:line="276" w:lineRule="auto"/>
        <w:ind w:left="1080"/>
      </w:pPr>
      <w:r>
        <w:t>El  CNA definió finalmente la comisión de pares conformada así:</w:t>
      </w:r>
    </w:p>
    <w:p w:rsidR="00A627CB" w:rsidRDefault="00A627CB" w:rsidP="00C21E52">
      <w:pPr>
        <w:pStyle w:val="Prrafodelista"/>
        <w:numPr>
          <w:ilvl w:val="1"/>
          <w:numId w:val="28"/>
        </w:numPr>
        <w:spacing w:after="200" w:line="276" w:lineRule="auto"/>
        <w:ind w:left="1800"/>
      </w:pPr>
      <w:r>
        <w:t>Doctor Fernando Chaparro Osorio, Coordinador de la Comisión – Ex Consejero</w:t>
      </w:r>
    </w:p>
    <w:p w:rsidR="00A627CB" w:rsidRDefault="00A627CB" w:rsidP="00C21E52">
      <w:pPr>
        <w:pStyle w:val="Prrafodelista"/>
        <w:numPr>
          <w:ilvl w:val="1"/>
          <w:numId w:val="28"/>
        </w:numPr>
        <w:spacing w:after="200" w:line="276" w:lineRule="auto"/>
        <w:ind w:left="1800"/>
      </w:pPr>
      <w:r>
        <w:t>Doctora Mónica María Bustamante Rúa, Relatora</w:t>
      </w:r>
    </w:p>
    <w:p w:rsidR="00A627CB" w:rsidRDefault="00A627CB" w:rsidP="00C21E52">
      <w:pPr>
        <w:pStyle w:val="Prrafodelista"/>
        <w:numPr>
          <w:ilvl w:val="1"/>
          <w:numId w:val="28"/>
        </w:numPr>
        <w:spacing w:after="200" w:line="276" w:lineRule="auto"/>
        <w:ind w:left="1800"/>
      </w:pPr>
      <w:r>
        <w:t>Doctor Gerardo Remolina Vargas, par nacional</w:t>
      </w:r>
    </w:p>
    <w:p w:rsidR="00A627CB" w:rsidRDefault="00A627CB" w:rsidP="00C21E52">
      <w:pPr>
        <w:pStyle w:val="Prrafodelista"/>
        <w:numPr>
          <w:ilvl w:val="1"/>
          <w:numId w:val="28"/>
        </w:numPr>
        <w:spacing w:after="200" w:line="276" w:lineRule="auto"/>
        <w:ind w:left="1800"/>
      </w:pPr>
      <w:r>
        <w:t>Doctora Luz Marina Rodas, par nacional</w:t>
      </w:r>
    </w:p>
    <w:p w:rsidR="00A627CB" w:rsidRDefault="00A627CB" w:rsidP="00C21E52">
      <w:pPr>
        <w:pStyle w:val="Prrafodelista"/>
        <w:numPr>
          <w:ilvl w:val="1"/>
          <w:numId w:val="28"/>
        </w:numPr>
        <w:spacing w:after="200" w:line="276" w:lineRule="auto"/>
        <w:ind w:left="1800"/>
      </w:pPr>
      <w:r>
        <w:t>Doctor Luis Eduardo Zedillo Ponce de León, Par Internacional</w:t>
      </w:r>
    </w:p>
    <w:p w:rsidR="00A627CB" w:rsidRDefault="00A627CB" w:rsidP="00C21E52">
      <w:pPr>
        <w:pStyle w:val="Prrafodelista"/>
        <w:numPr>
          <w:ilvl w:val="0"/>
          <w:numId w:val="28"/>
        </w:numPr>
        <w:spacing w:after="200" w:line="276" w:lineRule="auto"/>
        <w:ind w:left="1080"/>
      </w:pPr>
      <w:r>
        <w:t xml:space="preserve">En la visita se realizaron </w:t>
      </w:r>
      <w:r w:rsidRPr="00251847">
        <w:rPr>
          <w:b/>
        </w:rPr>
        <w:t>15</w:t>
      </w:r>
      <w:r>
        <w:t xml:space="preserve"> reuniones con los estamentos de la institución, en donde participaron </w:t>
      </w:r>
      <w:r w:rsidRPr="00251847">
        <w:rPr>
          <w:b/>
        </w:rPr>
        <w:t>679</w:t>
      </w:r>
      <w:r>
        <w:t xml:space="preserve"> personas, quienes brindaron abiertamente a los pares sus apreciaciones y vivencias en la Universidad Tecnológica de Pereira contando con estudiantes, docentes, funcionarios administrativos y directivos, egresados y empleadores.</w:t>
      </w:r>
    </w:p>
    <w:p w:rsidR="00A627CB" w:rsidRPr="00916FDC" w:rsidRDefault="00A627CB" w:rsidP="00C21E52">
      <w:pPr>
        <w:pStyle w:val="Prrafodelista"/>
        <w:numPr>
          <w:ilvl w:val="0"/>
          <w:numId w:val="29"/>
        </w:numPr>
        <w:spacing w:after="200" w:line="276" w:lineRule="auto"/>
        <w:ind w:left="1080"/>
      </w:pPr>
      <w:r>
        <w:t xml:space="preserve">A finales de diciembre y enero de </w:t>
      </w:r>
      <w:r w:rsidRPr="00251847">
        <w:rPr>
          <w:b/>
        </w:rPr>
        <w:t>2013</w:t>
      </w:r>
      <w:r>
        <w:t xml:space="preserve"> se complementó información referente a la visita que sirva de base para emitir el concepto.</w:t>
      </w:r>
    </w:p>
    <w:p w:rsidR="00A627CB" w:rsidRDefault="00A627CB" w:rsidP="00A627CB">
      <w:pPr>
        <w:jc w:val="center"/>
        <w:rPr>
          <w:b/>
          <w:i/>
        </w:rPr>
      </w:pPr>
      <w:r w:rsidRPr="00916FDC">
        <w:rPr>
          <w:b/>
          <w:i/>
        </w:rPr>
        <w:t>La Universidad Tecnológica de Pereira  es cons</w:t>
      </w:r>
      <w:r w:rsidR="00C0268D">
        <w:rPr>
          <w:b/>
          <w:i/>
        </w:rPr>
        <w:t>c</w:t>
      </w:r>
      <w:r w:rsidRPr="00916FDC">
        <w:rPr>
          <w:b/>
          <w:i/>
        </w:rPr>
        <w:t>iente que la Acreditación de Alta calidad no es el fin, ésta es el resultado de un proceso de mejoramiento continuo  enfocado a la excelencia académica.</w:t>
      </w:r>
    </w:p>
    <w:p w:rsidR="00C0268D" w:rsidRDefault="00C0268D" w:rsidP="00A627CB">
      <w:pPr>
        <w:jc w:val="center"/>
        <w:rPr>
          <w:b/>
          <w:i/>
        </w:rPr>
      </w:pPr>
    </w:p>
    <w:p w:rsidR="00A627CB" w:rsidRDefault="00A627CB" w:rsidP="00CF46F5">
      <w:pPr>
        <w:pStyle w:val="Ttulo3"/>
      </w:pPr>
      <w:bookmarkStart w:id="119" w:name="_Toc354671341"/>
      <w:r>
        <w:t>Componentes Objetivo Institucional Cobertura con Calidad en la Oferta Educativa</w:t>
      </w:r>
      <w:bookmarkEnd w:id="119"/>
    </w:p>
    <w:p w:rsidR="00A627CB" w:rsidRDefault="00A627CB" w:rsidP="00A47486"/>
    <w:p w:rsidR="00A627CB" w:rsidRPr="00CF46F5" w:rsidRDefault="00A627CB" w:rsidP="00CF46F5">
      <w:pPr>
        <w:pStyle w:val="Ttulo4"/>
      </w:pPr>
      <w:r w:rsidRPr="00CF46F5">
        <w:t>Educabilidad</w:t>
      </w:r>
    </w:p>
    <w:p w:rsidR="00A627CB" w:rsidRDefault="00A627CB" w:rsidP="00A627CB"/>
    <w:p w:rsidR="00A627CB" w:rsidRDefault="00A627CB" w:rsidP="00A627CB">
      <w:r>
        <w:t xml:space="preserve">Este componente tiene como objetivo </w:t>
      </w:r>
      <w:r w:rsidRPr="00BB7740">
        <w:t>Identificar las condiciones y competencias iniciales (con las que llegan y deberían llegar) del estudiante que ingresa a la UTP con el fin de contribuir a  su formación integral, prepararlo para generar impacto social y hacer seguimiento a su desempeño profesional.</w:t>
      </w:r>
    </w:p>
    <w:p w:rsidR="00A627CB" w:rsidRDefault="00A627CB" w:rsidP="00A627CB">
      <w:r>
        <w:lastRenderedPageBreak/>
        <w:t xml:space="preserve">Bajo el </w:t>
      </w:r>
      <w:r w:rsidRPr="00BB7740">
        <w:t xml:space="preserve">ideal </w:t>
      </w:r>
      <w:r>
        <w:t xml:space="preserve">de </w:t>
      </w:r>
      <w:r w:rsidRPr="00BB7740">
        <w:t xml:space="preserve">la educación moderna </w:t>
      </w:r>
      <w:r>
        <w:t>de</w:t>
      </w:r>
      <w:r w:rsidRPr="00BB7740">
        <w:t xml:space="preserve"> que cada persona estudie de acuerdo a sus potencialidades y </w:t>
      </w:r>
      <w:proofErr w:type="spellStart"/>
      <w:r w:rsidRPr="00BB7740">
        <w:t>vocacionalidad</w:t>
      </w:r>
      <w:proofErr w:type="spellEnd"/>
      <w:r w:rsidRPr="00BB7740">
        <w:t>, como una manera de asegurar el éxito académico en la universidad y desarrollo profesional.</w:t>
      </w:r>
    </w:p>
    <w:p w:rsidR="00A627CB" w:rsidRDefault="00A627CB" w:rsidP="00A627CB">
      <w:r>
        <w:t>Para esto es importante caracterizar el perfil de ingreso del estudiante con el fin de identificar necesidades de formación y definir estrategias para el fortalecimiento de competencias; y mantener un contacto permanente con el egresado, para identificar la pertinencia de la formación que se está dando en la universidad, para su mejoramiento continuo; identificar las necesidades de formación continua y posgraduada, situación laboral. Todo esto a su vez sirve de insumo para los procesos de mejoramiento continuo y de alta calidad.</w:t>
      </w:r>
    </w:p>
    <w:p w:rsidR="00A627CB" w:rsidRDefault="00A627CB" w:rsidP="00A627CB"/>
    <w:p w:rsidR="00A627CB" w:rsidRPr="00CF46F5" w:rsidRDefault="00A627CB" w:rsidP="00C21E52">
      <w:pPr>
        <w:pStyle w:val="Prrafodelista"/>
        <w:numPr>
          <w:ilvl w:val="0"/>
          <w:numId w:val="29"/>
        </w:numPr>
        <w:rPr>
          <w:b/>
        </w:rPr>
      </w:pPr>
      <w:r w:rsidRPr="00CF46F5">
        <w:rPr>
          <w:b/>
        </w:rPr>
        <w:t>Ocupación del egresado en su perfil profesional</w:t>
      </w:r>
    </w:p>
    <w:p w:rsidR="00A627CB" w:rsidRDefault="00A627CB" w:rsidP="00A627CB">
      <w:r>
        <w:t>Este indicador determina que tan correlacionado se encuentra</w:t>
      </w:r>
      <w:r w:rsidRPr="000E366B">
        <w:t xml:space="preserve"> </w:t>
      </w:r>
      <w:r>
        <w:t>el perfil profesional  adquirido por el graduado en su formación académica con las funciones que desempeña en el ámbito laboral. Para el cálculo del indicador se tiene en cuenta el seguimiento de la población de graduados de más de un año de egreso. Se excluye la población de momento de grado, porque apenas inicia su vinculación al sector productivo. Cabe mencionar que este indicador puede variar en el tiempo incidiendo en su resultado, las condiciones bajo las cuales nuestros egresados se encuentren vinculados laboralmente.</w:t>
      </w:r>
    </w:p>
    <w:p w:rsidR="00A627CB" w:rsidRDefault="00A627CB" w:rsidP="00A627CB">
      <w:pPr>
        <w:rPr>
          <w:color w:val="FF0000"/>
        </w:rPr>
      </w:pPr>
    </w:p>
    <w:p w:rsidR="00A627CB" w:rsidRDefault="00A627CB" w:rsidP="00A627CB">
      <w:pPr>
        <w:rPr>
          <w:color w:val="FF0000"/>
        </w:rPr>
      </w:pPr>
      <w:r>
        <w:rPr>
          <w:noProof/>
          <w:lang w:val="es-CO" w:eastAsia="es-CO"/>
        </w:rPr>
        <w:drawing>
          <wp:inline distT="0" distB="0" distL="0" distR="0">
            <wp:extent cx="5612130" cy="1812925"/>
            <wp:effectExtent l="0" t="0" r="7620" b="0"/>
            <wp:docPr id="12" name="Gráfico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rsidR="00A627CB" w:rsidRDefault="00A627CB" w:rsidP="00A627CB">
      <w:r>
        <w:t xml:space="preserve">Para el año </w:t>
      </w:r>
      <w:r w:rsidRPr="000B181F">
        <w:rPr>
          <w:b/>
        </w:rPr>
        <w:t>2012</w:t>
      </w:r>
      <w:r>
        <w:t xml:space="preserve">, se realizó seguimiento a egresados  a través de 30 programas académicos, de los cuales el </w:t>
      </w:r>
      <w:r w:rsidRPr="00EE5D87">
        <w:rPr>
          <w:b/>
        </w:rPr>
        <w:t>83%</w:t>
      </w:r>
      <w:r>
        <w:t xml:space="preserve"> de los encuestados manifiestan que su labor actual tiene relación con su formación profesional.</w:t>
      </w:r>
    </w:p>
    <w:p w:rsidR="0036551F" w:rsidRDefault="0036551F" w:rsidP="0036551F">
      <w:r>
        <w:t xml:space="preserve">El Observatorio de Seguimiento y Vinculación del Egresado ha logrado vincular a </w:t>
      </w:r>
      <w:r w:rsidRPr="0036551F">
        <w:rPr>
          <w:b/>
        </w:rPr>
        <w:t>2012</w:t>
      </w:r>
      <w:r>
        <w:t xml:space="preserve"> un total de </w:t>
      </w:r>
      <w:r w:rsidRPr="0036551F">
        <w:rPr>
          <w:b/>
        </w:rPr>
        <w:t>6.107</w:t>
      </w:r>
      <w:r>
        <w:t xml:space="preserve"> egresados como estrategia para la toma de decisiones y el posicionamiento del egresado UTP como un aliado estratégico.</w:t>
      </w:r>
    </w:p>
    <w:p w:rsidR="00CF46F5" w:rsidRPr="00853E1E" w:rsidRDefault="00CF46F5" w:rsidP="00A627CB"/>
    <w:p w:rsidR="00A627CB" w:rsidRPr="00CF46F5" w:rsidRDefault="00A627CB" w:rsidP="00CF46F5">
      <w:pPr>
        <w:pStyle w:val="Ttulo4"/>
      </w:pPr>
      <w:r w:rsidRPr="00CF46F5">
        <w:t>Aprendibilidad</w:t>
      </w:r>
    </w:p>
    <w:p w:rsidR="00A627CB" w:rsidRPr="00853E1E" w:rsidRDefault="00A627CB" w:rsidP="00A627CB"/>
    <w:p w:rsidR="00A627CB" w:rsidRDefault="00A627CB" w:rsidP="00A627CB">
      <w:r>
        <w:t>Este componente tiene como objetivo caracterizar los e</w:t>
      </w:r>
      <w:r w:rsidRPr="00BB7740">
        <w:t>stilos y estrategias de aprendizaje del estudiante, busca diseñar e implementar elementos, teóricos, metodológicos y prácticos para mejorar la eficiencia en el aprendizaje.</w:t>
      </w:r>
    </w:p>
    <w:p w:rsidR="00A627CB" w:rsidRDefault="00A627CB" w:rsidP="00A627CB">
      <w:r>
        <w:lastRenderedPageBreak/>
        <w:t>Bajo la premisa que e</w:t>
      </w:r>
      <w:r w:rsidRPr="00BB7740">
        <w:t>n la medida que se fortalece el proceso de aprendizaje se genera disminución de repitencia y deserción, y se mejoran los niveles de autoestima y satisfacción del estudiante.</w:t>
      </w:r>
    </w:p>
    <w:p w:rsidR="00A627CB" w:rsidRDefault="00A627CB" w:rsidP="00A627CB">
      <w:r>
        <w:t>Procesos importantes que se desarrollan desde este componente son el seguimiento sistemático a estudiantes, el acompañamiento a los mismos en su proceso de formación para el egreso exitoso y la definición de procedimientos académicos y administrativos de la Universidad viables y adaptados a los procesos educativos mediados por TIC.</w:t>
      </w:r>
    </w:p>
    <w:p w:rsidR="00A627CB" w:rsidRDefault="00A627CB" w:rsidP="00A627CB"/>
    <w:p w:rsidR="00A627CB" w:rsidRDefault="00A627CB" w:rsidP="00A627CB">
      <w:pPr>
        <w:rPr>
          <w:color w:val="FF0000"/>
        </w:rPr>
      </w:pPr>
      <w:r>
        <w:rPr>
          <w:noProof/>
          <w:lang w:val="es-CO" w:eastAsia="es-CO"/>
        </w:rPr>
        <w:drawing>
          <wp:inline distT="0" distB="0" distL="0" distR="0">
            <wp:extent cx="5612130" cy="1513840"/>
            <wp:effectExtent l="0" t="0" r="7620" b="0"/>
            <wp:docPr id="16" name="Gráfico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A627CB" w:rsidRPr="00CF46F5" w:rsidRDefault="00A627CB" w:rsidP="00CF46F5">
      <w:pPr>
        <w:jc w:val="center"/>
        <w:rPr>
          <w:b/>
        </w:rPr>
      </w:pPr>
      <w:r w:rsidRPr="00CF46F5">
        <w:rPr>
          <w:b/>
        </w:rPr>
        <w:t>Fuente: Observatorio Académico</w:t>
      </w:r>
    </w:p>
    <w:p w:rsidR="00CF46F5" w:rsidRDefault="00CF46F5" w:rsidP="00A627CB"/>
    <w:p w:rsidR="00A627CB" w:rsidRDefault="00A627CB" w:rsidP="00A627CB">
      <w:r>
        <w:t xml:space="preserve">Con la implementación de las estrategias que buscan disminuir la deserción se ha logrado mantener estable la deserción alrededor del </w:t>
      </w:r>
      <w:r w:rsidRPr="00C71E7E">
        <w:rPr>
          <w:b/>
        </w:rPr>
        <w:t>10%</w:t>
      </w:r>
      <w:r>
        <w:t xml:space="preserve"> y el </w:t>
      </w:r>
      <w:r w:rsidRPr="00C71E7E">
        <w:rPr>
          <w:b/>
        </w:rPr>
        <w:t>11%</w:t>
      </w:r>
      <w:r>
        <w:t xml:space="preserve">, es necesario mencionar que el porcentaje de deserción entre el </w:t>
      </w:r>
      <w:r w:rsidRPr="00C71E7E">
        <w:rPr>
          <w:b/>
        </w:rPr>
        <w:t>2011-II</w:t>
      </w:r>
      <w:r>
        <w:t xml:space="preserve"> y el </w:t>
      </w:r>
      <w:r w:rsidRPr="00C71E7E">
        <w:rPr>
          <w:b/>
        </w:rPr>
        <w:t>2012-I</w:t>
      </w:r>
      <w:r>
        <w:t xml:space="preserve"> aumentó particularmente por el fenómeno del Paro Académico que realizaron los estudiantes durante el </w:t>
      </w:r>
      <w:r w:rsidRPr="00C71E7E">
        <w:rPr>
          <w:b/>
        </w:rPr>
        <w:t>2011-II</w:t>
      </w:r>
      <w:r>
        <w:t xml:space="preserve">, sin embargo volvió a disminuir entre el </w:t>
      </w:r>
      <w:r w:rsidRPr="00C71E7E">
        <w:rPr>
          <w:b/>
        </w:rPr>
        <w:t>2012-I</w:t>
      </w:r>
      <w:r>
        <w:t xml:space="preserve"> y el </w:t>
      </w:r>
      <w:r w:rsidRPr="00C71E7E">
        <w:rPr>
          <w:b/>
        </w:rPr>
        <w:t>2012-II</w:t>
      </w:r>
      <w:r>
        <w:t>.</w:t>
      </w:r>
    </w:p>
    <w:p w:rsidR="00A627CB" w:rsidRDefault="00A627CB" w:rsidP="00A627CB"/>
    <w:p w:rsidR="00A627CB" w:rsidRPr="00CF46F5" w:rsidRDefault="00A627CB" w:rsidP="00CF46F5">
      <w:pPr>
        <w:pStyle w:val="Ttulo4"/>
      </w:pPr>
      <w:r w:rsidRPr="00CF46F5">
        <w:t>Educatividad</w:t>
      </w:r>
    </w:p>
    <w:p w:rsidR="00A627CB" w:rsidRDefault="00A627CB" w:rsidP="00A627CB"/>
    <w:p w:rsidR="00A627CB" w:rsidRDefault="00A627CB" w:rsidP="00A627CB">
      <w:r>
        <w:t>Este componente busca d</w:t>
      </w:r>
      <w:r w:rsidRPr="00BB7740">
        <w:t>otar al personal docente y administrativos</w:t>
      </w:r>
      <w:r>
        <w:t xml:space="preserve"> </w:t>
      </w:r>
      <w:r w:rsidRPr="00BB7740">
        <w:t>académicos de la institución de los conocimientos requeridos por la naturaleza de su desempeño en la educación superior.</w:t>
      </w:r>
    </w:p>
    <w:p w:rsidR="00A627CB" w:rsidRDefault="00A627CB" w:rsidP="00A627CB">
      <w:r>
        <w:t>Una de las condiciones esenciales para el éxito académico de la institución educativa, es la formación inicial, pero también sistemática y permanente de sus profesores y personal administrativo, en general, en las competencias que va demandando la dinámica social, científica, tecnológica y profesional.</w:t>
      </w:r>
    </w:p>
    <w:p w:rsidR="00A627CB" w:rsidRDefault="00A627CB" w:rsidP="00A627CB">
      <w:r>
        <w:t>Por esto, disponer de un espacio administrativo y estratégico que proporcione tal capacitación, permitirá a la Universidad la seguridad de que todo el personal a su servicio cuente con la actualización permanente requerida para el ejercicio de sus funciones.</w:t>
      </w:r>
    </w:p>
    <w:p w:rsidR="00A627CB" w:rsidRDefault="00A627CB" w:rsidP="00A627CB">
      <w:r w:rsidRPr="00BB7740">
        <w:t>El ejercicio docente debe estar fundamentado en el dominio de un campo del saber y de su complemento pedagógico como una manera idónea de asegurar la eficiencia del proceso educativo. De igual manera. La administración de una organización debe estar acompañada del conocimiento de la naturaleza  y esencia de dicha organización, para hacer pertinente su gestión en ella.</w:t>
      </w:r>
    </w:p>
    <w:p w:rsidR="004073BA" w:rsidRDefault="004073BA" w:rsidP="004073BA">
      <w:pPr>
        <w:spacing w:line="276" w:lineRule="auto"/>
        <w:rPr>
          <w:rFonts w:asciiTheme="minorHAnsi" w:hAnsiTheme="minorHAnsi"/>
        </w:rPr>
      </w:pPr>
      <w:r w:rsidRPr="00CC03B1">
        <w:rPr>
          <w:rFonts w:asciiTheme="minorHAnsi" w:hAnsiTheme="minorHAnsi"/>
        </w:rPr>
        <w:lastRenderedPageBreak/>
        <w:t xml:space="preserve">Algunos resultados relevantes del componente de cobertura se pueden apreciar en la formación docente, donde se nota un incremento importante en el número de docentes </w:t>
      </w:r>
      <w:r>
        <w:rPr>
          <w:rFonts w:asciiTheme="minorHAnsi" w:hAnsiTheme="minorHAnsi"/>
        </w:rPr>
        <w:t xml:space="preserve">de Planta y Transitorios </w:t>
      </w:r>
      <w:r w:rsidRPr="00CC03B1">
        <w:rPr>
          <w:rFonts w:asciiTheme="minorHAnsi" w:hAnsiTheme="minorHAnsi"/>
        </w:rPr>
        <w:t>con formación en doctorado entre 2008 y 2012, pasando de 52 docentes en 2008 a 7</w:t>
      </w:r>
      <w:r>
        <w:rPr>
          <w:rFonts w:asciiTheme="minorHAnsi" w:hAnsiTheme="minorHAnsi"/>
        </w:rPr>
        <w:t>5</w:t>
      </w:r>
      <w:r w:rsidRPr="00CC03B1">
        <w:rPr>
          <w:rFonts w:asciiTheme="minorHAnsi" w:hAnsiTheme="minorHAnsi"/>
        </w:rPr>
        <w:t xml:space="preserve"> en 2012, para el año 2012, los docentes con doctorado representan aproximadamente el 15% del total de los docentes. Cabe destacar que actualmente a través de las estrategias que se adelantan desde el Objetivo de Cobertura se tienen </w:t>
      </w:r>
      <w:r>
        <w:rPr>
          <w:rFonts w:asciiTheme="minorHAnsi" w:hAnsiTheme="minorHAnsi"/>
        </w:rPr>
        <w:t>76</w:t>
      </w:r>
      <w:r w:rsidRPr="00CC03B1">
        <w:rPr>
          <w:rFonts w:asciiTheme="minorHAnsi" w:hAnsiTheme="minorHAnsi"/>
        </w:rPr>
        <w:t xml:space="preserve"> docentes en formación doctoral y </w:t>
      </w:r>
      <w:r>
        <w:rPr>
          <w:rFonts w:asciiTheme="minorHAnsi" w:hAnsiTheme="minorHAnsi"/>
        </w:rPr>
        <w:t>61</w:t>
      </w:r>
      <w:r w:rsidRPr="00CC03B1">
        <w:rPr>
          <w:rFonts w:asciiTheme="minorHAnsi" w:hAnsiTheme="minorHAnsi"/>
        </w:rPr>
        <w:t xml:space="preserve"> docentes en formación a nivel de maestría.</w:t>
      </w:r>
    </w:p>
    <w:p w:rsidR="004073BA" w:rsidRPr="002201AE" w:rsidRDefault="004073BA" w:rsidP="004073BA">
      <w:pPr>
        <w:spacing w:line="276" w:lineRule="auto"/>
        <w:jc w:val="center"/>
        <w:rPr>
          <w:rFonts w:asciiTheme="minorHAnsi" w:hAnsiTheme="minorHAnsi"/>
          <w:sz w:val="18"/>
          <w:lang w:val="es-CO"/>
        </w:rPr>
      </w:pPr>
      <w:r>
        <w:rPr>
          <w:rFonts w:asciiTheme="minorHAnsi" w:hAnsiTheme="minorHAnsi"/>
          <w:b/>
          <w:bCs/>
          <w:sz w:val="18"/>
          <w:lang w:val="es-CO"/>
        </w:rPr>
        <w:t>Población docente en los niveles de Doctorado y Maestría / Docentes en formación 2012</w:t>
      </w:r>
    </w:p>
    <w:tbl>
      <w:tblPr>
        <w:tblStyle w:val="Cuadrculaclara-nfasis11"/>
        <w:tblW w:w="5000" w:type="pct"/>
        <w:tblLook w:val="04A0" w:firstRow="1" w:lastRow="0" w:firstColumn="1" w:lastColumn="0" w:noHBand="0" w:noVBand="1"/>
      </w:tblPr>
      <w:tblGrid>
        <w:gridCol w:w="1956"/>
        <w:gridCol w:w="1414"/>
        <w:gridCol w:w="2171"/>
        <w:gridCol w:w="1583"/>
        <w:gridCol w:w="1930"/>
      </w:tblGrid>
      <w:tr w:rsidR="004073BA" w:rsidRPr="00A44247" w:rsidTr="004073BA">
        <w:trPr>
          <w:cnfStyle w:val="100000000000" w:firstRow="1" w:lastRow="0" w:firstColumn="0" w:lastColumn="0" w:oddVBand="0" w:evenVBand="0" w:oddHBand="0" w:evenHBand="0" w:firstRowFirstColumn="0" w:firstRowLastColumn="0" w:lastRowFirstColumn="0" w:lastRowLastColumn="0"/>
          <w:trHeight w:val="627"/>
        </w:trPr>
        <w:tc>
          <w:tcPr>
            <w:cnfStyle w:val="001000000000" w:firstRow="0" w:lastRow="0" w:firstColumn="1" w:lastColumn="0" w:oddVBand="0" w:evenVBand="0" w:oddHBand="0" w:evenHBand="0" w:firstRowFirstColumn="0" w:firstRowLastColumn="0" w:lastRowFirstColumn="0" w:lastRowLastColumn="0"/>
            <w:tcW w:w="1080" w:type="pct"/>
            <w:vAlign w:val="center"/>
          </w:tcPr>
          <w:p w:rsidR="004073BA" w:rsidRPr="004073BA" w:rsidRDefault="004073BA" w:rsidP="004073BA">
            <w:pPr>
              <w:spacing w:after="0" w:line="276" w:lineRule="auto"/>
              <w:jc w:val="center"/>
              <w:rPr>
                <w:rFonts w:asciiTheme="minorHAnsi" w:hAnsiTheme="minorHAnsi"/>
                <w:sz w:val="14"/>
              </w:rPr>
            </w:pPr>
            <w:r w:rsidRPr="004073BA">
              <w:rPr>
                <w:rFonts w:asciiTheme="minorHAnsi" w:hAnsiTheme="minorHAnsi"/>
                <w:sz w:val="14"/>
              </w:rPr>
              <w:t>Nivel Académico</w:t>
            </w:r>
          </w:p>
        </w:tc>
        <w:tc>
          <w:tcPr>
            <w:tcW w:w="781" w:type="pct"/>
            <w:vAlign w:val="center"/>
          </w:tcPr>
          <w:p w:rsidR="004073BA" w:rsidRPr="004073BA" w:rsidRDefault="004073BA" w:rsidP="004073BA">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Theme="minorHAnsi" w:hAnsiTheme="minorHAnsi"/>
                <w:sz w:val="14"/>
              </w:rPr>
            </w:pPr>
            <w:r w:rsidRPr="004073BA">
              <w:rPr>
                <w:rFonts w:asciiTheme="minorHAnsi" w:hAnsiTheme="minorHAnsi"/>
                <w:sz w:val="14"/>
              </w:rPr>
              <w:t>Número de Docentes Planta y Transitorios 2012*</w:t>
            </w:r>
          </w:p>
        </w:tc>
        <w:tc>
          <w:tcPr>
            <w:tcW w:w="1199" w:type="pct"/>
            <w:vAlign w:val="center"/>
          </w:tcPr>
          <w:p w:rsidR="004073BA" w:rsidRPr="004073BA" w:rsidRDefault="004073BA" w:rsidP="004073BA">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Theme="minorHAnsi" w:hAnsiTheme="minorHAnsi"/>
                <w:sz w:val="14"/>
              </w:rPr>
            </w:pPr>
            <w:r w:rsidRPr="004073BA">
              <w:rPr>
                <w:rFonts w:asciiTheme="minorHAnsi" w:hAnsiTheme="minorHAnsi"/>
                <w:sz w:val="14"/>
              </w:rPr>
              <w:t>Porcentaje de la Población Docente</w:t>
            </w:r>
          </w:p>
          <w:p w:rsidR="004073BA" w:rsidRPr="004073BA" w:rsidRDefault="004073BA" w:rsidP="004073BA">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Theme="minorHAnsi" w:hAnsiTheme="minorHAnsi"/>
                <w:sz w:val="14"/>
              </w:rPr>
            </w:pPr>
            <w:r w:rsidRPr="004073BA">
              <w:rPr>
                <w:rFonts w:asciiTheme="minorHAnsi" w:hAnsiTheme="minorHAnsi"/>
                <w:sz w:val="14"/>
              </w:rPr>
              <w:t>Planta y Transitorios</w:t>
            </w:r>
          </w:p>
        </w:tc>
        <w:tc>
          <w:tcPr>
            <w:tcW w:w="874" w:type="pct"/>
            <w:vAlign w:val="center"/>
          </w:tcPr>
          <w:p w:rsidR="004073BA" w:rsidRPr="004073BA" w:rsidRDefault="004073BA" w:rsidP="004073BA">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Theme="minorHAnsi" w:hAnsiTheme="minorHAnsi"/>
                <w:sz w:val="14"/>
              </w:rPr>
            </w:pPr>
            <w:r w:rsidRPr="004073BA">
              <w:rPr>
                <w:rFonts w:asciiTheme="minorHAnsi" w:hAnsiTheme="minorHAnsi"/>
                <w:sz w:val="14"/>
              </w:rPr>
              <w:t>Número de Docentes Planta y Transitorios 2008**</w:t>
            </w:r>
          </w:p>
        </w:tc>
        <w:tc>
          <w:tcPr>
            <w:tcW w:w="1066" w:type="pct"/>
            <w:vAlign w:val="center"/>
          </w:tcPr>
          <w:p w:rsidR="004073BA" w:rsidRPr="004073BA" w:rsidRDefault="004073BA" w:rsidP="004073BA">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Theme="minorHAnsi" w:hAnsiTheme="minorHAnsi"/>
                <w:sz w:val="14"/>
              </w:rPr>
            </w:pPr>
            <w:r w:rsidRPr="004073BA">
              <w:rPr>
                <w:rFonts w:asciiTheme="minorHAnsi" w:hAnsiTheme="minorHAnsi"/>
                <w:sz w:val="14"/>
              </w:rPr>
              <w:t>Número de Docentes en Formación (Planta y Transitorios) 2012</w:t>
            </w:r>
          </w:p>
        </w:tc>
      </w:tr>
      <w:tr w:rsidR="004073BA" w:rsidRPr="00CC03B1" w:rsidTr="004073BA">
        <w:trPr>
          <w:cnfStyle w:val="000000100000" w:firstRow="0" w:lastRow="0" w:firstColumn="0" w:lastColumn="0" w:oddVBand="0" w:evenVBand="0" w:oddHBand="1" w:evenHBand="0" w:firstRowFirstColumn="0" w:firstRowLastColumn="0" w:lastRowFirstColumn="0" w:lastRowLastColumn="0"/>
          <w:trHeight w:val="256"/>
        </w:trPr>
        <w:tc>
          <w:tcPr>
            <w:cnfStyle w:val="001000000000" w:firstRow="0" w:lastRow="0" w:firstColumn="1" w:lastColumn="0" w:oddVBand="0" w:evenVBand="0" w:oddHBand="0" w:evenHBand="0" w:firstRowFirstColumn="0" w:firstRowLastColumn="0" w:lastRowFirstColumn="0" w:lastRowLastColumn="0"/>
            <w:tcW w:w="1080" w:type="pct"/>
          </w:tcPr>
          <w:p w:rsidR="004073BA" w:rsidRPr="00CC03B1" w:rsidRDefault="004073BA" w:rsidP="008403BB">
            <w:pPr>
              <w:spacing w:after="0" w:line="276" w:lineRule="auto"/>
              <w:jc w:val="center"/>
              <w:rPr>
                <w:rFonts w:asciiTheme="minorHAnsi" w:hAnsiTheme="minorHAnsi"/>
              </w:rPr>
            </w:pPr>
            <w:r w:rsidRPr="00CC03B1">
              <w:rPr>
                <w:rFonts w:asciiTheme="minorHAnsi" w:hAnsiTheme="minorHAnsi"/>
              </w:rPr>
              <w:t>Doctorado</w:t>
            </w:r>
          </w:p>
        </w:tc>
        <w:tc>
          <w:tcPr>
            <w:tcW w:w="781" w:type="pct"/>
          </w:tcPr>
          <w:p w:rsidR="004073BA" w:rsidRPr="00CC03B1" w:rsidRDefault="004073BA" w:rsidP="008403BB">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rPr>
            </w:pPr>
            <w:r>
              <w:rPr>
                <w:rFonts w:asciiTheme="minorHAnsi" w:hAnsiTheme="minorHAnsi"/>
              </w:rPr>
              <w:t>75</w:t>
            </w:r>
          </w:p>
        </w:tc>
        <w:tc>
          <w:tcPr>
            <w:tcW w:w="1199" w:type="pct"/>
          </w:tcPr>
          <w:p w:rsidR="004073BA" w:rsidRPr="00CC03B1" w:rsidRDefault="004073BA" w:rsidP="008403BB">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rPr>
            </w:pPr>
            <w:r w:rsidRPr="00CC03B1">
              <w:rPr>
                <w:rFonts w:asciiTheme="minorHAnsi" w:hAnsiTheme="minorHAnsi"/>
              </w:rPr>
              <w:t>1</w:t>
            </w:r>
            <w:r>
              <w:rPr>
                <w:rFonts w:asciiTheme="minorHAnsi" w:hAnsiTheme="minorHAnsi"/>
              </w:rPr>
              <w:t>5</w:t>
            </w:r>
            <w:r w:rsidRPr="00CC03B1">
              <w:rPr>
                <w:rFonts w:asciiTheme="minorHAnsi" w:hAnsiTheme="minorHAnsi"/>
              </w:rPr>
              <w:t>%</w:t>
            </w:r>
          </w:p>
        </w:tc>
        <w:tc>
          <w:tcPr>
            <w:tcW w:w="874" w:type="pct"/>
          </w:tcPr>
          <w:p w:rsidR="004073BA" w:rsidRPr="00CC03B1" w:rsidRDefault="004073BA" w:rsidP="008403BB">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rPr>
            </w:pPr>
            <w:r w:rsidRPr="00CC03B1">
              <w:rPr>
                <w:rFonts w:asciiTheme="minorHAnsi" w:hAnsiTheme="minorHAnsi"/>
              </w:rPr>
              <w:t>52</w:t>
            </w:r>
          </w:p>
        </w:tc>
        <w:tc>
          <w:tcPr>
            <w:tcW w:w="1066" w:type="pct"/>
          </w:tcPr>
          <w:p w:rsidR="004073BA" w:rsidRPr="00CC03B1" w:rsidRDefault="004073BA" w:rsidP="008403BB">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rPr>
            </w:pPr>
            <w:r>
              <w:rPr>
                <w:rFonts w:asciiTheme="minorHAnsi" w:hAnsiTheme="minorHAnsi"/>
              </w:rPr>
              <w:t>76</w:t>
            </w:r>
          </w:p>
        </w:tc>
      </w:tr>
      <w:tr w:rsidR="004073BA" w:rsidRPr="00CC03B1" w:rsidTr="004073BA">
        <w:trPr>
          <w:cnfStyle w:val="000000010000" w:firstRow="0" w:lastRow="0" w:firstColumn="0" w:lastColumn="0" w:oddVBand="0" w:evenVBand="0" w:oddHBand="0" w:evenHBand="1" w:firstRowFirstColumn="0" w:firstRowLastColumn="0" w:lastRowFirstColumn="0" w:lastRowLastColumn="0"/>
          <w:trHeight w:val="246"/>
        </w:trPr>
        <w:tc>
          <w:tcPr>
            <w:cnfStyle w:val="001000000000" w:firstRow="0" w:lastRow="0" w:firstColumn="1" w:lastColumn="0" w:oddVBand="0" w:evenVBand="0" w:oddHBand="0" w:evenHBand="0" w:firstRowFirstColumn="0" w:firstRowLastColumn="0" w:lastRowFirstColumn="0" w:lastRowLastColumn="0"/>
            <w:tcW w:w="1080" w:type="pct"/>
          </w:tcPr>
          <w:p w:rsidR="004073BA" w:rsidRPr="00CC03B1" w:rsidRDefault="004073BA" w:rsidP="008403BB">
            <w:pPr>
              <w:spacing w:after="0" w:line="276" w:lineRule="auto"/>
              <w:jc w:val="center"/>
              <w:rPr>
                <w:rFonts w:asciiTheme="minorHAnsi" w:hAnsiTheme="minorHAnsi"/>
              </w:rPr>
            </w:pPr>
            <w:r w:rsidRPr="00CC03B1">
              <w:rPr>
                <w:rFonts w:asciiTheme="minorHAnsi" w:hAnsiTheme="minorHAnsi"/>
              </w:rPr>
              <w:t>Maestría</w:t>
            </w:r>
          </w:p>
        </w:tc>
        <w:tc>
          <w:tcPr>
            <w:tcW w:w="781" w:type="pct"/>
          </w:tcPr>
          <w:p w:rsidR="004073BA" w:rsidRPr="00CC03B1" w:rsidRDefault="004073BA" w:rsidP="008403BB">
            <w:pPr>
              <w:spacing w:after="0" w:line="276" w:lineRule="auto"/>
              <w:jc w:val="center"/>
              <w:cnfStyle w:val="000000010000" w:firstRow="0" w:lastRow="0" w:firstColumn="0" w:lastColumn="0" w:oddVBand="0" w:evenVBand="0" w:oddHBand="0" w:evenHBand="1" w:firstRowFirstColumn="0" w:firstRowLastColumn="0" w:lastRowFirstColumn="0" w:lastRowLastColumn="0"/>
              <w:rPr>
                <w:rFonts w:asciiTheme="minorHAnsi" w:hAnsiTheme="minorHAnsi"/>
              </w:rPr>
            </w:pPr>
            <w:r>
              <w:rPr>
                <w:rFonts w:asciiTheme="minorHAnsi" w:hAnsiTheme="minorHAnsi"/>
              </w:rPr>
              <w:t>275</w:t>
            </w:r>
          </w:p>
        </w:tc>
        <w:tc>
          <w:tcPr>
            <w:tcW w:w="1199" w:type="pct"/>
          </w:tcPr>
          <w:p w:rsidR="004073BA" w:rsidRPr="00CC03B1" w:rsidRDefault="004073BA" w:rsidP="008403BB">
            <w:pPr>
              <w:spacing w:after="0" w:line="276" w:lineRule="auto"/>
              <w:jc w:val="center"/>
              <w:cnfStyle w:val="000000010000" w:firstRow="0" w:lastRow="0" w:firstColumn="0" w:lastColumn="0" w:oddVBand="0" w:evenVBand="0" w:oddHBand="0" w:evenHBand="1" w:firstRowFirstColumn="0" w:firstRowLastColumn="0" w:lastRowFirstColumn="0" w:lastRowLastColumn="0"/>
              <w:rPr>
                <w:rFonts w:asciiTheme="minorHAnsi" w:hAnsiTheme="minorHAnsi"/>
              </w:rPr>
            </w:pPr>
            <w:r w:rsidRPr="00CC03B1">
              <w:rPr>
                <w:rFonts w:asciiTheme="minorHAnsi" w:hAnsiTheme="minorHAnsi"/>
              </w:rPr>
              <w:t>5</w:t>
            </w:r>
            <w:r>
              <w:rPr>
                <w:rFonts w:asciiTheme="minorHAnsi" w:hAnsiTheme="minorHAnsi"/>
              </w:rPr>
              <w:t>4</w:t>
            </w:r>
            <w:r w:rsidRPr="00CC03B1">
              <w:rPr>
                <w:rFonts w:asciiTheme="minorHAnsi" w:hAnsiTheme="minorHAnsi"/>
              </w:rPr>
              <w:t>%</w:t>
            </w:r>
          </w:p>
        </w:tc>
        <w:tc>
          <w:tcPr>
            <w:tcW w:w="874" w:type="pct"/>
          </w:tcPr>
          <w:p w:rsidR="004073BA" w:rsidRPr="00CC03B1" w:rsidRDefault="004073BA" w:rsidP="008403BB">
            <w:pPr>
              <w:spacing w:after="0" w:line="276" w:lineRule="auto"/>
              <w:jc w:val="center"/>
              <w:cnfStyle w:val="000000010000" w:firstRow="0" w:lastRow="0" w:firstColumn="0" w:lastColumn="0" w:oddVBand="0" w:evenVBand="0" w:oddHBand="0" w:evenHBand="1" w:firstRowFirstColumn="0" w:firstRowLastColumn="0" w:lastRowFirstColumn="0" w:lastRowLastColumn="0"/>
              <w:rPr>
                <w:rFonts w:asciiTheme="minorHAnsi" w:hAnsiTheme="minorHAnsi"/>
              </w:rPr>
            </w:pPr>
            <w:r w:rsidRPr="00CC03B1">
              <w:rPr>
                <w:rFonts w:asciiTheme="minorHAnsi" w:hAnsiTheme="minorHAnsi"/>
              </w:rPr>
              <w:t>273</w:t>
            </w:r>
          </w:p>
        </w:tc>
        <w:tc>
          <w:tcPr>
            <w:tcW w:w="1066" w:type="pct"/>
          </w:tcPr>
          <w:p w:rsidR="004073BA" w:rsidRPr="00020665" w:rsidRDefault="004073BA" w:rsidP="008403BB">
            <w:pPr>
              <w:spacing w:after="0" w:line="276" w:lineRule="auto"/>
              <w:jc w:val="center"/>
              <w:cnfStyle w:val="000000010000" w:firstRow="0" w:lastRow="0" w:firstColumn="0" w:lastColumn="0" w:oddVBand="0" w:evenVBand="0" w:oddHBand="0" w:evenHBand="1" w:firstRowFirstColumn="0" w:firstRowLastColumn="0" w:lastRowFirstColumn="0" w:lastRowLastColumn="0"/>
              <w:rPr>
                <w:rFonts w:asciiTheme="minorHAnsi" w:hAnsiTheme="minorHAnsi"/>
                <w:lang w:val="en-US"/>
              </w:rPr>
            </w:pPr>
            <w:r>
              <w:rPr>
                <w:rFonts w:asciiTheme="minorHAnsi" w:hAnsiTheme="minorHAnsi"/>
              </w:rPr>
              <w:t>61</w:t>
            </w:r>
          </w:p>
        </w:tc>
      </w:tr>
    </w:tbl>
    <w:p w:rsidR="004073BA" w:rsidRPr="00A44247" w:rsidRDefault="004073BA" w:rsidP="004073BA">
      <w:pPr>
        <w:pStyle w:val="Prrafodelista"/>
        <w:spacing w:line="276" w:lineRule="auto"/>
        <w:rPr>
          <w:sz w:val="18"/>
        </w:rPr>
      </w:pPr>
      <w:r>
        <w:rPr>
          <w:sz w:val="18"/>
        </w:rPr>
        <w:t xml:space="preserve">* </w:t>
      </w:r>
      <w:r w:rsidRPr="00A44247">
        <w:rPr>
          <w:sz w:val="18"/>
        </w:rPr>
        <w:t xml:space="preserve">Promedio </w:t>
      </w:r>
      <w:r>
        <w:rPr>
          <w:sz w:val="18"/>
        </w:rPr>
        <w:t>Semestre I y Semestre II de 2012.</w:t>
      </w:r>
    </w:p>
    <w:p w:rsidR="004073BA" w:rsidRPr="00A44247" w:rsidRDefault="004073BA" w:rsidP="004073BA">
      <w:pPr>
        <w:pStyle w:val="Prrafodelista"/>
        <w:spacing w:line="276" w:lineRule="auto"/>
        <w:rPr>
          <w:sz w:val="18"/>
        </w:rPr>
      </w:pPr>
      <w:r>
        <w:rPr>
          <w:sz w:val="18"/>
        </w:rPr>
        <w:t xml:space="preserve">** </w:t>
      </w:r>
      <w:r w:rsidRPr="00A44247">
        <w:rPr>
          <w:sz w:val="18"/>
        </w:rPr>
        <w:t>Promedio Semestre I y Semestre II de 2008</w:t>
      </w:r>
      <w:r>
        <w:rPr>
          <w:sz w:val="18"/>
        </w:rPr>
        <w:t>.</w:t>
      </w:r>
    </w:p>
    <w:p w:rsidR="004073BA" w:rsidRPr="002201AE" w:rsidRDefault="004073BA" w:rsidP="004073BA">
      <w:pPr>
        <w:spacing w:line="276" w:lineRule="auto"/>
        <w:jc w:val="center"/>
        <w:rPr>
          <w:rFonts w:asciiTheme="minorHAnsi" w:hAnsiTheme="minorHAnsi"/>
          <w:b/>
          <w:sz w:val="18"/>
        </w:rPr>
      </w:pPr>
      <w:r w:rsidRPr="002201AE">
        <w:rPr>
          <w:rFonts w:asciiTheme="minorHAnsi" w:hAnsiTheme="minorHAnsi"/>
          <w:b/>
          <w:sz w:val="18"/>
        </w:rPr>
        <w:t>Fuente: SIGOB y División de Personal</w:t>
      </w:r>
    </w:p>
    <w:p w:rsidR="00A627CB" w:rsidRDefault="00A627CB" w:rsidP="00A627CB">
      <w:r>
        <w:t>Además de la formación postgraduada, también se realizan esfuerzos para capacitar al personal docente de la Universidad en las siguientes temáticas:</w:t>
      </w:r>
    </w:p>
    <w:p w:rsidR="00A627CB" w:rsidRDefault="00A627CB" w:rsidP="00C21E52">
      <w:pPr>
        <w:pStyle w:val="Sinespaciado"/>
        <w:numPr>
          <w:ilvl w:val="0"/>
          <w:numId w:val="29"/>
        </w:numPr>
        <w:jc w:val="both"/>
      </w:pPr>
      <w:r>
        <w:t>Manejo de una segunda lengua.</w:t>
      </w:r>
    </w:p>
    <w:p w:rsidR="00A627CB" w:rsidRDefault="00A627CB" w:rsidP="00C21E52">
      <w:pPr>
        <w:pStyle w:val="Sinespaciado"/>
        <w:numPr>
          <w:ilvl w:val="0"/>
          <w:numId w:val="29"/>
        </w:numPr>
        <w:jc w:val="both"/>
      </w:pPr>
      <w:r>
        <w:t>Formación en Pedagogía.</w:t>
      </w:r>
    </w:p>
    <w:p w:rsidR="00A627CB" w:rsidRDefault="00A627CB" w:rsidP="00C21E52">
      <w:pPr>
        <w:pStyle w:val="Sinespaciado"/>
        <w:numPr>
          <w:ilvl w:val="0"/>
          <w:numId w:val="29"/>
        </w:numPr>
        <w:jc w:val="both"/>
      </w:pPr>
      <w:r>
        <w:t>Formación en manejos de Tecnologías de la Información y la Comunicación (Básica y Profundización).</w:t>
      </w:r>
    </w:p>
    <w:p w:rsidR="00A627CB" w:rsidRDefault="00A627CB" w:rsidP="00C21E52">
      <w:pPr>
        <w:pStyle w:val="Prrafodelista"/>
        <w:numPr>
          <w:ilvl w:val="0"/>
          <w:numId w:val="29"/>
        </w:numPr>
        <w:spacing w:after="200" w:line="276" w:lineRule="auto"/>
        <w:contextualSpacing w:val="0"/>
      </w:pPr>
      <w:r>
        <w:t>Formación en administración educativa.</w:t>
      </w:r>
    </w:p>
    <w:p w:rsidR="00A627CB" w:rsidRDefault="00A627CB" w:rsidP="00A627CB"/>
    <w:p w:rsidR="004073BA" w:rsidRDefault="004073BA" w:rsidP="00A627CB"/>
    <w:p w:rsidR="00A627CB" w:rsidRPr="00CF46F5" w:rsidRDefault="00A627CB" w:rsidP="00CF46F5">
      <w:pPr>
        <w:pStyle w:val="Ttulo4"/>
      </w:pPr>
      <w:r w:rsidRPr="00CF46F5">
        <w:t>Enseñabilidad</w:t>
      </w:r>
    </w:p>
    <w:p w:rsidR="00A627CB" w:rsidRDefault="00A627CB" w:rsidP="00A627CB"/>
    <w:p w:rsidR="00A627CB" w:rsidRDefault="00A627CB" w:rsidP="00A627CB">
      <w:r>
        <w:t>Tiene como propósito c</w:t>
      </w:r>
      <w:r w:rsidRPr="00BB7740">
        <w:t>ontar con una  Institución que ofrece programas con currículos flexibles, pertinentes, interdisciplinarios que conduzcan a  la formación integral de personas identificadas con su quehacer y que impacten en su entorno con responsabilidad social</w:t>
      </w:r>
      <w:r>
        <w:t>.</w:t>
      </w:r>
    </w:p>
    <w:p w:rsidR="00A627CB" w:rsidRDefault="00A627CB" w:rsidP="00A627CB">
      <w:r w:rsidRPr="00BB7740">
        <w:t>La U</w:t>
      </w:r>
      <w:r>
        <w:t>niversidad Tecnológica de Pereira</w:t>
      </w:r>
      <w:r w:rsidRPr="00BB7740">
        <w:t xml:space="preserve"> como Institución estatal es responsable de la formación en educación superior de la sociedad para lo cual debe  ofrecer programas pertinentes, oportunos y de alta calidad.</w:t>
      </w:r>
      <w:r>
        <w:t xml:space="preserve"> </w:t>
      </w:r>
    </w:p>
    <w:p w:rsidR="00A627CB" w:rsidRDefault="00A627CB" w:rsidP="00A627CB">
      <w:r>
        <w:t>Desde esta estrategia se</w:t>
      </w:r>
      <w:r w:rsidRPr="00BB7740">
        <w:t xml:space="preserve"> apunta en dos direcciones, al interior de la Universidad a los estudiantes de pregrado y postgrado; y por otra parte, a los estudiantes de la educación media que son  potenciales para ingresar a la Universidad. De la misma forma este proyecto contribuye a impactar al Departamento y regiones de influencia al igual que a las empresas que vinculan egresados y utilizan los demás servicios ofrecidos por la Universidad.</w:t>
      </w:r>
    </w:p>
    <w:p w:rsidR="00CF46F5" w:rsidRDefault="00CF46F5" w:rsidP="00A627CB"/>
    <w:p w:rsidR="00A627CB" w:rsidRDefault="00A627CB" w:rsidP="00C21E52">
      <w:pPr>
        <w:pStyle w:val="Prrafodelista"/>
        <w:numPr>
          <w:ilvl w:val="0"/>
          <w:numId w:val="43"/>
        </w:numPr>
        <w:rPr>
          <w:b/>
        </w:rPr>
      </w:pPr>
      <w:r w:rsidRPr="00CF46F5">
        <w:rPr>
          <w:b/>
        </w:rPr>
        <w:lastRenderedPageBreak/>
        <w:t>Satisfacción del Estudiante con el Docente y con el Programa Académico</w:t>
      </w:r>
    </w:p>
    <w:p w:rsidR="00CF46F5" w:rsidRPr="00CF46F5" w:rsidRDefault="00CF46F5" w:rsidP="00CF46F5">
      <w:pPr>
        <w:pStyle w:val="Prrafodelista"/>
        <w:rPr>
          <w:b/>
        </w:rPr>
      </w:pPr>
    </w:p>
    <w:p w:rsidR="00A627CB" w:rsidRPr="00CB4A98" w:rsidRDefault="00A627CB" w:rsidP="00A627CB">
      <w:r>
        <w:t>Desde las estrategias del Objetivo de Cobertura con Calidad y con el fin de abogar por el mejoramiento continuo, semestre a semestre se realiza una medición de Satisfacción de los Estudiantes con los Docentes y con el Programa Académico.</w:t>
      </w:r>
    </w:p>
    <w:p w:rsidR="00A627CB" w:rsidRDefault="00A627CB" w:rsidP="00A627CB">
      <w:pPr>
        <w:rPr>
          <w:color w:val="FF0000"/>
        </w:rPr>
      </w:pPr>
      <w:r>
        <w:rPr>
          <w:noProof/>
          <w:lang w:val="es-CO" w:eastAsia="es-CO"/>
        </w:rPr>
        <w:drawing>
          <wp:inline distT="0" distB="0" distL="0" distR="0">
            <wp:extent cx="5612130" cy="1812925"/>
            <wp:effectExtent l="0" t="0" r="7620" b="0"/>
            <wp:docPr id="17" name="Gráfico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rsidR="00A627CB" w:rsidRPr="007A3950" w:rsidRDefault="00A627CB" w:rsidP="00A627CB">
      <w:pPr>
        <w:rPr>
          <w:color w:val="000000" w:themeColor="text1"/>
        </w:rPr>
      </w:pPr>
      <w:r w:rsidRPr="007A3950">
        <w:rPr>
          <w:color w:val="000000" w:themeColor="text1"/>
        </w:rPr>
        <w:t xml:space="preserve">En el caso de los docentes, </w:t>
      </w:r>
      <w:r>
        <w:rPr>
          <w:color w:val="000000" w:themeColor="text1"/>
        </w:rPr>
        <w:t xml:space="preserve">se realiza una medición de </w:t>
      </w:r>
      <w:r w:rsidRPr="00301603">
        <w:rPr>
          <w:b/>
          <w:color w:val="000000" w:themeColor="text1"/>
        </w:rPr>
        <w:t>0</w:t>
      </w:r>
      <w:r>
        <w:rPr>
          <w:color w:val="000000" w:themeColor="text1"/>
        </w:rPr>
        <w:t xml:space="preserve"> a </w:t>
      </w:r>
      <w:r w:rsidRPr="00301603">
        <w:rPr>
          <w:b/>
          <w:color w:val="000000" w:themeColor="text1"/>
        </w:rPr>
        <w:t>48</w:t>
      </w:r>
      <w:r>
        <w:rPr>
          <w:color w:val="000000" w:themeColor="text1"/>
        </w:rPr>
        <w:t xml:space="preserve"> puntos, y en los últimos 4 años que se ha realizada la medición, se ha tenido un promedio de calificación de los docentes sobre </w:t>
      </w:r>
      <w:r w:rsidRPr="00CE1FAF">
        <w:rPr>
          <w:b/>
          <w:color w:val="000000" w:themeColor="text1"/>
        </w:rPr>
        <w:t>44</w:t>
      </w:r>
      <w:r>
        <w:rPr>
          <w:color w:val="000000" w:themeColor="text1"/>
        </w:rPr>
        <w:t xml:space="preserve"> puntos, es decir que el promedio de calificaciones se ubican en el </w:t>
      </w:r>
      <w:proofErr w:type="spellStart"/>
      <w:r>
        <w:rPr>
          <w:color w:val="000000" w:themeColor="text1"/>
        </w:rPr>
        <w:t>decil</w:t>
      </w:r>
      <w:proofErr w:type="spellEnd"/>
      <w:r>
        <w:rPr>
          <w:color w:val="000000" w:themeColor="text1"/>
        </w:rPr>
        <w:t xml:space="preserve"> más alto de la medición. </w:t>
      </w:r>
      <w:r w:rsidR="00C151C8">
        <w:rPr>
          <w:color w:val="000000" w:themeColor="text1"/>
        </w:rPr>
        <w:t>Actualmente en el PDI, existe un proyecto institucional, que llevaría la evaluación a una segunda fase para el mejoramiento continuo</w:t>
      </w:r>
      <w:r>
        <w:rPr>
          <w:color w:val="000000" w:themeColor="text1"/>
        </w:rPr>
        <w:t>.</w:t>
      </w:r>
    </w:p>
    <w:p w:rsidR="00A627CB" w:rsidRDefault="00A627CB" w:rsidP="00A627CB">
      <w:pPr>
        <w:rPr>
          <w:color w:val="FF0000"/>
        </w:rPr>
      </w:pPr>
    </w:p>
    <w:p w:rsidR="00A627CB" w:rsidRDefault="00A627CB" w:rsidP="00A627CB">
      <w:pPr>
        <w:rPr>
          <w:color w:val="FF0000"/>
        </w:rPr>
      </w:pPr>
      <w:r>
        <w:rPr>
          <w:noProof/>
          <w:lang w:val="es-CO" w:eastAsia="es-CO"/>
        </w:rPr>
        <w:drawing>
          <wp:inline distT="0" distB="0" distL="0" distR="0">
            <wp:extent cx="5612130" cy="1812925"/>
            <wp:effectExtent l="0" t="0" r="7620" b="0"/>
            <wp:docPr id="19" name="Gráfico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rsidR="00A627CB" w:rsidRDefault="00A627CB" w:rsidP="00A627CB">
      <w:pPr>
        <w:rPr>
          <w:color w:val="000000" w:themeColor="text1"/>
        </w:rPr>
      </w:pPr>
      <w:r w:rsidRPr="00A8743A">
        <w:rPr>
          <w:color w:val="000000" w:themeColor="text1"/>
        </w:rPr>
        <w:t xml:space="preserve">En el caso de la satisfacción con el programa, </w:t>
      </w:r>
      <w:r>
        <w:rPr>
          <w:color w:val="000000" w:themeColor="text1"/>
        </w:rPr>
        <w:t xml:space="preserve">actualmente se cuenta con un </w:t>
      </w:r>
      <w:r w:rsidRPr="00A8743A">
        <w:rPr>
          <w:b/>
          <w:color w:val="000000" w:themeColor="text1"/>
        </w:rPr>
        <w:t>83%</w:t>
      </w:r>
      <w:r>
        <w:rPr>
          <w:color w:val="000000" w:themeColor="text1"/>
        </w:rPr>
        <w:t xml:space="preserve"> de los estudiantes se encuentran satisfechos con el programa.</w:t>
      </w:r>
    </w:p>
    <w:p w:rsidR="00CF46F5" w:rsidRPr="00A8743A" w:rsidRDefault="00CF46F5" w:rsidP="00A627CB">
      <w:pPr>
        <w:rPr>
          <w:color w:val="000000" w:themeColor="text1"/>
        </w:rPr>
      </w:pPr>
    </w:p>
    <w:p w:rsidR="00A627CB" w:rsidRDefault="00A627CB" w:rsidP="00C21E52">
      <w:pPr>
        <w:pStyle w:val="Prrafodelista"/>
        <w:numPr>
          <w:ilvl w:val="0"/>
          <w:numId w:val="43"/>
        </w:numPr>
        <w:rPr>
          <w:b/>
        </w:rPr>
      </w:pPr>
      <w:r w:rsidRPr="00CF46F5">
        <w:rPr>
          <w:b/>
        </w:rPr>
        <w:t>Satisfacción Egresados con el Programa Académico</w:t>
      </w:r>
    </w:p>
    <w:p w:rsidR="00CF46F5" w:rsidRPr="00CF46F5" w:rsidRDefault="00CF46F5" w:rsidP="00CF46F5">
      <w:pPr>
        <w:pStyle w:val="Prrafodelista"/>
        <w:rPr>
          <w:b/>
        </w:rPr>
      </w:pPr>
    </w:p>
    <w:p w:rsidR="00A627CB" w:rsidRDefault="00A627CB" w:rsidP="00A627CB">
      <w:pPr>
        <w:rPr>
          <w:i/>
        </w:rPr>
      </w:pPr>
      <w:r>
        <w:t xml:space="preserve">En los últimos 3 años, el nivel de satisfacción de los egresados con los programas académicos se mantiene por encima del </w:t>
      </w:r>
      <w:r w:rsidRPr="00B97CED">
        <w:rPr>
          <w:b/>
        </w:rPr>
        <w:t>80%</w:t>
      </w:r>
      <w:r>
        <w:t xml:space="preserve">  es un indicador que se mide trimestralmente, y consiste en la ponderación de los resultados de tres preguntas claves: </w:t>
      </w:r>
      <w:r w:rsidRPr="00B51FA4">
        <w:rPr>
          <w:i/>
        </w:rPr>
        <w:t xml:space="preserve"> </w:t>
      </w:r>
    </w:p>
    <w:p w:rsidR="00A627CB" w:rsidRPr="00CF46F5" w:rsidRDefault="00A627CB" w:rsidP="00C21E52">
      <w:pPr>
        <w:pStyle w:val="Prrafodelista"/>
        <w:numPr>
          <w:ilvl w:val="0"/>
          <w:numId w:val="30"/>
        </w:numPr>
        <w:spacing w:after="200" w:line="276" w:lineRule="auto"/>
      </w:pPr>
      <w:r w:rsidRPr="00CF46F5">
        <w:t xml:space="preserve">¿Qué tan útiles han sido en su trabajo los conocimientos, habilidades y destrezas aprendidas en su carrera? </w:t>
      </w:r>
    </w:p>
    <w:p w:rsidR="00A627CB" w:rsidRPr="00CF46F5" w:rsidRDefault="00A627CB" w:rsidP="00C21E52">
      <w:pPr>
        <w:pStyle w:val="Prrafodelista"/>
        <w:numPr>
          <w:ilvl w:val="0"/>
          <w:numId w:val="30"/>
        </w:numPr>
        <w:spacing w:after="200" w:line="276" w:lineRule="auto"/>
      </w:pPr>
      <w:r w:rsidRPr="00CF46F5">
        <w:lastRenderedPageBreak/>
        <w:t xml:space="preserve">Califique de 1 a 5 la calidad de la formación que imparte el programa sobre sus estudiantes. </w:t>
      </w:r>
    </w:p>
    <w:p w:rsidR="00A627CB" w:rsidRPr="00CF46F5" w:rsidRDefault="00A627CB" w:rsidP="00C21E52">
      <w:pPr>
        <w:pStyle w:val="Prrafodelista"/>
        <w:numPr>
          <w:ilvl w:val="0"/>
          <w:numId w:val="30"/>
        </w:numPr>
        <w:spacing w:after="200" w:line="276" w:lineRule="auto"/>
      </w:pPr>
      <w:r w:rsidRPr="00CF46F5">
        <w:t xml:space="preserve">¿Recomendaría a un bachiller seleccionar el programa que estudió en esta Institución?  </w:t>
      </w:r>
    </w:p>
    <w:p w:rsidR="00A627CB" w:rsidRDefault="00A627CB" w:rsidP="00A627CB">
      <w:pPr>
        <w:rPr>
          <w:color w:val="FF0000"/>
        </w:rPr>
      </w:pPr>
    </w:p>
    <w:p w:rsidR="00A627CB" w:rsidRDefault="00A627CB" w:rsidP="00A627CB">
      <w:pPr>
        <w:rPr>
          <w:color w:val="FF0000"/>
        </w:rPr>
      </w:pPr>
      <w:r>
        <w:rPr>
          <w:noProof/>
          <w:lang w:val="es-CO" w:eastAsia="es-CO"/>
        </w:rPr>
        <w:drawing>
          <wp:inline distT="0" distB="0" distL="0" distR="0">
            <wp:extent cx="5612130" cy="1812925"/>
            <wp:effectExtent l="0" t="0" r="7620" b="0"/>
            <wp:docPr id="20" name="Gráfico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rsidR="00A627CB" w:rsidRDefault="00A627CB" w:rsidP="00A627CB">
      <w:r>
        <w:t xml:space="preserve">Para el año </w:t>
      </w:r>
      <w:r w:rsidRPr="00B97CED">
        <w:rPr>
          <w:b/>
        </w:rPr>
        <w:t>2012</w:t>
      </w:r>
      <w:r>
        <w:t xml:space="preserve"> se realizó el estudio con </w:t>
      </w:r>
      <w:r w:rsidRPr="00B97CED">
        <w:rPr>
          <w:b/>
        </w:rPr>
        <w:t>2</w:t>
      </w:r>
      <w:r>
        <w:rPr>
          <w:b/>
        </w:rPr>
        <w:t>.</w:t>
      </w:r>
      <w:r w:rsidRPr="00B97CED">
        <w:rPr>
          <w:b/>
        </w:rPr>
        <w:t>530</w:t>
      </w:r>
      <w:r>
        <w:t xml:space="preserve"> profesionales, llegando a un nivel de satisfacción del </w:t>
      </w:r>
      <w:r w:rsidRPr="00B97CED">
        <w:rPr>
          <w:b/>
        </w:rPr>
        <w:t>92%</w:t>
      </w:r>
      <w:r>
        <w:t xml:space="preserve"> frente a los programas académicos ofertados por la institución.</w:t>
      </w:r>
    </w:p>
    <w:p w:rsidR="00A627CB" w:rsidRDefault="00A627CB" w:rsidP="00A627CB">
      <w:pPr>
        <w:rPr>
          <w:color w:val="FF0000"/>
        </w:rPr>
      </w:pPr>
    </w:p>
    <w:p w:rsidR="00A627CB" w:rsidRPr="00CF46F5" w:rsidRDefault="00A627CB" w:rsidP="00CF46F5">
      <w:pPr>
        <w:pStyle w:val="Ttulo4"/>
      </w:pPr>
      <w:r w:rsidRPr="00CF46F5">
        <w:t>Cobertura</w:t>
      </w:r>
    </w:p>
    <w:p w:rsidR="00A627CB" w:rsidRDefault="00A627CB" w:rsidP="00A627CB"/>
    <w:p w:rsidR="00A627CB" w:rsidRDefault="00A627CB" w:rsidP="00A627CB">
      <w:r w:rsidRPr="00BB7740">
        <w:t xml:space="preserve">Es política del estado ampliar el número de estudiantes que puedan ingresar a la educación superior en programas pertinentes y que puedan impactar en el desarrollo de las regiones. En el caso particular de la Universidad Tecnológica de Pereira, la cobertura se ha ampliado teniendo en cuenta la articulación de la educación media con la educación superior con un buen número de instituciones de educación media del departamento de Risaralda. Así mismo es importante  ofertar pertinentemente programas en diferentes niveles del saber dando respuesta a las necesidades de la sociedad. </w:t>
      </w:r>
      <w:r w:rsidR="005A5FC4">
        <w:t>Se busca realizar un seguimiento sistemático  a la población estudiantil, logrando caracterizarla e identificar los riesgos de deserción, para continuar con el diseño y ejecución de estrategias orientadas a reducir las tasas de deserción y garantizar el egreso oportuno y exitoso</w:t>
      </w:r>
      <w:r w:rsidRPr="00BB7740">
        <w:t>.</w:t>
      </w:r>
    </w:p>
    <w:p w:rsidR="00A627CB" w:rsidRDefault="00A627CB" w:rsidP="00A627CB">
      <w:r>
        <w:t xml:space="preserve">Tiene como objetivo tener una </w:t>
      </w:r>
      <w:r w:rsidRPr="00BB7740">
        <w:t xml:space="preserve">Universidad con una oferta pertinente de programas, articulada con Instituciones de Educación Media que facilite el acceso a la educación superior </w:t>
      </w:r>
      <w:r w:rsidR="005A5FC4">
        <w:t>de la región y zonas de impacto.</w:t>
      </w:r>
    </w:p>
    <w:p w:rsidR="00A627CB" w:rsidRDefault="00A627CB" w:rsidP="00A627CB">
      <w:r w:rsidRPr="00BB7740">
        <w:t>Atendiendo a las necesidades de los ciudadanos y futuros líderes del país, la Universidad Tecnológica de Pereira debe buscar la formación de sus estudiantes, desde la educación media, con el objetivo de orientarlos en el  desarrollo  de sus  conocimientos garantizando la calidad del proceso de formación mediante el ofrecimiento de programas pertinentes y el seguimiento permanente a sus estudiantes.</w:t>
      </w:r>
    </w:p>
    <w:p w:rsidR="00A627CB" w:rsidRDefault="00A627CB" w:rsidP="00A627CB"/>
    <w:p w:rsidR="00A627CB" w:rsidRPr="00CF46F5" w:rsidRDefault="00A627CB" w:rsidP="00C21E52">
      <w:pPr>
        <w:pStyle w:val="Prrafodelista"/>
        <w:numPr>
          <w:ilvl w:val="0"/>
          <w:numId w:val="44"/>
        </w:numPr>
        <w:rPr>
          <w:b/>
        </w:rPr>
      </w:pPr>
      <w:r w:rsidRPr="00CF46F5">
        <w:rPr>
          <w:b/>
        </w:rPr>
        <w:t>Programas Académicos</w:t>
      </w:r>
    </w:p>
    <w:p w:rsidR="00CF46F5" w:rsidRDefault="00CF46F5" w:rsidP="00A627CB">
      <w:pPr>
        <w:rPr>
          <w:b/>
        </w:rPr>
      </w:pPr>
    </w:p>
    <w:p w:rsidR="00A627CB" w:rsidRPr="005B6EAE" w:rsidRDefault="00A627CB" w:rsidP="00A627CB">
      <w:r>
        <w:lastRenderedPageBreak/>
        <w:t xml:space="preserve">La Universidad actualmente cuenta con </w:t>
      </w:r>
      <w:r w:rsidRPr="002D0E2E">
        <w:rPr>
          <w:b/>
        </w:rPr>
        <w:t>89</w:t>
      </w:r>
      <w:r>
        <w:t xml:space="preserve"> programas académicos ofrecidos, </w:t>
      </w:r>
      <w:r w:rsidRPr="002D0E2E">
        <w:rPr>
          <w:b/>
        </w:rPr>
        <w:t>58%</w:t>
      </w:r>
      <w:r>
        <w:t xml:space="preserve"> más que en 2008, cuando se estableció la línea base del PDI 2009 – 2019. Es importante mencionar que la Universidad tiene una oferta del </w:t>
      </w:r>
      <w:r w:rsidRPr="002D0E2E">
        <w:rPr>
          <w:b/>
        </w:rPr>
        <w:t>81%</w:t>
      </w:r>
      <w:r>
        <w:t xml:space="preserve"> de sus programas, ya que, cuenta con </w:t>
      </w:r>
      <w:r w:rsidRPr="002D0E2E">
        <w:rPr>
          <w:b/>
        </w:rPr>
        <w:t>109</w:t>
      </w:r>
      <w:r>
        <w:t xml:space="preserve"> programas con Registro SNIES.</w:t>
      </w:r>
    </w:p>
    <w:p w:rsidR="00A627CB" w:rsidRDefault="00A627CB" w:rsidP="00A627CB">
      <w:r>
        <w:rPr>
          <w:noProof/>
          <w:lang w:val="es-CO" w:eastAsia="es-CO"/>
        </w:rPr>
        <w:drawing>
          <wp:inline distT="0" distB="0" distL="0" distR="0">
            <wp:extent cx="5612130" cy="2486660"/>
            <wp:effectExtent l="0" t="0" r="7620" b="8890"/>
            <wp:docPr id="21" name="Gráfico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rsidR="00A627CB" w:rsidRPr="000B60D6" w:rsidRDefault="00A627CB" w:rsidP="00A627CB">
      <w:pPr>
        <w:jc w:val="center"/>
        <w:rPr>
          <w:b/>
        </w:rPr>
      </w:pPr>
      <w:r w:rsidRPr="000B60D6">
        <w:rPr>
          <w:b/>
        </w:rPr>
        <w:t>Fuente: Vicerrectoría Académica</w:t>
      </w:r>
    </w:p>
    <w:p w:rsidR="00A627CB" w:rsidRDefault="00A627CB" w:rsidP="00A627CB">
      <w:r>
        <w:t xml:space="preserve">De los </w:t>
      </w:r>
      <w:r w:rsidRPr="000B60D6">
        <w:rPr>
          <w:b/>
        </w:rPr>
        <w:t>90</w:t>
      </w:r>
      <w:r>
        <w:t xml:space="preserve"> programas académicos ofrecidos, </w:t>
      </w:r>
      <w:r w:rsidRPr="00586863">
        <w:t>4</w:t>
      </w:r>
      <w:r>
        <w:t xml:space="preserve">4 son de nivel postgrado, es decir que aproximadamente el </w:t>
      </w:r>
      <w:r w:rsidRPr="002D0E2E">
        <w:rPr>
          <w:b/>
        </w:rPr>
        <w:t>49%</w:t>
      </w:r>
      <w:r>
        <w:t xml:space="preserve"> de la oferta de programas es a nivel de Especialización, Maestría y Doctorado.</w:t>
      </w:r>
    </w:p>
    <w:p w:rsidR="00A627CB" w:rsidRDefault="00A627CB" w:rsidP="00A627CB">
      <w:pPr>
        <w:jc w:val="center"/>
      </w:pPr>
      <w:r>
        <w:rPr>
          <w:noProof/>
          <w:lang w:val="es-CO" w:eastAsia="es-CO"/>
        </w:rPr>
        <w:drawing>
          <wp:inline distT="0" distB="0" distL="0" distR="0">
            <wp:extent cx="4535424" cy="1704441"/>
            <wp:effectExtent l="0" t="0" r="0" b="0"/>
            <wp:docPr id="22" name="Gráfico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rsidR="00A627CB" w:rsidRPr="000B60D6" w:rsidRDefault="00A627CB" w:rsidP="00A627CB">
      <w:pPr>
        <w:jc w:val="center"/>
        <w:rPr>
          <w:b/>
        </w:rPr>
      </w:pPr>
      <w:r w:rsidRPr="000B60D6">
        <w:rPr>
          <w:b/>
        </w:rPr>
        <w:t xml:space="preserve">Fuente: </w:t>
      </w:r>
      <w:r>
        <w:rPr>
          <w:b/>
        </w:rPr>
        <w:t>Base de Datos del Centro de Registro y Control</w:t>
      </w:r>
    </w:p>
    <w:p w:rsidR="00A627CB" w:rsidRDefault="00A627CB" w:rsidP="00A627CB">
      <w:pPr>
        <w:jc w:val="center"/>
      </w:pPr>
    </w:p>
    <w:p w:rsidR="00A627CB" w:rsidRDefault="00A627CB" w:rsidP="00A627CB">
      <w:pPr>
        <w:rPr>
          <w:color w:val="FF0000"/>
        </w:rPr>
      </w:pPr>
    </w:p>
    <w:p w:rsidR="00A627CB" w:rsidRPr="00CF46F5" w:rsidRDefault="00A627CB" w:rsidP="00C21E52">
      <w:pPr>
        <w:pStyle w:val="Prrafodelista"/>
        <w:numPr>
          <w:ilvl w:val="0"/>
          <w:numId w:val="44"/>
        </w:numPr>
        <w:rPr>
          <w:b/>
          <w:color w:val="000000" w:themeColor="text1"/>
        </w:rPr>
      </w:pPr>
      <w:r w:rsidRPr="00CF46F5">
        <w:rPr>
          <w:b/>
          <w:color w:val="000000" w:themeColor="text1"/>
        </w:rPr>
        <w:t>Matrícula de estudiantes de Pregrado y Posgrado</w:t>
      </w:r>
    </w:p>
    <w:p w:rsidR="00CF46F5" w:rsidRDefault="00CF46F5" w:rsidP="00A627CB">
      <w:pPr>
        <w:rPr>
          <w:color w:val="000000" w:themeColor="text1"/>
        </w:rPr>
      </w:pPr>
    </w:p>
    <w:p w:rsidR="00A627CB" w:rsidRPr="00E54293" w:rsidRDefault="00A627CB" w:rsidP="00A627CB">
      <w:pPr>
        <w:rPr>
          <w:color w:val="000000" w:themeColor="text1"/>
        </w:rPr>
      </w:pPr>
      <w:r w:rsidRPr="00E54293">
        <w:rPr>
          <w:color w:val="000000" w:themeColor="text1"/>
        </w:rPr>
        <w:t xml:space="preserve">En </w:t>
      </w:r>
      <w:r>
        <w:rPr>
          <w:color w:val="000000" w:themeColor="text1"/>
        </w:rPr>
        <w:t xml:space="preserve">términos de matrícula, la Universidad para el último semestre de </w:t>
      </w:r>
      <w:r w:rsidRPr="00FE226F">
        <w:rPr>
          <w:b/>
          <w:color w:val="000000" w:themeColor="text1"/>
        </w:rPr>
        <w:t>2012</w:t>
      </w:r>
      <w:r>
        <w:rPr>
          <w:color w:val="000000" w:themeColor="text1"/>
        </w:rPr>
        <w:t xml:space="preserve"> contaba con </w:t>
      </w:r>
      <w:r w:rsidRPr="00FE226F">
        <w:rPr>
          <w:b/>
          <w:color w:val="000000" w:themeColor="text1"/>
        </w:rPr>
        <w:t>16.132</w:t>
      </w:r>
      <w:r>
        <w:rPr>
          <w:color w:val="000000" w:themeColor="text1"/>
        </w:rPr>
        <w:t xml:space="preserve"> estudiantes, un </w:t>
      </w:r>
      <w:r w:rsidRPr="00FE226F">
        <w:rPr>
          <w:b/>
          <w:color w:val="000000" w:themeColor="text1"/>
        </w:rPr>
        <w:t>25%</w:t>
      </w:r>
      <w:r>
        <w:rPr>
          <w:color w:val="000000" w:themeColor="text1"/>
        </w:rPr>
        <w:t xml:space="preserve"> más que en el segundo semestre de </w:t>
      </w:r>
      <w:r w:rsidRPr="00FE226F">
        <w:rPr>
          <w:b/>
          <w:color w:val="000000" w:themeColor="text1"/>
        </w:rPr>
        <w:t>20</w:t>
      </w:r>
      <w:r>
        <w:rPr>
          <w:b/>
          <w:color w:val="000000" w:themeColor="text1"/>
        </w:rPr>
        <w:t>08</w:t>
      </w:r>
      <w:r>
        <w:rPr>
          <w:color w:val="000000" w:themeColor="text1"/>
        </w:rPr>
        <w:t xml:space="preserve"> cuando inició el Plan de Desarrollo Institucional 2009 – 2019, puede notarse que a partir del segundo semestre de </w:t>
      </w:r>
      <w:r w:rsidRPr="00FE226F">
        <w:rPr>
          <w:b/>
          <w:color w:val="000000" w:themeColor="text1"/>
        </w:rPr>
        <w:t>2010</w:t>
      </w:r>
      <w:r>
        <w:rPr>
          <w:color w:val="000000" w:themeColor="text1"/>
        </w:rPr>
        <w:t xml:space="preserve"> la matrícula empieza a estabilizarse alrededor de los </w:t>
      </w:r>
      <w:r w:rsidRPr="00FE226F">
        <w:rPr>
          <w:b/>
          <w:color w:val="000000" w:themeColor="text1"/>
        </w:rPr>
        <w:t>16.000</w:t>
      </w:r>
      <w:r>
        <w:rPr>
          <w:color w:val="000000" w:themeColor="text1"/>
        </w:rPr>
        <w:t xml:space="preserve"> estudiantes, esto básicamente se debe a que la </w:t>
      </w:r>
      <w:r>
        <w:rPr>
          <w:color w:val="000000" w:themeColor="text1"/>
        </w:rPr>
        <w:lastRenderedPageBreak/>
        <w:t xml:space="preserve">Universidad está llegando a su matrícula óptima con las capacidades institucionales actuales, sin embargo, desde la gestión se ha logrado implementar programas académicos en Centros Regionales de Educación Superior (CERES), procesos de articulación, </w:t>
      </w:r>
      <w:r w:rsidR="005A5FC4">
        <w:t>de igual forma, las Tecnologías de Información y Comunicaciones (TIC) juegan un papel fundamental, ampliando las capacidades institucionales y facilitando el acceso a los estudiantes; en la actualidad, la institución ofrece asignaturas por medio virtual, y se proyecta a futuro, diseñar programas académicos bajo esta modalidad</w:t>
      </w:r>
      <w:r>
        <w:rPr>
          <w:color w:val="000000" w:themeColor="text1"/>
        </w:rPr>
        <w:t>; todo lo anterior como estrategias para aumentar la cobertura con una tipología diferenciada.</w:t>
      </w:r>
    </w:p>
    <w:p w:rsidR="00A627CB" w:rsidRDefault="00A627CB" w:rsidP="00A627CB">
      <w:pPr>
        <w:rPr>
          <w:b/>
          <w:color w:val="FF0000"/>
        </w:rPr>
      </w:pPr>
      <w:r>
        <w:rPr>
          <w:noProof/>
          <w:lang w:val="es-CO" w:eastAsia="es-CO"/>
        </w:rPr>
        <w:drawing>
          <wp:inline distT="0" distB="0" distL="0" distR="0">
            <wp:extent cx="5612130" cy="2355850"/>
            <wp:effectExtent l="0" t="0" r="7620" b="6350"/>
            <wp:docPr id="23" name="Gráfico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rsidR="00A627CB" w:rsidRDefault="00A627CB" w:rsidP="00A627CB">
      <w:pPr>
        <w:rPr>
          <w:color w:val="000000" w:themeColor="text1"/>
        </w:rPr>
      </w:pPr>
      <w:r w:rsidRPr="00825888">
        <w:rPr>
          <w:color w:val="000000" w:themeColor="text1"/>
        </w:rPr>
        <w:t xml:space="preserve">Del total de </w:t>
      </w:r>
      <w:r>
        <w:rPr>
          <w:color w:val="000000" w:themeColor="text1"/>
        </w:rPr>
        <w:t xml:space="preserve">la matrícula en el segundo semestre de </w:t>
      </w:r>
      <w:r w:rsidRPr="008C18A4">
        <w:rPr>
          <w:b/>
          <w:color w:val="000000" w:themeColor="text1"/>
        </w:rPr>
        <w:t>2012</w:t>
      </w:r>
      <w:r w:rsidRPr="00825888">
        <w:rPr>
          <w:color w:val="000000" w:themeColor="text1"/>
        </w:rPr>
        <w:t xml:space="preserve">, </w:t>
      </w:r>
      <w:r>
        <w:rPr>
          <w:color w:val="000000" w:themeColor="text1"/>
        </w:rPr>
        <w:t xml:space="preserve">de acuerdo al nivel de formación, el </w:t>
      </w:r>
      <w:r w:rsidRPr="008C18A4">
        <w:rPr>
          <w:b/>
          <w:color w:val="000000" w:themeColor="text1"/>
        </w:rPr>
        <w:t>7%</w:t>
      </w:r>
      <w:r>
        <w:rPr>
          <w:color w:val="000000" w:themeColor="text1"/>
        </w:rPr>
        <w:t xml:space="preserve"> corresponde a estudiantes de postgrado, y el </w:t>
      </w:r>
      <w:r w:rsidRPr="008C18A4">
        <w:rPr>
          <w:b/>
          <w:color w:val="000000" w:themeColor="text1"/>
        </w:rPr>
        <w:t>93%</w:t>
      </w:r>
      <w:r>
        <w:rPr>
          <w:color w:val="000000" w:themeColor="text1"/>
        </w:rPr>
        <w:t xml:space="preserve"> a estudiantes de pregrado.</w:t>
      </w:r>
    </w:p>
    <w:p w:rsidR="00A627CB" w:rsidRPr="00825888" w:rsidRDefault="00A627CB" w:rsidP="00A627CB">
      <w:pPr>
        <w:rPr>
          <w:color w:val="000000" w:themeColor="text1"/>
        </w:rPr>
      </w:pPr>
    </w:p>
    <w:p w:rsidR="00A627CB" w:rsidRPr="00CF46F5" w:rsidRDefault="00A627CB" w:rsidP="00C21E52">
      <w:pPr>
        <w:pStyle w:val="Prrafodelista"/>
        <w:numPr>
          <w:ilvl w:val="0"/>
          <w:numId w:val="44"/>
        </w:numPr>
        <w:rPr>
          <w:b/>
          <w:color w:val="000000" w:themeColor="text1"/>
        </w:rPr>
      </w:pPr>
      <w:r w:rsidRPr="00CF46F5">
        <w:rPr>
          <w:b/>
          <w:color w:val="000000" w:themeColor="text1"/>
        </w:rPr>
        <w:t>Planta docente</w:t>
      </w:r>
    </w:p>
    <w:p w:rsidR="00CF46F5" w:rsidRDefault="00CF46F5" w:rsidP="00A627CB">
      <w:pPr>
        <w:rPr>
          <w:color w:val="000000" w:themeColor="text1"/>
        </w:rPr>
      </w:pPr>
    </w:p>
    <w:p w:rsidR="00A627CB" w:rsidRPr="00880563" w:rsidRDefault="00A627CB" w:rsidP="00A627CB">
      <w:r w:rsidRPr="003F0A23">
        <w:rPr>
          <w:color w:val="000000" w:themeColor="text1"/>
        </w:rPr>
        <w:t xml:space="preserve">Para el segundo semestre de </w:t>
      </w:r>
      <w:r w:rsidRPr="00880563">
        <w:rPr>
          <w:b/>
          <w:color w:val="000000" w:themeColor="text1"/>
        </w:rPr>
        <w:t>2012</w:t>
      </w:r>
      <w:r w:rsidRPr="003F0A23">
        <w:rPr>
          <w:color w:val="000000" w:themeColor="text1"/>
        </w:rPr>
        <w:t xml:space="preserve">, la Universidad contaba con </w:t>
      </w:r>
      <w:r w:rsidRPr="00880563">
        <w:rPr>
          <w:b/>
          <w:color w:val="000000" w:themeColor="text1"/>
        </w:rPr>
        <w:t>508</w:t>
      </w:r>
      <w:r w:rsidRPr="003F0A23">
        <w:rPr>
          <w:color w:val="000000" w:themeColor="text1"/>
        </w:rPr>
        <w:t xml:space="preserve"> docentes de Planta y Transitorios</w:t>
      </w:r>
      <w:r>
        <w:rPr>
          <w:color w:val="000000" w:themeColor="text1"/>
        </w:rPr>
        <w:t xml:space="preserve"> (Tiempo Completo y Medio Tiempo)</w:t>
      </w:r>
      <w:r w:rsidRPr="003F0A23">
        <w:rPr>
          <w:color w:val="000000" w:themeColor="text1"/>
        </w:rPr>
        <w:t xml:space="preserve">, y un total de </w:t>
      </w:r>
      <w:r w:rsidRPr="00880563">
        <w:rPr>
          <w:b/>
          <w:color w:val="000000" w:themeColor="text1"/>
        </w:rPr>
        <w:t>158,55</w:t>
      </w:r>
      <w:r w:rsidRPr="003F0A23">
        <w:rPr>
          <w:color w:val="000000" w:themeColor="text1"/>
        </w:rPr>
        <w:t xml:space="preserve"> Docentes en tiempo completo equivalente en la modalidad de Cátedra y Sobrecarga (</w:t>
      </w:r>
      <w:r>
        <w:rPr>
          <w:color w:val="000000" w:themeColor="text1"/>
        </w:rPr>
        <w:t>Esta equivalencia se calcula tomando el total de horas cátedra, y haciéndolo equivalente a 40 horas por 18 semanas que dura un semestre académico</w:t>
      </w:r>
      <w:r w:rsidRPr="003F0A23">
        <w:rPr>
          <w:color w:val="000000" w:themeColor="text1"/>
        </w:rPr>
        <w:t>)</w:t>
      </w:r>
      <w:r>
        <w:rPr>
          <w:color w:val="000000" w:themeColor="text1"/>
        </w:rPr>
        <w:t xml:space="preserve">, para un total de </w:t>
      </w:r>
      <w:r w:rsidRPr="00880563">
        <w:rPr>
          <w:b/>
          <w:color w:val="000000" w:themeColor="text1"/>
        </w:rPr>
        <w:t>618,1</w:t>
      </w:r>
      <w:r>
        <w:rPr>
          <w:color w:val="000000" w:themeColor="text1"/>
        </w:rPr>
        <w:t xml:space="preserve"> Docentes Tiempo Completo Equivalente. </w:t>
      </w:r>
    </w:p>
    <w:p w:rsidR="00A627CB" w:rsidRDefault="00A627CB" w:rsidP="00A627CB">
      <w:pPr>
        <w:rPr>
          <w:b/>
          <w:color w:val="FF0000"/>
        </w:rPr>
      </w:pPr>
      <w:r>
        <w:rPr>
          <w:noProof/>
          <w:lang w:val="es-CO" w:eastAsia="es-CO"/>
        </w:rPr>
        <w:lastRenderedPageBreak/>
        <w:drawing>
          <wp:inline distT="0" distB="0" distL="0" distR="0">
            <wp:extent cx="5612130" cy="2505710"/>
            <wp:effectExtent l="0" t="0" r="7620" b="8890"/>
            <wp:docPr id="24" name="Gráfico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rsidR="00A627CB" w:rsidRDefault="00A627CB" w:rsidP="00A627CB">
      <w:pPr>
        <w:rPr>
          <w:b/>
          <w:color w:val="FF0000"/>
        </w:rPr>
      </w:pPr>
    </w:p>
    <w:p w:rsidR="00A627CB" w:rsidRPr="00CF46F5" w:rsidRDefault="00A627CB" w:rsidP="00C21E52">
      <w:pPr>
        <w:pStyle w:val="Prrafodelista"/>
        <w:numPr>
          <w:ilvl w:val="0"/>
          <w:numId w:val="44"/>
        </w:numPr>
        <w:rPr>
          <w:b/>
          <w:color w:val="000000" w:themeColor="text1"/>
        </w:rPr>
      </w:pPr>
      <w:r w:rsidRPr="00CF46F5">
        <w:rPr>
          <w:b/>
          <w:color w:val="000000" w:themeColor="text1"/>
        </w:rPr>
        <w:t>Estudiantes por Profesor en Docencia Directa</w:t>
      </w:r>
    </w:p>
    <w:p w:rsidR="00CF46F5" w:rsidRDefault="00CF46F5" w:rsidP="004223FF">
      <w:pPr>
        <w:rPr>
          <w:color w:val="000000" w:themeColor="text1"/>
        </w:rPr>
      </w:pPr>
    </w:p>
    <w:p w:rsidR="00A627CB" w:rsidRDefault="00A627CB" w:rsidP="004223FF">
      <w:pPr>
        <w:rPr>
          <w:color w:val="000000" w:themeColor="text1"/>
        </w:rPr>
      </w:pPr>
      <w:r>
        <w:rPr>
          <w:color w:val="000000" w:themeColor="text1"/>
        </w:rPr>
        <w:t xml:space="preserve">Este indicador </w:t>
      </w:r>
      <w:r w:rsidR="00266E3C">
        <w:rPr>
          <w:color w:val="000000" w:themeColor="text1"/>
        </w:rPr>
        <w:t>habla de la dedicación de los docentes a actividades de docencia, teniendo en cuenta las tres dimensiones de la dedicación docente (Docencia, Investigación y Extensión).</w:t>
      </w:r>
      <w:r w:rsidR="004223FF">
        <w:rPr>
          <w:color w:val="000000" w:themeColor="text1"/>
        </w:rPr>
        <w:t>S</w:t>
      </w:r>
      <w:r>
        <w:rPr>
          <w:color w:val="000000" w:themeColor="text1"/>
        </w:rPr>
        <w:t xml:space="preserve">e toma como un Índice de Productividad Docente, se calcula teniendo en cuenta la cantidad de Estudiantes matriculados en pregrado y los Docentes Tiempo Completo Equivalente (DTCE) dedicados exclusivamente a la docencia (Docencia Directa), para el año </w:t>
      </w:r>
      <w:r w:rsidRPr="00080BAB">
        <w:rPr>
          <w:b/>
          <w:color w:val="000000" w:themeColor="text1"/>
        </w:rPr>
        <w:t>2012</w:t>
      </w:r>
      <w:r>
        <w:rPr>
          <w:color w:val="000000" w:themeColor="text1"/>
        </w:rPr>
        <w:t xml:space="preserve">, la Universidad tenía una relación Estudiante / Docente (DD) de </w:t>
      </w:r>
      <w:r w:rsidRPr="001F04D4">
        <w:rPr>
          <w:b/>
          <w:color w:val="000000" w:themeColor="text1"/>
        </w:rPr>
        <w:t>28</w:t>
      </w:r>
      <w:r>
        <w:rPr>
          <w:color w:val="000000" w:themeColor="text1"/>
        </w:rPr>
        <w:t xml:space="preserve">, un </w:t>
      </w:r>
      <w:r w:rsidRPr="00080BAB">
        <w:rPr>
          <w:b/>
          <w:color w:val="000000" w:themeColor="text1"/>
        </w:rPr>
        <w:t>9%</w:t>
      </w:r>
      <w:r>
        <w:rPr>
          <w:color w:val="000000" w:themeColor="text1"/>
        </w:rPr>
        <w:t xml:space="preserve"> más que en </w:t>
      </w:r>
      <w:r w:rsidRPr="00080BAB">
        <w:rPr>
          <w:b/>
          <w:color w:val="000000" w:themeColor="text1"/>
        </w:rPr>
        <w:t>2008</w:t>
      </w:r>
      <w:r>
        <w:rPr>
          <w:color w:val="000000" w:themeColor="text1"/>
        </w:rPr>
        <w:t>.</w:t>
      </w:r>
    </w:p>
    <w:p w:rsidR="004223FF" w:rsidRPr="001F04D4" w:rsidRDefault="004223FF" w:rsidP="00A627CB">
      <w:pPr>
        <w:rPr>
          <w:color w:val="000000" w:themeColor="text1"/>
        </w:rPr>
      </w:pPr>
    </w:p>
    <w:p w:rsidR="00A627CB" w:rsidRDefault="00A627CB" w:rsidP="00A627CB">
      <w:pPr>
        <w:rPr>
          <w:color w:val="000000" w:themeColor="text1"/>
        </w:rPr>
      </w:pPr>
      <w:r>
        <w:rPr>
          <w:noProof/>
          <w:lang w:val="es-CO" w:eastAsia="es-CO"/>
        </w:rPr>
        <w:drawing>
          <wp:inline distT="0" distB="0" distL="0" distR="0">
            <wp:extent cx="5471769" cy="2743200"/>
            <wp:effectExtent l="0" t="0" r="0" b="0"/>
            <wp:docPr id="25" name="Gráfico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rsidR="00674108" w:rsidRDefault="00674108" w:rsidP="00674108">
      <w:pPr>
        <w:rPr>
          <w:color w:val="000000" w:themeColor="text1"/>
        </w:rPr>
      </w:pPr>
      <w:r>
        <w:t>Es valioso resaltar, que si bien, algunos docentes no se encuentran en actividades de docencia directa, están en procesos de formación.</w:t>
      </w:r>
    </w:p>
    <w:p w:rsidR="00A627CB" w:rsidRPr="00A87736" w:rsidRDefault="00A627CB" w:rsidP="00A627CB">
      <w:pPr>
        <w:rPr>
          <w:color w:val="000000" w:themeColor="text1"/>
        </w:rPr>
      </w:pPr>
    </w:p>
    <w:p w:rsidR="007249A1" w:rsidRDefault="007249A1">
      <w:pPr>
        <w:spacing w:after="200" w:line="276" w:lineRule="auto"/>
        <w:jc w:val="left"/>
        <w:rPr>
          <w:rFonts w:asciiTheme="minorHAnsi" w:eastAsia="Times New Roman" w:hAnsiTheme="minorHAnsi"/>
          <w:color w:val="000000"/>
          <w:lang w:eastAsia="es-CO"/>
        </w:rPr>
      </w:pPr>
      <w:r>
        <w:rPr>
          <w:rFonts w:asciiTheme="minorHAnsi" w:eastAsia="Times New Roman" w:hAnsiTheme="minorHAnsi"/>
          <w:color w:val="000000"/>
          <w:lang w:eastAsia="es-CO"/>
        </w:rPr>
        <w:br w:type="page"/>
      </w:r>
    </w:p>
    <w:p w:rsidR="00B963FC" w:rsidRPr="00535E30" w:rsidRDefault="00F80905" w:rsidP="00C0346D">
      <w:pPr>
        <w:pStyle w:val="Ttulo2"/>
        <w:numPr>
          <w:ilvl w:val="1"/>
          <w:numId w:val="21"/>
        </w:numPr>
        <w:spacing w:line="276" w:lineRule="auto"/>
      </w:pPr>
      <w:bookmarkStart w:id="120" w:name="_Toc304826939"/>
      <w:bookmarkStart w:id="121" w:name="_Toc347392845"/>
      <w:bookmarkStart w:id="122" w:name="_Toc354671342"/>
      <w:r>
        <w:rPr>
          <w:caps w:val="0"/>
        </w:rPr>
        <w:lastRenderedPageBreak/>
        <w:t>BIENESTAR IN</w:t>
      </w:r>
      <w:r w:rsidR="00535E30" w:rsidRPr="00535E30">
        <w:rPr>
          <w:caps w:val="0"/>
        </w:rPr>
        <w:t>STITUCIONAL</w:t>
      </w:r>
      <w:bookmarkEnd w:id="120"/>
      <w:bookmarkEnd w:id="121"/>
      <w:bookmarkEnd w:id="122"/>
    </w:p>
    <w:p w:rsidR="00B963FC" w:rsidRPr="00535E30" w:rsidRDefault="00B963FC" w:rsidP="00F80905">
      <w:pPr>
        <w:spacing w:after="0" w:line="276" w:lineRule="auto"/>
        <w:rPr>
          <w:rFonts w:asciiTheme="minorHAnsi" w:hAnsiTheme="minorHAnsi" w:cs="Arial"/>
          <w:b/>
        </w:rPr>
      </w:pPr>
    </w:p>
    <w:p w:rsidR="00C7418E" w:rsidRDefault="0036551F" w:rsidP="00C7418E">
      <w:pPr>
        <w:spacing w:after="0"/>
        <w:rPr>
          <w:rFonts w:ascii="Arial" w:hAnsi="Arial" w:cs="Arial"/>
        </w:rPr>
      </w:pPr>
      <w:r w:rsidRPr="00EB4160">
        <w:rPr>
          <w:rFonts w:asciiTheme="minorHAnsi" w:hAnsiTheme="minorHAnsi"/>
          <w:szCs w:val="20"/>
        </w:rPr>
        <w:t xml:space="preserve">Desde la creación de la Vicerrectoría de Responsabilidad Social y Bienestar Universitario, se han venido desarrollando estrategias encaminadas hacia el mejoramiento de la calidad de vida de la comunidad universitaria y trabajando </w:t>
      </w:r>
      <w:r>
        <w:rPr>
          <w:rFonts w:asciiTheme="minorHAnsi" w:hAnsiTheme="minorHAnsi"/>
          <w:szCs w:val="20"/>
        </w:rPr>
        <w:t xml:space="preserve">desde cinco ejes estratégicos: </w:t>
      </w:r>
      <w:r>
        <w:rPr>
          <w:rFonts w:ascii="Arial" w:hAnsi="Arial" w:cs="Arial"/>
        </w:rPr>
        <w:t xml:space="preserve">• </w:t>
      </w:r>
      <w:r w:rsidRPr="00637D33">
        <w:rPr>
          <w:rFonts w:asciiTheme="minorHAnsi" w:hAnsiTheme="minorHAnsi"/>
          <w:b/>
          <w:szCs w:val="20"/>
        </w:rPr>
        <w:t>La formación integral</w:t>
      </w:r>
      <w:r>
        <w:rPr>
          <w:rFonts w:asciiTheme="minorHAnsi" w:hAnsiTheme="minorHAnsi"/>
          <w:szCs w:val="20"/>
        </w:rPr>
        <w:t xml:space="preserve"> </w:t>
      </w:r>
      <w:r>
        <w:rPr>
          <w:rFonts w:ascii="Arial" w:hAnsi="Arial" w:cs="Arial"/>
        </w:rPr>
        <w:t>•</w:t>
      </w:r>
      <w:r w:rsidRPr="00EB4160">
        <w:rPr>
          <w:rFonts w:asciiTheme="minorHAnsi" w:hAnsiTheme="minorHAnsi"/>
          <w:szCs w:val="20"/>
        </w:rPr>
        <w:t xml:space="preserve"> </w:t>
      </w:r>
      <w:r>
        <w:rPr>
          <w:rFonts w:asciiTheme="minorHAnsi" w:hAnsiTheme="minorHAnsi"/>
          <w:b/>
          <w:szCs w:val="20"/>
        </w:rPr>
        <w:t>L</w:t>
      </w:r>
      <w:r w:rsidRPr="00637D33">
        <w:rPr>
          <w:rFonts w:asciiTheme="minorHAnsi" w:hAnsiTheme="minorHAnsi"/>
          <w:b/>
          <w:szCs w:val="20"/>
        </w:rPr>
        <w:t>a atención integral</w:t>
      </w:r>
      <w:r>
        <w:rPr>
          <w:rFonts w:asciiTheme="minorHAnsi" w:hAnsiTheme="minorHAnsi"/>
          <w:szCs w:val="20"/>
        </w:rPr>
        <w:t xml:space="preserve"> </w:t>
      </w:r>
      <w:r w:rsidRPr="00637D33">
        <w:rPr>
          <w:rFonts w:asciiTheme="minorHAnsi" w:hAnsiTheme="minorHAnsi"/>
          <w:b/>
          <w:szCs w:val="20"/>
        </w:rPr>
        <w:t>y el fomento hacia una cultura democrática participativa e incluyente</w:t>
      </w:r>
      <w:r>
        <w:rPr>
          <w:rFonts w:asciiTheme="minorHAnsi" w:hAnsiTheme="minorHAnsi"/>
          <w:szCs w:val="20"/>
        </w:rPr>
        <w:t xml:space="preserve"> </w:t>
      </w:r>
      <w:r>
        <w:rPr>
          <w:rFonts w:ascii="Arial" w:hAnsi="Arial" w:cs="Arial"/>
        </w:rPr>
        <w:t>•</w:t>
      </w:r>
      <w:r w:rsidRPr="00EB4160">
        <w:rPr>
          <w:rFonts w:asciiTheme="minorHAnsi" w:hAnsiTheme="minorHAnsi"/>
          <w:szCs w:val="20"/>
        </w:rPr>
        <w:t xml:space="preserve"> </w:t>
      </w:r>
      <w:r>
        <w:rPr>
          <w:rFonts w:asciiTheme="minorHAnsi" w:hAnsiTheme="minorHAnsi"/>
          <w:b/>
          <w:szCs w:val="20"/>
        </w:rPr>
        <w:t>L</w:t>
      </w:r>
      <w:r w:rsidRPr="00637D33">
        <w:rPr>
          <w:rFonts w:asciiTheme="minorHAnsi" w:hAnsiTheme="minorHAnsi"/>
          <w:b/>
          <w:szCs w:val="20"/>
        </w:rPr>
        <w:t>a salud integral</w:t>
      </w:r>
      <w:r>
        <w:rPr>
          <w:rFonts w:asciiTheme="minorHAnsi" w:hAnsiTheme="minorHAnsi"/>
          <w:szCs w:val="20"/>
        </w:rPr>
        <w:t xml:space="preserve"> </w:t>
      </w:r>
      <w:r>
        <w:rPr>
          <w:rFonts w:ascii="Arial" w:hAnsi="Arial" w:cs="Arial"/>
        </w:rPr>
        <w:t>•</w:t>
      </w:r>
      <w:r w:rsidRPr="00EB4160">
        <w:rPr>
          <w:rFonts w:asciiTheme="minorHAnsi" w:hAnsiTheme="minorHAnsi"/>
          <w:szCs w:val="20"/>
        </w:rPr>
        <w:t xml:space="preserve"> </w:t>
      </w:r>
      <w:r>
        <w:rPr>
          <w:rFonts w:asciiTheme="minorHAnsi" w:hAnsiTheme="minorHAnsi"/>
          <w:b/>
          <w:szCs w:val="20"/>
        </w:rPr>
        <w:t>L</w:t>
      </w:r>
      <w:r w:rsidRPr="00637D33">
        <w:rPr>
          <w:rFonts w:asciiTheme="minorHAnsi" w:hAnsiTheme="minorHAnsi"/>
          <w:b/>
          <w:szCs w:val="20"/>
        </w:rPr>
        <w:t>a generación de información para la toma de decisiones mediante el o</w:t>
      </w:r>
      <w:r>
        <w:rPr>
          <w:rFonts w:asciiTheme="minorHAnsi" w:hAnsiTheme="minorHAnsi"/>
          <w:b/>
          <w:szCs w:val="20"/>
        </w:rPr>
        <w:t xml:space="preserve">bservatorio social </w:t>
      </w:r>
      <w:r>
        <w:rPr>
          <w:rFonts w:ascii="Arial" w:hAnsi="Arial" w:cs="Arial"/>
        </w:rPr>
        <w:t>•</w:t>
      </w:r>
      <w:r>
        <w:rPr>
          <w:rFonts w:asciiTheme="minorHAnsi" w:hAnsiTheme="minorHAnsi"/>
          <w:b/>
          <w:szCs w:val="20"/>
        </w:rPr>
        <w:t xml:space="preserve"> L</w:t>
      </w:r>
      <w:r w:rsidRPr="00637D33">
        <w:rPr>
          <w:rFonts w:asciiTheme="minorHAnsi" w:hAnsiTheme="minorHAnsi"/>
          <w:b/>
          <w:szCs w:val="20"/>
        </w:rPr>
        <w:t>a gestión estratégica desde el bienestar institucional</w:t>
      </w:r>
      <w:r>
        <w:rPr>
          <w:rFonts w:asciiTheme="minorHAnsi" w:hAnsiTheme="minorHAnsi"/>
          <w:szCs w:val="20"/>
        </w:rPr>
        <w:t xml:space="preserve"> </w:t>
      </w:r>
      <w:r>
        <w:rPr>
          <w:rFonts w:ascii="Arial" w:hAnsi="Arial" w:cs="Arial"/>
        </w:rPr>
        <w:t>•</w:t>
      </w:r>
    </w:p>
    <w:p w:rsidR="0036551F" w:rsidRPr="00D36929" w:rsidRDefault="0036551F" w:rsidP="00C7418E">
      <w:pPr>
        <w:spacing w:after="0"/>
        <w:rPr>
          <w:sz w:val="24"/>
        </w:rPr>
      </w:pPr>
    </w:p>
    <w:p w:rsidR="00C7418E" w:rsidRDefault="00C7418E" w:rsidP="00C7418E">
      <w:pPr>
        <w:spacing w:after="0"/>
        <w:rPr>
          <w:szCs w:val="20"/>
        </w:rPr>
      </w:pPr>
      <w:r>
        <w:rPr>
          <w:szCs w:val="20"/>
        </w:rPr>
        <w:t>El objetivo de Bienestar Institucional se mide a través del indicador de Factores Asociados a la Calidad de Vida, los factores de este indicador están relacionados con la Formación Integral, Estudiantes que reciben beneficios, Población universitaria vinculada a proyectos sociales, Salud integral, Observatorio Social y Gestión de recursos.</w:t>
      </w:r>
    </w:p>
    <w:p w:rsidR="00C7418E" w:rsidRPr="0069072F" w:rsidRDefault="00C7418E" w:rsidP="00C7418E">
      <w:pPr>
        <w:spacing w:after="0"/>
        <w:rPr>
          <w:szCs w:val="20"/>
        </w:rPr>
      </w:pPr>
    </w:p>
    <w:p w:rsidR="00C7418E" w:rsidRDefault="00C7418E" w:rsidP="00C7418E">
      <w:pPr>
        <w:spacing w:after="0"/>
        <w:rPr>
          <w:szCs w:val="20"/>
        </w:rPr>
      </w:pPr>
      <w:r w:rsidRPr="0069072F">
        <w:rPr>
          <w:szCs w:val="20"/>
        </w:rPr>
        <w:t xml:space="preserve">En el </w:t>
      </w:r>
      <w:r w:rsidRPr="00765233">
        <w:rPr>
          <w:b/>
          <w:szCs w:val="20"/>
        </w:rPr>
        <w:t>2012</w:t>
      </w:r>
      <w:r w:rsidRPr="0069072F">
        <w:rPr>
          <w:szCs w:val="20"/>
        </w:rPr>
        <w:t xml:space="preserve"> se logró </w:t>
      </w:r>
      <w:r>
        <w:rPr>
          <w:szCs w:val="20"/>
        </w:rPr>
        <w:t>el</w:t>
      </w:r>
      <w:r w:rsidRPr="0069072F">
        <w:rPr>
          <w:szCs w:val="20"/>
        </w:rPr>
        <w:t xml:space="preserve"> resultado del </w:t>
      </w:r>
      <w:r w:rsidRPr="0069072F">
        <w:rPr>
          <w:b/>
          <w:szCs w:val="20"/>
        </w:rPr>
        <w:t>1</w:t>
      </w:r>
      <w:r>
        <w:rPr>
          <w:b/>
          <w:szCs w:val="20"/>
        </w:rPr>
        <w:t>00</w:t>
      </w:r>
      <w:r w:rsidRPr="0069072F">
        <w:rPr>
          <w:b/>
          <w:szCs w:val="20"/>
        </w:rPr>
        <w:t>%</w:t>
      </w:r>
      <w:r w:rsidRPr="0069072F">
        <w:rPr>
          <w:szCs w:val="20"/>
        </w:rPr>
        <w:t xml:space="preserve"> de cumplimiento de la meta propuesta. El registro cuidadoso de las acciones que realiza la Vicerrectoría, la difusión permanente de las estrategias propuestas, el seguimiento continuo a la gestión de las áreas, el monitoreo de los proyectos sociales y programas institucionales, y la innovación de acciones para la gestión de recursos, fueron elementos trascendentales para lograr las metas propuestas.</w:t>
      </w:r>
    </w:p>
    <w:p w:rsidR="00C7418E" w:rsidRDefault="00C7418E" w:rsidP="00C7418E">
      <w:pPr>
        <w:spacing w:after="0"/>
        <w:rPr>
          <w:szCs w:val="20"/>
        </w:rPr>
      </w:pPr>
    </w:p>
    <w:p w:rsidR="00C7418E" w:rsidRPr="001663F3" w:rsidRDefault="00C7418E" w:rsidP="00C7418E">
      <w:pPr>
        <w:spacing w:after="0"/>
        <w:rPr>
          <w:sz w:val="24"/>
          <w:highlight w:val="yellow"/>
        </w:rPr>
      </w:pPr>
    </w:p>
    <w:p w:rsidR="00C7418E" w:rsidRPr="0069072F" w:rsidRDefault="00C7418E" w:rsidP="00C7418E">
      <w:pPr>
        <w:pStyle w:val="Epgrafe"/>
        <w:keepNext/>
        <w:spacing w:line="276" w:lineRule="auto"/>
        <w:rPr>
          <w:color w:val="000000" w:themeColor="text1"/>
        </w:rPr>
      </w:pPr>
      <w:r w:rsidRPr="0069072F">
        <w:rPr>
          <w:color w:val="000000" w:themeColor="text1"/>
        </w:rPr>
        <w:t xml:space="preserve">Ilustración </w:t>
      </w:r>
      <w:r w:rsidR="00480CE9" w:rsidRPr="0069072F">
        <w:rPr>
          <w:color w:val="000000" w:themeColor="text1"/>
        </w:rPr>
        <w:fldChar w:fldCharType="begin"/>
      </w:r>
      <w:r w:rsidRPr="0069072F">
        <w:rPr>
          <w:color w:val="000000" w:themeColor="text1"/>
        </w:rPr>
        <w:instrText xml:space="preserve"> SEQ Ilustración \* ARABIC </w:instrText>
      </w:r>
      <w:r w:rsidR="00480CE9" w:rsidRPr="0069072F">
        <w:rPr>
          <w:color w:val="000000" w:themeColor="text1"/>
        </w:rPr>
        <w:fldChar w:fldCharType="separate"/>
      </w:r>
      <w:r w:rsidR="00020665">
        <w:rPr>
          <w:noProof/>
          <w:color w:val="000000" w:themeColor="text1"/>
        </w:rPr>
        <w:t>1</w:t>
      </w:r>
      <w:r w:rsidR="00480CE9" w:rsidRPr="0069072F">
        <w:rPr>
          <w:color w:val="000000" w:themeColor="text1"/>
        </w:rPr>
        <w:fldChar w:fldCharType="end"/>
      </w:r>
      <w:r w:rsidRPr="0069072F">
        <w:rPr>
          <w:color w:val="000000" w:themeColor="text1"/>
        </w:rPr>
        <w:t>. Resultados - Metas Factores Asociados a la Calidad de Vida para el año 2012.</w:t>
      </w:r>
    </w:p>
    <w:p w:rsidR="00C7418E" w:rsidRPr="00DC6FE3" w:rsidRDefault="00C7418E" w:rsidP="00C7418E">
      <w:pPr>
        <w:spacing w:after="0"/>
        <w:jc w:val="center"/>
        <w:rPr>
          <w:highlight w:val="yellow"/>
        </w:rPr>
      </w:pPr>
      <w:r w:rsidRPr="00DC6FE3">
        <w:rPr>
          <w:noProof/>
          <w:highlight w:val="yellow"/>
          <w:lang w:val="es-CO" w:eastAsia="es-CO"/>
        </w:rPr>
        <w:drawing>
          <wp:inline distT="0" distB="0" distL="0" distR="0">
            <wp:extent cx="4772025" cy="1743075"/>
            <wp:effectExtent l="0" t="0" r="0" b="0"/>
            <wp:docPr id="18" name="1 Gráfico"/>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rsidR="00C7418E" w:rsidRPr="00765233" w:rsidRDefault="00C7418E" w:rsidP="00C7418E">
      <w:pPr>
        <w:jc w:val="center"/>
        <w:rPr>
          <w:b/>
          <w:i/>
          <w:sz w:val="20"/>
        </w:rPr>
      </w:pPr>
      <w:r w:rsidRPr="00765233">
        <w:rPr>
          <w:b/>
          <w:i/>
          <w:sz w:val="20"/>
        </w:rPr>
        <w:t>Fuente: SIGOB</w:t>
      </w:r>
    </w:p>
    <w:p w:rsidR="00C7418E" w:rsidRPr="00DC6FE3" w:rsidRDefault="00C7418E" w:rsidP="00C7418E">
      <w:pPr>
        <w:rPr>
          <w:highlight w:val="yellow"/>
        </w:rPr>
      </w:pPr>
    </w:p>
    <w:p w:rsidR="00C7418E" w:rsidRPr="00765233" w:rsidRDefault="00C7418E" w:rsidP="00765233">
      <w:pPr>
        <w:pStyle w:val="Epgrafe"/>
        <w:keepNext/>
        <w:rPr>
          <w:color w:val="000000" w:themeColor="text1"/>
        </w:rPr>
      </w:pPr>
      <w:r w:rsidRPr="00765233">
        <w:rPr>
          <w:color w:val="000000" w:themeColor="text1"/>
        </w:rPr>
        <w:t xml:space="preserve">Tabla </w:t>
      </w:r>
      <w:r w:rsidR="00480CE9" w:rsidRPr="00765233">
        <w:rPr>
          <w:color w:val="000000" w:themeColor="text1"/>
        </w:rPr>
        <w:fldChar w:fldCharType="begin"/>
      </w:r>
      <w:r w:rsidRPr="00765233">
        <w:rPr>
          <w:color w:val="000000" w:themeColor="text1"/>
        </w:rPr>
        <w:instrText xml:space="preserve"> SEQ Tabla \* ARABIC </w:instrText>
      </w:r>
      <w:r w:rsidR="00480CE9" w:rsidRPr="00765233">
        <w:rPr>
          <w:color w:val="000000" w:themeColor="text1"/>
        </w:rPr>
        <w:fldChar w:fldCharType="separate"/>
      </w:r>
      <w:r w:rsidR="00020665">
        <w:rPr>
          <w:noProof/>
          <w:color w:val="000000" w:themeColor="text1"/>
        </w:rPr>
        <w:t>3</w:t>
      </w:r>
      <w:r w:rsidR="00480CE9" w:rsidRPr="00765233">
        <w:rPr>
          <w:color w:val="000000" w:themeColor="text1"/>
        </w:rPr>
        <w:fldChar w:fldCharType="end"/>
      </w:r>
      <w:r w:rsidRPr="00765233">
        <w:rPr>
          <w:color w:val="000000" w:themeColor="text1"/>
        </w:rPr>
        <w:t>. Componentes del Bienestar Institucional en el año 2012</w:t>
      </w:r>
    </w:p>
    <w:tbl>
      <w:tblPr>
        <w:tblStyle w:val="Cuadrculaclara-nfasis1"/>
        <w:tblW w:w="7973" w:type="dxa"/>
        <w:jc w:val="center"/>
        <w:tblLook w:val="04A0" w:firstRow="1" w:lastRow="0" w:firstColumn="1" w:lastColumn="0" w:noHBand="0" w:noVBand="1"/>
      </w:tblPr>
      <w:tblGrid>
        <w:gridCol w:w="1162"/>
        <w:gridCol w:w="1654"/>
        <w:gridCol w:w="2434"/>
        <w:gridCol w:w="679"/>
        <w:gridCol w:w="989"/>
        <w:gridCol w:w="1055"/>
      </w:tblGrid>
      <w:tr w:rsidR="00C7418E" w:rsidRPr="00765233" w:rsidTr="00721C6D">
        <w:trPr>
          <w:cnfStyle w:val="100000000000" w:firstRow="1" w:lastRow="0" w:firstColumn="0" w:lastColumn="0" w:oddVBand="0" w:evenVBand="0" w:oddHBand="0" w:evenHBand="0" w:firstRowFirstColumn="0" w:firstRowLastColumn="0" w:lastRowFirstColumn="0" w:lastRowLastColumn="0"/>
          <w:tblHeader/>
          <w:jc w:val="center"/>
        </w:trPr>
        <w:tc>
          <w:tcPr>
            <w:cnfStyle w:val="001000000000" w:firstRow="0" w:lastRow="0" w:firstColumn="1" w:lastColumn="0" w:oddVBand="0" w:evenVBand="0" w:oddHBand="0" w:evenHBand="0" w:firstRowFirstColumn="0" w:firstRowLastColumn="0" w:lastRowFirstColumn="0" w:lastRowLastColumn="0"/>
            <w:tcW w:w="1162" w:type="dxa"/>
            <w:vAlign w:val="center"/>
          </w:tcPr>
          <w:p w:rsidR="00C7418E" w:rsidRPr="00765233" w:rsidRDefault="00C7418E" w:rsidP="00765233">
            <w:pPr>
              <w:pStyle w:val="Sinespaciado"/>
              <w:jc w:val="center"/>
              <w:rPr>
                <w:sz w:val="18"/>
                <w:szCs w:val="18"/>
              </w:rPr>
            </w:pPr>
            <w:r w:rsidRPr="00765233">
              <w:rPr>
                <w:sz w:val="18"/>
                <w:szCs w:val="18"/>
              </w:rPr>
              <w:t>Convención</w:t>
            </w:r>
          </w:p>
        </w:tc>
        <w:tc>
          <w:tcPr>
            <w:tcW w:w="1654" w:type="dxa"/>
            <w:vAlign w:val="center"/>
          </w:tcPr>
          <w:p w:rsidR="00C7418E" w:rsidRPr="00765233" w:rsidRDefault="00C7418E" w:rsidP="00765233">
            <w:pPr>
              <w:pStyle w:val="Sinespaciado"/>
              <w:jc w:val="center"/>
              <w:cnfStyle w:val="100000000000" w:firstRow="1" w:lastRow="0" w:firstColumn="0" w:lastColumn="0" w:oddVBand="0" w:evenVBand="0" w:oddHBand="0" w:evenHBand="0" w:firstRowFirstColumn="0" w:firstRowLastColumn="0" w:lastRowFirstColumn="0" w:lastRowLastColumn="0"/>
              <w:rPr>
                <w:sz w:val="18"/>
                <w:szCs w:val="18"/>
              </w:rPr>
            </w:pPr>
            <w:r w:rsidRPr="00765233">
              <w:rPr>
                <w:sz w:val="18"/>
                <w:szCs w:val="18"/>
              </w:rPr>
              <w:t>Nombre del Componente</w:t>
            </w:r>
          </w:p>
        </w:tc>
        <w:tc>
          <w:tcPr>
            <w:tcW w:w="2434" w:type="dxa"/>
            <w:vAlign w:val="center"/>
          </w:tcPr>
          <w:p w:rsidR="00C7418E" w:rsidRPr="00765233" w:rsidRDefault="00C7418E" w:rsidP="00765233">
            <w:pPr>
              <w:pStyle w:val="Sinespaciado"/>
              <w:jc w:val="center"/>
              <w:cnfStyle w:val="100000000000" w:firstRow="1" w:lastRow="0" w:firstColumn="0" w:lastColumn="0" w:oddVBand="0" w:evenVBand="0" w:oddHBand="0" w:evenHBand="0" w:firstRowFirstColumn="0" w:firstRowLastColumn="0" w:lastRowFirstColumn="0" w:lastRowLastColumn="0"/>
              <w:rPr>
                <w:sz w:val="18"/>
                <w:szCs w:val="18"/>
              </w:rPr>
            </w:pPr>
            <w:r w:rsidRPr="00765233">
              <w:rPr>
                <w:sz w:val="18"/>
                <w:szCs w:val="18"/>
              </w:rPr>
              <w:t>Descripción</w:t>
            </w:r>
          </w:p>
        </w:tc>
        <w:tc>
          <w:tcPr>
            <w:tcW w:w="679" w:type="dxa"/>
            <w:vAlign w:val="center"/>
          </w:tcPr>
          <w:p w:rsidR="00C7418E" w:rsidRPr="00765233" w:rsidRDefault="00C7418E" w:rsidP="00765233">
            <w:pPr>
              <w:pStyle w:val="Sinespaciado"/>
              <w:jc w:val="center"/>
              <w:cnfStyle w:val="100000000000" w:firstRow="1" w:lastRow="0" w:firstColumn="0" w:lastColumn="0" w:oddVBand="0" w:evenVBand="0" w:oddHBand="0" w:evenHBand="0" w:firstRowFirstColumn="0" w:firstRowLastColumn="0" w:lastRowFirstColumn="0" w:lastRowLastColumn="0"/>
              <w:rPr>
                <w:sz w:val="18"/>
                <w:szCs w:val="18"/>
              </w:rPr>
            </w:pPr>
            <w:r w:rsidRPr="00765233">
              <w:rPr>
                <w:sz w:val="18"/>
                <w:szCs w:val="18"/>
              </w:rPr>
              <w:t>Meta</w:t>
            </w:r>
          </w:p>
        </w:tc>
        <w:tc>
          <w:tcPr>
            <w:tcW w:w="989" w:type="dxa"/>
            <w:vAlign w:val="center"/>
          </w:tcPr>
          <w:p w:rsidR="00C7418E" w:rsidRPr="00765233" w:rsidRDefault="00C7418E" w:rsidP="00765233">
            <w:pPr>
              <w:pStyle w:val="Sinespaciado"/>
              <w:jc w:val="center"/>
              <w:cnfStyle w:val="100000000000" w:firstRow="1" w:lastRow="0" w:firstColumn="0" w:lastColumn="0" w:oddVBand="0" w:evenVBand="0" w:oddHBand="0" w:evenHBand="0" w:firstRowFirstColumn="0" w:firstRowLastColumn="0" w:lastRowFirstColumn="0" w:lastRowLastColumn="0"/>
              <w:rPr>
                <w:sz w:val="18"/>
                <w:szCs w:val="18"/>
              </w:rPr>
            </w:pPr>
            <w:r w:rsidRPr="00765233">
              <w:rPr>
                <w:sz w:val="18"/>
                <w:szCs w:val="18"/>
              </w:rPr>
              <w:t>Resultado</w:t>
            </w:r>
          </w:p>
        </w:tc>
        <w:tc>
          <w:tcPr>
            <w:tcW w:w="1055" w:type="dxa"/>
            <w:vAlign w:val="center"/>
          </w:tcPr>
          <w:p w:rsidR="00C7418E" w:rsidRPr="00765233" w:rsidRDefault="00C7418E" w:rsidP="00765233">
            <w:pPr>
              <w:pStyle w:val="Sinespaciado"/>
              <w:jc w:val="center"/>
              <w:cnfStyle w:val="100000000000" w:firstRow="1" w:lastRow="0" w:firstColumn="0" w:lastColumn="0" w:oddVBand="0" w:evenVBand="0" w:oddHBand="0" w:evenHBand="0" w:firstRowFirstColumn="0" w:firstRowLastColumn="0" w:lastRowFirstColumn="0" w:lastRowLastColumn="0"/>
              <w:rPr>
                <w:sz w:val="18"/>
                <w:szCs w:val="18"/>
              </w:rPr>
            </w:pPr>
            <w:r w:rsidRPr="00765233">
              <w:rPr>
                <w:sz w:val="18"/>
                <w:szCs w:val="18"/>
              </w:rPr>
              <w:t>% Logro</w:t>
            </w:r>
          </w:p>
        </w:tc>
      </w:tr>
      <w:tr w:rsidR="00C7418E" w:rsidRPr="00765233" w:rsidTr="00C7418E">
        <w:trPr>
          <w:cnfStyle w:val="000000100000" w:firstRow="0" w:lastRow="0" w:firstColumn="0" w:lastColumn="0" w:oddVBand="0" w:evenVBand="0" w:oddHBand="1" w:evenHBand="0" w:firstRowFirstColumn="0" w:firstRowLastColumn="0" w:lastRowFirstColumn="0" w:lastRowLastColumn="0"/>
          <w:trHeight w:val="24"/>
          <w:jc w:val="center"/>
        </w:trPr>
        <w:tc>
          <w:tcPr>
            <w:cnfStyle w:val="001000000000" w:firstRow="0" w:lastRow="0" w:firstColumn="1" w:lastColumn="0" w:oddVBand="0" w:evenVBand="0" w:oddHBand="0" w:evenHBand="0" w:firstRowFirstColumn="0" w:firstRowLastColumn="0" w:lastRowFirstColumn="0" w:lastRowLastColumn="0"/>
            <w:tcW w:w="1162" w:type="dxa"/>
            <w:vAlign w:val="center"/>
          </w:tcPr>
          <w:p w:rsidR="00C7418E" w:rsidRPr="00765233" w:rsidRDefault="00C7418E" w:rsidP="00765233">
            <w:pPr>
              <w:pStyle w:val="Sinespaciado"/>
              <w:rPr>
                <w:color w:val="000000" w:themeColor="text1"/>
                <w:sz w:val="18"/>
                <w:szCs w:val="18"/>
              </w:rPr>
            </w:pPr>
            <w:r w:rsidRPr="00765233">
              <w:rPr>
                <w:color w:val="000000" w:themeColor="text1"/>
                <w:sz w:val="18"/>
                <w:szCs w:val="18"/>
              </w:rPr>
              <w:t>FI</w:t>
            </w:r>
          </w:p>
        </w:tc>
        <w:tc>
          <w:tcPr>
            <w:tcW w:w="1654" w:type="dxa"/>
            <w:vAlign w:val="center"/>
          </w:tcPr>
          <w:p w:rsidR="00C7418E" w:rsidRPr="00765233" w:rsidRDefault="00C7418E" w:rsidP="00765233">
            <w:pPr>
              <w:pStyle w:val="Sinespaciado"/>
              <w:cnfStyle w:val="000000100000" w:firstRow="0" w:lastRow="0" w:firstColumn="0" w:lastColumn="0" w:oddVBand="0" w:evenVBand="0" w:oddHBand="1" w:evenHBand="0" w:firstRowFirstColumn="0" w:firstRowLastColumn="0" w:lastRowFirstColumn="0" w:lastRowLastColumn="0"/>
              <w:rPr>
                <w:sz w:val="18"/>
                <w:szCs w:val="18"/>
              </w:rPr>
            </w:pPr>
            <w:r w:rsidRPr="00765233">
              <w:rPr>
                <w:sz w:val="18"/>
                <w:szCs w:val="18"/>
              </w:rPr>
              <w:t>Formación Integral</w:t>
            </w:r>
          </w:p>
        </w:tc>
        <w:tc>
          <w:tcPr>
            <w:tcW w:w="2434" w:type="dxa"/>
            <w:vAlign w:val="center"/>
          </w:tcPr>
          <w:p w:rsidR="00C7418E" w:rsidRPr="00765233" w:rsidRDefault="00C7418E" w:rsidP="00765233">
            <w:pPr>
              <w:pStyle w:val="Sinespaciado"/>
              <w:cnfStyle w:val="000000100000" w:firstRow="0" w:lastRow="0" w:firstColumn="0" w:lastColumn="0" w:oddVBand="0" w:evenVBand="0" w:oddHBand="1" w:evenHBand="0" w:firstRowFirstColumn="0" w:firstRowLastColumn="0" w:lastRowFirstColumn="0" w:lastRowLastColumn="0"/>
              <w:rPr>
                <w:rFonts w:eastAsia="Times New Roman" w:cs="Arial"/>
                <w:sz w:val="18"/>
                <w:szCs w:val="18"/>
                <w:lang w:val="es-CO"/>
              </w:rPr>
            </w:pPr>
            <w:r w:rsidRPr="00765233">
              <w:rPr>
                <w:rFonts w:eastAsia="Times New Roman" w:cs="Arial"/>
                <w:sz w:val="18"/>
                <w:szCs w:val="18"/>
                <w:lang w:val="es-CO"/>
              </w:rPr>
              <w:t>Porcentaje de participantes</w:t>
            </w:r>
          </w:p>
          <w:p w:rsidR="00C7418E" w:rsidRPr="00765233" w:rsidRDefault="00C7418E" w:rsidP="00765233">
            <w:pPr>
              <w:pStyle w:val="Sinespaciado"/>
              <w:cnfStyle w:val="000000100000" w:firstRow="0" w:lastRow="0" w:firstColumn="0" w:lastColumn="0" w:oddVBand="0" w:evenVBand="0" w:oddHBand="1" w:evenHBand="0" w:firstRowFirstColumn="0" w:firstRowLastColumn="0" w:lastRowFirstColumn="0" w:lastRowLastColumn="0"/>
              <w:rPr>
                <w:rFonts w:eastAsia="Times New Roman" w:cs="Arial"/>
                <w:sz w:val="18"/>
                <w:szCs w:val="18"/>
                <w:lang w:val="es-CO"/>
              </w:rPr>
            </w:pPr>
            <w:r w:rsidRPr="00765233">
              <w:rPr>
                <w:rFonts w:eastAsia="Times New Roman" w:cs="Arial"/>
                <w:sz w:val="18"/>
                <w:szCs w:val="18"/>
                <w:lang w:val="es-CO"/>
              </w:rPr>
              <w:t>por estamento en eventos o</w:t>
            </w:r>
          </w:p>
          <w:p w:rsidR="00C7418E" w:rsidRPr="00765233" w:rsidRDefault="00C7418E" w:rsidP="00765233">
            <w:pPr>
              <w:pStyle w:val="Sinespaciado"/>
              <w:cnfStyle w:val="000000100000" w:firstRow="0" w:lastRow="0" w:firstColumn="0" w:lastColumn="0" w:oddVBand="0" w:evenVBand="0" w:oddHBand="1" w:evenHBand="0" w:firstRowFirstColumn="0" w:firstRowLastColumn="0" w:lastRowFirstColumn="0" w:lastRowLastColumn="0"/>
              <w:rPr>
                <w:rFonts w:eastAsia="Times New Roman" w:cs="Arial"/>
                <w:sz w:val="18"/>
                <w:szCs w:val="18"/>
                <w:lang w:val="es-CO"/>
              </w:rPr>
            </w:pPr>
            <w:r w:rsidRPr="00765233">
              <w:rPr>
                <w:rFonts w:eastAsia="Times New Roman" w:cs="Arial"/>
                <w:sz w:val="18"/>
                <w:szCs w:val="18"/>
                <w:lang w:val="es-CO"/>
              </w:rPr>
              <w:t>acciones de gestión social</w:t>
            </w:r>
          </w:p>
          <w:p w:rsidR="00C7418E" w:rsidRPr="00765233" w:rsidRDefault="00C7418E" w:rsidP="00765233">
            <w:pPr>
              <w:pStyle w:val="Sinespaciado"/>
              <w:cnfStyle w:val="000000100000" w:firstRow="0" w:lastRow="0" w:firstColumn="0" w:lastColumn="0" w:oddVBand="0" w:evenVBand="0" w:oddHBand="1" w:evenHBand="0" w:firstRowFirstColumn="0" w:firstRowLastColumn="0" w:lastRowFirstColumn="0" w:lastRowLastColumn="0"/>
              <w:rPr>
                <w:rFonts w:eastAsia="Times New Roman" w:cs="Arial"/>
                <w:sz w:val="18"/>
                <w:szCs w:val="18"/>
                <w:lang w:val="es-CO"/>
              </w:rPr>
            </w:pPr>
            <w:r w:rsidRPr="00765233">
              <w:rPr>
                <w:rFonts w:eastAsia="Times New Roman" w:cs="Arial"/>
                <w:sz w:val="18"/>
                <w:szCs w:val="18"/>
                <w:lang w:val="es-CO"/>
              </w:rPr>
              <w:t>para la formación integral y</w:t>
            </w:r>
          </w:p>
          <w:p w:rsidR="00C7418E" w:rsidRPr="00765233" w:rsidRDefault="00C7418E" w:rsidP="00765233">
            <w:pPr>
              <w:pStyle w:val="Sinespaciado"/>
              <w:cnfStyle w:val="000000100000" w:firstRow="0" w:lastRow="0" w:firstColumn="0" w:lastColumn="0" w:oddVBand="0" w:evenVBand="0" w:oddHBand="1" w:evenHBand="0" w:firstRowFirstColumn="0" w:firstRowLastColumn="0" w:lastRowFirstColumn="0" w:lastRowLastColumn="0"/>
              <w:rPr>
                <w:sz w:val="18"/>
                <w:szCs w:val="18"/>
              </w:rPr>
            </w:pPr>
            <w:r w:rsidRPr="00765233">
              <w:rPr>
                <w:rFonts w:eastAsia="Times New Roman" w:cs="Arial"/>
                <w:sz w:val="18"/>
                <w:szCs w:val="18"/>
              </w:rPr>
              <w:t>de apoyo formativo</w:t>
            </w:r>
          </w:p>
        </w:tc>
        <w:tc>
          <w:tcPr>
            <w:tcW w:w="679" w:type="dxa"/>
            <w:vAlign w:val="center"/>
          </w:tcPr>
          <w:p w:rsidR="00C7418E" w:rsidRPr="00765233" w:rsidRDefault="00C7418E" w:rsidP="00765233">
            <w:pPr>
              <w:pStyle w:val="Sinespaciado"/>
              <w:jc w:val="center"/>
              <w:cnfStyle w:val="000000100000" w:firstRow="0" w:lastRow="0" w:firstColumn="0" w:lastColumn="0" w:oddVBand="0" w:evenVBand="0" w:oddHBand="1" w:evenHBand="0" w:firstRowFirstColumn="0" w:firstRowLastColumn="0" w:lastRowFirstColumn="0" w:lastRowLastColumn="0"/>
              <w:rPr>
                <w:sz w:val="18"/>
                <w:szCs w:val="18"/>
              </w:rPr>
            </w:pPr>
            <w:r w:rsidRPr="00765233">
              <w:rPr>
                <w:sz w:val="18"/>
                <w:szCs w:val="18"/>
              </w:rPr>
              <w:t>65%</w:t>
            </w:r>
          </w:p>
        </w:tc>
        <w:tc>
          <w:tcPr>
            <w:tcW w:w="989" w:type="dxa"/>
            <w:vAlign w:val="center"/>
          </w:tcPr>
          <w:p w:rsidR="00C7418E" w:rsidRPr="00765233" w:rsidRDefault="00C7418E" w:rsidP="00765233">
            <w:pPr>
              <w:pStyle w:val="Sinespaciado"/>
              <w:jc w:val="center"/>
              <w:cnfStyle w:val="000000100000" w:firstRow="0" w:lastRow="0" w:firstColumn="0" w:lastColumn="0" w:oddVBand="0" w:evenVBand="0" w:oddHBand="1" w:evenHBand="0" w:firstRowFirstColumn="0" w:firstRowLastColumn="0" w:lastRowFirstColumn="0" w:lastRowLastColumn="0"/>
              <w:rPr>
                <w:sz w:val="18"/>
                <w:szCs w:val="18"/>
              </w:rPr>
            </w:pPr>
            <w:r w:rsidRPr="00765233">
              <w:rPr>
                <w:sz w:val="18"/>
                <w:szCs w:val="18"/>
              </w:rPr>
              <w:t>144,18%</w:t>
            </w:r>
          </w:p>
        </w:tc>
        <w:tc>
          <w:tcPr>
            <w:tcW w:w="1055" w:type="dxa"/>
            <w:vAlign w:val="center"/>
          </w:tcPr>
          <w:p w:rsidR="00C7418E" w:rsidRPr="00765233" w:rsidRDefault="00C7418E" w:rsidP="00765233">
            <w:pPr>
              <w:pStyle w:val="Sinespaciado"/>
              <w:jc w:val="center"/>
              <w:cnfStyle w:val="000000100000" w:firstRow="0" w:lastRow="0" w:firstColumn="0" w:lastColumn="0" w:oddVBand="0" w:evenVBand="0" w:oddHBand="1" w:evenHBand="0" w:firstRowFirstColumn="0" w:firstRowLastColumn="0" w:lastRowFirstColumn="0" w:lastRowLastColumn="0"/>
              <w:rPr>
                <w:rFonts w:cs="Calibri"/>
                <w:color w:val="000000"/>
                <w:sz w:val="18"/>
                <w:szCs w:val="18"/>
              </w:rPr>
            </w:pPr>
            <w:r w:rsidRPr="00765233">
              <w:rPr>
                <w:rFonts w:cs="Calibri"/>
                <w:color w:val="000000"/>
                <w:sz w:val="18"/>
                <w:szCs w:val="18"/>
              </w:rPr>
              <w:t>100%</w:t>
            </w:r>
          </w:p>
        </w:tc>
      </w:tr>
      <w:tr w:rsidR="00C7418E" w:rsidRPr="00765233" w:rsidTr="00C7418E">
        <w:trPr>
          <w:cnfStyle w:val="000000010000" w:firstRow="0" w:lastRow="0" w:firstColumn="0" w:lastColumn="0" w:oddVBand="0" w:evenVBand="0" w:oddHBand="0" w:evenHBand="1" w:firstRowFirstColumn="0" w:firstRowLastColumn="0" w:lastRowFirstColumn="0" w:lastRowLastColumn="0"/>
          <w:trHeight w:val="961"/>
          <w:jc w:val="center"/>
        </w:trPr>
        <w:tc>
          <w:tcPr>
            <w:cnfStyle w:val="001000000000" w:firstRow="0" w:lastRow="0" w:firstColumn="1" w:lastColumn="0" w:oddVBand="0" w:evenVBand="0" w:oddHBand="0" w:evenHBand="0" w:firstRowFirstColumn="0" w:firstRowLastColumn="0" w:lastRowFirstColumn="0" w:lastRowLastColumn="0"/>
            <w:tcW w:w="1162" w:type="dxa"/>
            <w:vAlign w:val="center"/>
          </w:tcPr>
          <w:p w:rsidR="00C7418E" w:rsidRPr="00765233" w:rsidRDefault="00C7418E" w:rsidP="00765233">
            <w:pPr>
              <w:pStyle w:val="Sinespaciado"/>
              <w:rPr>
                <w:color w:val="000000" w:themeColor="text1"/>
                <w:sz w:val="18"/>
                <w:szCs w:val="18"/>
              </w:rPr>
            </w:pPr>
            <w:r w:rsidRPr="00765233">
              <w:rPr>
                <w:color w:val="000000" w:themeColor="text1"/>
                <w:sz w:val="18"/>
                <w:szCs w:val="18"/>
              </w:rPr>
              <w:lastRenderedPageBreak/>
              <w:t>AI1</w:t>
            </w:r>
          </w:p>
        </w:tc>
        <w:tc>
          <w:tcPr>
            <w:tcW w:w="1654" w:type="dxa"/>
            <w:vAlign w:val="center"/>
          </w:tcPr>
          <w:p w:rsidR="00C7418E" w:rsidRPr="00765233" w:rsidRDefault="00C7418E" w:rsidP="00765233">
            <w:pPr>
              <w:pStyle w:val="Sinespaciado"/>
              <w:cnfStyle w:val="000000010000" w:firstRow="0" w:lastRow="0" w:firstColumn="0" w:lastColumn="0" w:oddVBand="0" w:evenVBand="0" w:oddHBand="0" w:evenHBand="1" w:firstRowFirstColumn="0" w:firstRowLastColumn="0" w:lastRowFirstColumn="0" w:lastRowLastColumn="0"/>
              <w:rPr>
                <w:sz w:val="18"/>
                <w:szCs w:val="18"/>
              </w:rPr>
            </w:pPr>
            <w:r w:rsidRPr="00765233">
              <w:rPr>
                <w:sz w:val="18"/>
                <w:szCs w:val="18"/>
              </w:rPr>
              <w:t>Porcentaje de estudiantes que reciben beneficios</w:t>
            </w:r>
          </w:p>
        </w:tc>
        <w:tc>
          <w:tcPr>
            <w:tcW w:w="2434" w:type="dxa"/>
            <w:vAlign w:val="center"/>
          </w:tcPr>
          <w:p w:rsidR="00C7418E" w:rsidRPr="00765233" w:rsidRDefault="00C7418E" w:rsidP="00765233">
            <w:pPr>
              <w:pStyle w:val="Sinespaciado"/>
              <w:cnfStyle w:val="000000010000" w:firstRow="0" w:lastRow="0" w:firstColumn="0" w:lastColumn="0" w:oddVBand="0" w:evenVBand="0" w:oddHBand="0" w:evenHBand="1" w:firstRowFirstColumn="0" w:firstRowLastColumn="0" w:lastRowFirstColumn="0" w:lastRowLastColumn="0"/>
              <w:rPr>
                <w:sz w:val="18"/>
                <w:szCs w:val="18"/>
              </w:rPr>
            </w:pPr>
            <w:r w:rsidRPr="00765233">
              <w:rPr>
                <w:sz w:val="18"/>
                <w:szCs w:val="18"/>
              </w:rPr>
              <w:t>Retención de estudiantes que reciben beneficios</w:t>
            </w:r>
          </w:p>
        </w:tc>
        <w:tc>
          <w:tcPr>
            <w:tcW w:w="679" w:type="dxa"/>
            <w:vAlign w:val="center"/>
          </w:tcPr>
          <w:p w:rsidR="00C7418E" w:rsidRPr="00765233" w:rsidRDefault="00C7418E" w:rsidP="00765233">
            <w:pPr>
              <w:pStyle w:val="Sinespaciado"/>
              <w:jc w:val="center"/>
              <w:cnfStyle w:val="000000010000" w:firstRow="0" w:lastRow="0" w:firstColumn="0" w:lastColumn="0" w:oddVBand="0" w:evenVBand="0" w:oddHBand="0" w:evenHBand="1" w:firstRowFirstColumn="0" w:firstRowLastColumn="0" w:lastRowFirstColumn="0" w:lastRowLastColumn="0"/>
              <w:rPr>
                <w:sz w:val="18"/>
                <w:szCs w:val="18"/>
              </w:rPr>
            </w:pPr>
            <w:r w:rsidRPr="00765233">
              <w:rPr>
                <w:sz w:val="18"/>
                <w:szCs w:val="18"/>
              </w:rPr>
              <w:t>92%</w:t>
            </w:r>
          </w:p>
        </w:tc>
        <w:tc>
          <w:tcPr>
            <w:tcW w:w="989" w:type="dxa"/>
            <w:vAlign w:val="center"/>
          </w:tcPr>
          <w:p w:rsidR="00C7418E" w:rsidRPr="00765233" w:rsidRDefault="00C7418E" w:rsidP="00765233">
            <w:pPr>
              <w:pStyle w:val="Sinespaciado"/>
              <w:jc w:val="center"/>
              <w:cnfStyle w:val="000000010000" w:firstRow="0" w:lastRow="0" w:firstColumn="0" w:lastColumn="0" w:oddVBand="0" w:evenVBand="0" w:oddHBand="0" w:evenHBand="1" w:firstRowFirstColumn="0" w:firstRowLastColumn="0" w:lastRowFirstColumn="0" w:lastRowLastColumn="0"/>
              <w:rPr>
                <w:sz w:val="18"/>
                <w:szCs w:val="18"/>
              </w:rPr>
            </w:pPr>
            <w:r w:rsidRPr="00765233">
              <w:rPr>
                <w:sz w:val="18"/>
                <w:szCs w:val="18"/>
              </w:rPr>
              <w:t>87%</w:t>
            </w:r>
          </w:p>
        </w:tc>
        <w:tc>
          <w:tcPr>
            <w:tcW w:w="1055" w:type="dxa"/>
            <w:vAlign w:val="center"/>
          </w:tcPr>
          <w:p w:rsidR="00C7418E" w:rsidRPr="00765233" w:rsidRDefault="00C7418E" w:rsidP="00765233">
            <w:pPr>
              <w:pStyle w:val="Sinespaciado"/>
              <w:jc w:val="center"/>
              <w:cnfStyle w:val="000000010000" w:firstRow="0" w:lastRow="0" w:firstColumn="0" w:lastColumn="0" w:oddVBand="0" w:evenVBand="0" w:oddHBand="0" w:evenHBand="1" w:firstRowFirstColumn="0" w:firstRowLastColumn="0" w:lastRowFirstColumn="0" w:lastRowLastColumn="0"/>
              <w:rPr>
                <w:rFonts w:cs="Calibri"/>
                <w:color w:val="000000"/>
                <w:sz w:val="18"/>
                <w:szCs w:val="18"/>
              </w:rPr>
            </w:pPr>
            <w:r w:rsidRPr="00765233">
              <w:rPr>
                <w:rFonts w:cs="Calibri"/>
                <w:color w:val="000000"/>
                <w:sz w:val="18"/>
                <w:szCs w:val="18"/>
              </w:rPr>
              <w:t>94,57%</w:t>
            </w:r>
          </w:p>
        </w:tc>
      </w:tr>
      <w:tr w:rsidR="00C7418E" w:rsidRPr="00765233" w:rsidTr="00C7418E">
        <w:trPr>
          <w:cnfStyle w:val="000000100000" w:firstRow="0" w:lastRow="0" w:firstColumn="0" w:lastColumn="0" w:oddVBand="0" w:evenVBand="0" w:oddHBand="1" w:evenHBand="0" w:firstRowFirstColumn="0" w:firstRowLastColumn="0" w:lastRowFirstColumn="0" w:lastRowLastColumn="0"/>
          <w:trHeight w:val="51"/>
          <w:jc w:val="center"/>
        </w:trPr>
        <w:tc>
          <w:tcPr>
            <w:cnfStyle w:val="001000000000" w:firstRow="0" w:lastRow="0" w:firstColumn="1" w:lastColumn="0" w:oddVBand="0" w:evenVBand="0" w:oddHBand="0" w:evenHBand="0" w:firstRowFirstColumn="0" w:firstRowLastColumn="0" w:lastRowFirstColumn="0" w:lastRowLastColumn="0"/>
            <w:tcW w:w="1162" w:type="dxa"/>
            <w:vAlign w:val="center"/>
          </w:tcPr>
          <w:p w:rsidR="00C7418E" w:rsidRPr="00765233" w:rsidRDefault="00C7418E" w:rsidP="00765233">
            <w:pPr>
              <w:pStyle w:val="Sinespaciado"/>
              <w:rPr>
                <w:color w:val="000000" w:themeColor="text1"/>
                <w:sz w:val="18"/>
                <w:szCs w:val="18"/>
              </w:rPr>
            </w:pPr>
            <w:r w:rsidRPr="00765233">
              <w:rPr>
                <w:color w:val="000000" w:themeColor="text1"/>
                <w:sz w:val="18"/>
                <w:szCs w:val="18"/>
              </w:rPr>
              <w:t>AI2</w:t>
            </w:r>
          </w:p>
        </w:tc>
        <w:tc>
          <w:tcPr>
            <w:tcW w:w="1654" w:type="dxa"/>
            <w:vAlign w:val="center"/>
          </w:tcPr>
          <w:p w:rsidR="00C7418E" w:rsidRPr="00765233" w:rsidRDefault="00C7418E" w:rsidP="00765233">
            <w:pPr>
              <w:pStyle w:val="Sinespaciado"/>
              <w:cnfStyle w:val="000000100000" w:firstRow="0" w:lastRow="0" w:firstColumn="0" w:lastColumn="0" w:oddVBand="0" w:evenVBand="0" w:oddHBand="1" w:evenHBand="0" w:firstRowFirstColumn="0" w:firstRowLastColumn="0" w:lastRowFirstColumn="0" w:lastRowLastColumn="0"/>
              <w:rPr>
                <w:sz w:val="18"/>
                <w:szCs w:val="18"/>
              </w:rPr>
            </w:pPr>
            <w:r w:rsidRPr="00765233">
              <w:rPr>
                <w:sz w:val="18"/>
                <w:szCs w:val="18"/>
              </w:rPr>
              <w:t>Porcentaje de la población universitaria vinculada en proyectos sociales</w:t>
            </w:r>
          </w:p>
        </w:tc>
        <w:tc>
          <w:tcPr>
            <w:tcW w:w="2434" w:type="dxa"/>
            <w:vAlign w:val="center"/>
          </w:tcPr>
          <w:p w:rsidR="00C7418E" w:rsidRPr="00765233" w:rsidRDefault="00C7418E" w:rsidP="00765233">
            <w:pPr>
              <w:pStyle w:val="Sinespaciado"/>
              <w:cnfStyle w:val="000000100000" w:firstRow="0" w:lastRow="0" w:firstColumn="0" w:lastColumn="0" w:oddVBand="0" w:evenVBand="0" w:oddHBand="1" w:evenHBand="0" w:firstRowFirstColumn="0" w:firstRowLastColumn="0" w:lastRowFirstColumn="0" w:lastRowLastColumn="0"/>
              <w:rPr>
                <w:sz w:val="18"/>
                <w:szCs w:val="18"/>
              </w:rPr>
            </w:pPr>
            <w:r w:rsidRPr="00765233">
              <w:rPr>
                <w:rFonts w:eastAsia="Times New Roman" w:cs="Arial"/>
                <w:sz w:val="18"/>
                <w:szCs w:val="18"/>
                <w:lang w:val="es-CO"/>
              </w:rPr>
              <w:t>Porcentaje de la población universitaria vinculada en proyectos sociales</w:t>
            </w:r>
          </w:p>
        </w:tc>
        <w:tc>
          <w:tcPr>
            <w:tcW w:w="679" w:type="dxa"/>
            <w:vAlign w:val="center"/>
          </w:tcPr>
          <w:p w:rsidR="00C7418E" w:rsidRPr="00765233" w:rsidRDefault="00C7418E" w:rsidP="00765233">
            <w:pPr>
              <w:pStyle w:val="Sinespaciado"/>
              <w:jc w:val="center"/>
              <w:cnfStyle w:val="000000100000" w:firstRow="0" w:lastRow="0" w:firstColumn="0" w:lastColumn="0" w:oddVBand="0" w:evenVBand="0" w:oddHBand="1" w:evenHBand="0" w:firstRowFirstColumn="0" w:firstRowLastColumn="0" w:lastRowFirstColumn="0" w:lastRowLastColumn="0"/>
              <w:rPr>
                <w:sz w:val="18"/>
                <w:szCs w:val="18"/>
              </w:rPr>
            </w:pPr>
            <w:r w:rsidRPr="00765233">
              <w:rPr>
                <w:sz w:val="18"/>
                <w:szCs w:val="18"/>
              </w:rPr>
              <w:t>70%</w:t>
            </w:r>
          </w:p>
        </w:tc>
        <w:tc>
          <w:tcPr>
            <w:tcW w:w="989" w:type="dxa"/>
            <w:vAlign w:val="center"/>
          </w:tcPr>
          <w:p w:rsidR="00C7418E" w:rsidRPr="00765233" w:rsidRDefault="00C7418E" w:rsidP="00765233">
            <w:pPr>
              <w:pStyle w:val="Sinespaciado"/>
              <w:jc w:val="center"/>
              <w:cnfStyle w:val="000000100000" w:firstRow="0" w:lastRow="0" w:firstColumn="0" w:lastColumn="0" w:oddVBand="0" w:evenVBand="0" w:oddHBand="1" w:evenHBand="0" w:firstRowFirstColumn="0" w:firstRowLastColumn="0" w:lastRowFirstColumn="0" w:lastRowLastColumn="0"/>
              <w:rPr>
                <w:sz w:val="18"/>
                <w:szCs w:val="18"/>
              </w:rPr>
            </w:pPr>
            <w:r w:rsidRPr="00765233">
              <w:rPr>
                <w:sz w:val="18"/>
                <w:szCs w:val="18"/>
              </w:rPr>
              <w:t>82,28%</w:t>
            </w:r>
          </w:p>
        </w:tc>
        <w:tc>
          <w:tcPr>
            <w:tcW w:w="1055" w:type="dxa"/>
            <w:vAlign w:val="center"/>
          </w:tcPr>
          <w:p w:rsidR="00C7418E" w:rsidRPr="00765233" w:rsidRDefault="00C7418E" w:rsidP="00765233">
            <w:pPr>
              <w:pStyle w:val="Sinespaciado"/>
              <w:jc w:val="center"/>
              <w:cnfStyle w:val="000000100000" w:firstRow="0" w:lastRow="0" w:firstColumn="0" w:lastColumn="0" w:oddVBand="0" w:evenVBand="0" w:oddHBand="1" w:evenHBand="0" w:firstRowFirstColumn="0" w:firstRowLastColumn="0" w:lastRowFirstColumn="0" w:lastRowLastColumn="0"/>
              <w:rPr>
                <w:rFonts w:cs="Calibri"/>
                <w:color w:val="000000"/>
                <w:sz w:val="18"/>
                <w:szCs w:val="18"/>
              </w:rPr>
            </w:pPr>
            <w:r w:rsidRPr="00765233">
              <w:rPr>
                <w:rFonts w:cs="Calibri"/>
                <w:color w:val="000000"/>
                <w:sz w:val="18"/>
                <w:szCs w:val="18"/>
              </w:rPr>
              <w:t>100%</w:t>
            </w:r>
          </w:p>
        </w:tc>
      </w:tr>
      <w:tr w:rsidR="00C7418E" w:rsidRPr="00765233" w:rsidTr="00C7418E">
        <w:trPr>
          <w:cnfStyle w:val="000000010000" w:firstRow="0" w:lastRow="0" w:firstColumn="0" w:lastColumn="0" w:oddVBand="0" w:evenVBand="0" w:oddHBand="0" w:evenHBand="1" w:firstRowFirstColumn="0" w:firstRowLastColumn="0" w:lastRowFirstColumn="0" w:lastRowLastColumn="0"/>
          <w:trHeight w:val="51"/>
          <w:jc w:val="center"/>
        </w:trPr>
        <w:tc>
          <w:tcPr>
            <w:cnfStyle w:val="001000000000" w:firstRow="0" w:lastRow="0" w:firstColumn="1" w:lastColumn="0" w:oddVBand="0" w:evenVBand="0" w:oddHBand="0" w:evenHBand="0" w:firstRowFirstColumn="0" w:firstRowLastColumn="0" w:lastRowFirstColumn="0" w:lastRowLastColumn="0"/>
            <w:tcW w:w="1162" w:type="dxa"/>
            <w:vAlign w:val="center"/>
          </w:tcPr>
          <w:p w:rsidR="00C7418E" w:rsidRPr="00765233" w:rsidRDefault="00C7418E" w:rsidP="00765233">
            <w:pPr>
              <w:pStyle w:val="Sinespaciado"/>
              <w:rPr>
                <w:color w:val="000000" w:themeColor="text1"/>
                <w:sz w:val="18"/>
                <w:szCs w:val="18"/>
              </w:rPr>
            </w:pPr>
            <w:r w:rsidRPr="00765233">
              <w:rPr>
                <w:color w:val="000000" w:themeColor="text1"/>
                <w:sz w:val="18"/>
                <w:szCs w:val="18"/>
              </w:rPr>
              <w:t>SAI</w:t>
            </w:r>
          </w:p>
        </w:tc>
        <w:tc>
          <w:tcPr>
            <w:tcW w:w="1654" w:type="dxa"/>
            <w:vAlign w:val="center"/>
          </w:tcPr>
          <w:p w:rsidR="00C7418E" w:rsidRPr="00765233" w:rsidRDefault="00C7418E" w:rsidP="00765233">
            <w:pPr>
              <w:pStyle w:val="Sinespaciado"/>
              <w:cnfStyle w:val="000000010000" w:firstRow="0" w:lastRow="0" w:firstColumn="0" w:lastColumn="0" w:oddVBand="0" w:evenVBand="0" w:oddHBand="0" w:evenHBand="1" w:firstRowFirstColumn="0" w:firstRowLastColumn="0" w:lastRowFirstColumn="0" w:lastRowLastColumn="0"/>
              <w:rPr>
                <w:sz w:val="18"/>
                <w:szCs w:val="18"/>
              </w:rPr>
            </w:pPr>
            <w:r w:rsidRPr="00765233">
              <w:rPr>
                <w:sz w:val="18"/>
                <w:szCs w:val="18"/>
              </w:rPr>
              <w:t>Salud Integral</w:t>
            </w:r>
          </w:p>
        </w:tc>
        <w:tc>
          <w:tcPr>
            <w:tcW w:w="2434" w:type="dxa"/>
            <w:vAlign w:val="center"/>
          </w:tcPr>
          <w:p w:rsidR="00C7418E" w:rsidRPr="00765233" w:rsidRDefault="00C7418E" w:rsidP="00765233">
            <w:pPr>
              <w:pStyle w:val="Sinespaciado"/>
              <w:cnfStyle w:val="000000010000" w:firstRow="0" w:lastRow="0" w:firstColumn="0" w:lastColumn="0" w:oddVBand="0" w:evenVBand="0" w:oddHBand="0" w:evenHBand="1" w:firstRowFirstColumn="0" w:firstRowLastColumn="0" w:lastRowFirstColumn="0" w:lastRowLastColumn="0"/>
              <w:rPr>
                <w:sz w:val="18"/>
                <w:szCs w:val="18"/>
              </w:rPr>
            </w:pPr>
            <w:r w:rsidRPr="00765233">
              <w:rPr>
                <w:sz w:val="18"/>
                <w:szCs w:val="18"/>
              </w:rPr>
              <w:t>Porcentaje de avance en programas y actividades de promoción de la salud integral</w:t>
            </w:r>
          </w:p>
        </w:tc>
        <w:tc>
          <w:tcPr>
            <w:tcW w:w="679" w:type="dxa"/>
            <w:vAlign w:val="center"/>
          </w:tcPr>
          <w:p w:rsidR="00C7418E" w:rsidRPr="00765233" w:rsidRDefault="00C7418E" w:rsidP="00765233">
            <w:pPr>
              <w:pStyle w:val="Sinespaciado"/>
              <w:jc w:val="center"/>
              <w:cnfStyle w:val="000000010000" w:firstRow="0" w:lastRow="0" w:firstColumn="0" w:lastColumn="0" w:oddVBand="0" w:evenVBand="0" w:oddHBand="0" w:evenHBand="1" w:firstRowFirstColumn="0" w:firstRowLastColumn="0" w:lastRowFirstColumn="0" w:lastRowLastColumn="0"/>
              <w:rPr>
                <w:sz w:val="18"/>
                <w:szCs w:val="18"/>
              </w:rPr>
            </w:pPr>
            <w:r w:rsidRPr="00765233">
              <w:rPr>
                <w:sz w:val="18"/>
                <w:szCs w:val="18"/>
              </w:rPr>
              <w:t>100%</w:t>
            </w:r>
          </w:p>
        </w:tc>
        <w:tc>
          <w:tcPr>
            <w:tcW w:w="989" w:type="dxa"/>
            <w:vAlign w:val="center"/>
          </w:tcPr>
          <w:p w:rsidR="00C7418E" w:rsidRPr="00765233" w:rsidRDefault="00C7418E" w:rsidP="00765233">
            <w:pPr>
              <w:pStyle w:val="Sinespaciado"/>
              <w:jc w:val="center"/>
              <w:cnfStyle w:val="000000010000" w:firstRow="0" w:lastRow="0" w:firstColumn="0" w:lastColumn="0" w:oddVBand="0" w:evenVBand="0" w:oddHBand="0" w:evenHBand="1" w:firstRowFirstColumn="0" w:firstRowLastColumn="0" w:lastRowFirstColumn="0" w:lastRowLastColumn="0"/>
              <w:rPr>
                <w:sz w:val="18"/>
                <w:szCs w:val="18"/>
              </w:rPr>
            </w:pPr>
            <w:r w:rsidRPr="00765233">
              <w:rPr>
                <w:sz w:val="18"/>
                <w:szCs w:val="18"/>
              </w:rPr>
              <w:t>86%</w:t>
            </w:r>
          </w:p>
        </w:tc>
        <w:tc>
          <w:tcPr>
            <w:tcW w:w="1055" w:type="dxa"/>
            <w:vAlign w:val="center"/>
          </w:tcPr>
          <w:p w:rsidR="00C7418E" w:rsidRPr="00765233" w:rsidRDefault="00C7418E" w:rsidP="00765233">
            <w:pPr>
              <w:pStyle w:val="Sinespaciado"/>
              <w:jc w:val="center"/>
              <w:cnfStyle w:val="000000010000" w:firstRow="0" w:lastRow="0" w:firstColumn="0" w:lastColumn="0" w:oddVBand="0" w:evenVBand="0" w:oddHBand="0" w:evenHBand="1" w:firstRowFirstColumn="0" w:firstRowLastColumn="0" w:lastRowFirstColumn="0" w:lastRowLastColumn="0"/>
              <w:rPr>
                <w:rFonts w:cs="Calibri"/>
                <w:color w:val="000000"/>
                <w:sz w:val="18"/>
                <w:szCs w:val="18"/>
              </w:rPr>
            </w:pPr>
            <w:r w:rsidRPr="00765233">
              <w:rPr>
                <w:rFonts w:cs="Calibri"/>
                <w:color w:val="000000"/>
                <w:sz w:val="18"/>
                <w:szCs w:val="18"/>
              </w:rPr>
              <w:t>86%</w:t>
            </w:r>
          </w:p>
        </w:tc>
      </w:tr>
      <w:tr w:rsidR="00C7418E" w:rsidRPr="00765233" w:rsidTr="00C7418E">
        <w:trPr>
          <w:cnfStyle w:val="000000100000" w:firstRow="0" w:lastRow="0" w:firstColumn="0" w:lastColumn="0" w:oddVBand="0" w:evenVBand="0" w:oddHBand="1" w:evenHBand="0" w:firstRowFirstColumn="0" w:firstRowLastColumn="0" w:lastRowFirstColumn="0" w:lastRowLastColumn="0"/>
          <w:trHeight w:val="51"/>
          <w:jc w:val="center"/>
        </w:trPr>
        <w:tc>
          <w:tcPr>
            <w:cnfStyle w:val="001000000000" w:firstRow="0" w:lastRow="0" w:firstColumn="1" w:lastColumn="0" w:oddVBand="0" w:evenVBand="0" w:oddHBand="0" w:evenHBand="0" w:firstRowFirstColumn="0" w:firstRowLastColumn="0" w:lastRowFirstColumn="0" w:lastRowLastColumn="0"/>
            <w:tcW w:w="1162" w:type="dxa"/>
            <w:vAlign w:val="center"/>
          </w:tcPr>
          <w:p w:rsidR="00C7418E" w:rsidRPr="00765233" w:rsidRDefault="00C7418E" w:rsidP="00765233">
            <w:pPr>
              <w:pStyle w:val="Sinespaciado"/>
              <w:rPr>
                <w:color w:val="000000" w:themeColor="text1"/>
                <w:sz w:val="18"/>
                <w:szCs w:val="18"/>
              </w:rPr>
            </w:pPr>
            <w:r w:rsidRPr="00765233">
              <w:rPr>
                <w:color w:val="000000" w:themeColor="text1"/>
                <w:sz w:val="18"/>
                <w:szCs w:val="18"/>
              </w:rPr>
              <w:t>ORS</w:t>
            </w:r>
          </w:p>
        </w:tc>
        <w:tc>
          <w:tcPr>
            <w:tcW w:w="1654" w:type="dxa"/>
            <w:vAlign w:val="center"/>
          </w:tcPr>
          <w:p w:rsidR="00C7418E" w:rsidRPr="00765233" w:rsidRDefault="00C7418E" w:rsidP="00765233">
            <w:pPr>
              <w:pStyle w:val="Sinespaciado"/>
              <w:cnfStyle w:val="000000100000" w:firstRow="0" w:lastRow="0" w:firstColumn="0" w:lastColumn="0" w:oddVBand="0" w:evenVBand="0" w:oddHBand="1" w:evenHBand="0" w:firstRowFirstColumn="0" w:firstRowLastColumn="0" w:lastRowFirstColumn="0" w:lastRowLastColumn="0"/>
              <w:rPr>
                <w:sz w:val="18"/>
                <w:szCs w:val="18"/>
              </w:rPr>
            </w:pPr>
            <w:r w:rsidRPr="00765233">
              <w:rPr>
                <w:sz w:val="18"/>
                <w:szCs w:val="18"/>
              </w:rPr>
              <w:t>Observatorio</w:t>
            </w:r>
          </w:p>
        </w:tc>
        <w:tc>
          <w:tcPr>
            <w:tcW w:w="2434" w:type="dxa"/>
            <w:vAlign w:val="center"/>
          </w:tcPr>
          <w:p w:rsidR="00C7418E" w:rsidRPr="00765233" w:rsidRDefault="00C7418E" w:rsidP="00765233">
            <w:pPr>
              <w:pStyle w:val="Sinespaciado"/>
              <w:cnfStyle w:val="000000100000" w:firstRow="0" w:lastRow="0" w:firstColumn="0" w:lastColumn="0" w:oddVBand="0" w:evenVBand="0" w:oddHBand="1" w:evenHBand="0" w:firstRowFirstColumn="0" w:firstRowLastColumn="0" w:lastRowFirstColumn="0" w:lastRowLastColumn="0"/>
              <w:rPr>
                <w:sz w:val="18"/>
                <w:szCs w:val="18"/>
              </w:rPr>
            </w:pPr>
            <w:r w:rsidRPr="00765233">
              <w:rPr>
                <w:sz w:val="18"/>
                <w:szCs w:val="18"/>
              </w:rPr>
              <w:t>Porcentaje de productos que generan impacto en la toma de decisiones institucionales</w:t>
            </w:r>
          </w:p>
        </w:tc>
        <w:tc>
          <w:tcPr>
            <w:tcW w:w="679" w:type="dxa"/>
            <w:vAlign w:val="center"/>
          </w:tcPr>
          <w:p w:rsidR="00C7418E" w:rsidRPr="00765233" w:rsidRDefault="00C7418E" w:rsidP="00765233">
            <w:pPr>
              <w:pStyle w:val="Sinespaciado"/>
              <w:jc w:val="center"/>
              <w:cnfStyle w:val="000000100000" w:firstRow="0" w:lastRow="0" w:firstColumn="0" w:lastColumn="0" w:oddVBand="0" w:evenVBand="0" w:oddHBand="1" w:evenHBand="0" w:firstRowFirstColumn="0" w:firstRowLastColumn="0" w:lastRowFirstColumn="0" w:lastRowLastColumn="0"/>
              <w:rPr>
                <w:sz w:val="18"/>
                <w:szCs w:val="18"/>
              </w:rPr>
            </w:pPr>
            <w:r w:rsidRPr="00765233">
              <w:rPr>
                <w:sz w:val="18"/>
                <w:szCs w:val="18"/>
              </w:rPr>
              <w:t>50%</w:t>
            </w:r>
          </w:p>
        </w:tc>
        <w:tc>
          <w:tcPr>
            <w:tcW w:w="989" w:type="dxa"/>
            <w:vAlign w:val="center"/>
          </w:tcPr>
          <w:p w:rsidR="00C7418E" w:rsidRPr="00765233" w:rsidRDefault="00C7418E" w:rsidP="00765233">
            <w:pPr>
              <w:pStyle w:val="Sinespaciado"/>
              <w:jc w:val="center"/>
              <w:cnfStyle w:val="000000100000" w:firstRow="0" w:lastRow="0" w:firstColumn="0" w:lastColumn="0" w:oddVBand="0" w:evenVBand="0" w:oddHBand="1" w:evenHBand="0" w:firstRowFirstColumn="0" w:firstRowLastColumn="0" w:lastRowFirstColumn="0" w:lastRowLastColumn="0"/>
              <w:rPr>
                <w:sz w:val="18"/>
                <w:szCs w:val="18"/>
              </w:rPr>
            </w:pPr>
            <w:r w:rsidRPr="00765233">
              <w:rPr>
                <w:sz w:val="18"/>
                <w:szCs w:val="18"/>
              </w:rPr>
              <w:t>60%</w:t>
            </w:r>
          </w:p>
        </w:tc>
        <w:tc>
          <w:tcPr>
            <w:tcW w:w="1055" w:type="dxa"/>
            <w:vAlign w:val="center"/>
          </w:tcPr>
          <w:p w:rsidR="00C7418E" w:rsidRPr="00765233" w:rsidRDefault="00C7418E" w:rsidP="00765233">
            <w:pPr>
              <w:pStyle w:val="Sinespaciado"/>
              <w:jc w:val="center"/>
              <w:cnfStyle w:val="000000100000" w:firstRow="0" w:lastRow="0" w:firstColumn="0" w:lastColumn="0" w:oddVBand="0" w:evenVBand="0" w:oddHBand="1" w:evenHBand="0" w:firstRowFirstColumn="0" w:firstRowLastColumn="0" w:lastRowFirstColumn="0" w:lastRowLastColumn="0"/>
              <w:rPr>
                <w:rFonts w:cs="Calibri"/>
                <w:color w:val="000000"/>
                <w:sz w:val="18"/>
                <w:szCs w:val="18"/>
              </w:rPr>
            </w:pPr>
            <w:r w:rsidRPr="00765233">
              <w:rPr>
                <w:rFonts w:cs="Calibri"/>
                <w:color w:val="000000"/>
                <w:sz w:val="18"/>
                <w:szCs w:val="18"/>
              </w:rPr>
              <w:t>100%</w:t>
            </w:r>
          </w:p>
        </w:tc>
      </w:tr>
      <w:tr w:rsidR="00C7418E" w:rsidRPr="00765233" w:rsidTr="00C7418E">
        <w:trPr>
          <w:cnfStyle w:val="000000010000" w:firstRow="0" w:lastRow="0" w:firstColumn="0" w:lastColumn="0" w:oddVBand="0" w:evenVBand="0" w:oddHBand="0" w:evenHBand="1" w:firstRowFirstColumn="0" w:firstRowLastColumn="0" w:lastRowFirstColumn="0" w:lastRowLastColumn="0"/>
          <w:trHeight w:val="51"/>
          <w:jc w:val="center"/>
        </w:trPr>
        <w:tc>
          <w:tcPr>
            <w:cnfStyle w:val="001000000000" w:firstRow="0" w:lastRow="0" w:firstColumn="1" w:lastColumn="0" w:oddVBand="0" w:evenVBand="0" w:oddHBand="0" w:evenHBand="0" w:firstRowFirstColumn="0" w:firstRowLastColumn="0" w:lastRowFirstColumn="0" w:lastRowLastColumn="0"/>
            <w:tcW w:w="1162" w:type="dxa"/>
            <w:vAlign w:val="center"/>
          </w:tcPr>
          <w:p w:rsidR="00C7418E" w:rsidRPr="00765233" w:rsidRDefault="00C7418E" w:rsidP="00765233">
            <w:pPr>
              <w:pStyle w:val="Sinespaciado"/>
              <w:rPr>
                <w:color w:val="000000" w:themeColor="text1"/>
                <w:sz w:val="18"/>
                <w:szCs w:val="18"/>
              </w:rPr>
            </w:pPr>
            <w:r w:rsidRPr="00765233">
              <w:rPr>
                <w:color w:val="000000" w:themeColor="text1"/>
                <w:sz w:val="18"/>
                <w:szCs w:val="18"/>
              </w:rPr>
              <w:t>GE1</w:t>
            </w:r>
          </w:p>
        </w:tc>
        <w:tc>
          <w:tcPr>
            <w:tcW w:w="1654" w:type="dxa"/>
            <w:vAlign w:val="center"/>
          </w:tcPr>
          <w:p w:rsidR="00C7418E" w:rsidRPr="00765233" w:rsidRDefault="00C7418E" w:rsidP="00765233">
            <w:pPr>
              <w:pStyle w:val="Sinespaciado"/>
              <w:cnfStyle w:val="000000010000" w:firstRow="0" w:lastRow="0" w:firstColumn="0" w:lastColumn="0" w:oddVBand="0" w:evenVBand="0" w:oddHBand="0" w:evenHBand="1" w:firstRowFirstColumn="0" w:firstRowLastColumn="0" w:lastRowFirstColumn="0" w:lastRowLastColumn="0"/>
              <w:rPr>
                <w:sz w:val="18"/>
                <w:szCs w:val="18"/>
              </w:rPr>
            </w:pPr>
            <w:r w:rsidRPr="00765233">
              <w:rPr>
                <w:sz w:val="18"/>
                <w:szCs w:val="18"/>
              </w:rPr>
              <w:t>Gestión de recursos</w:t>
            </w:r>
          </w:p>
        </w:tc>
        <w:tc>
          <w:tcPr>
            <w:tcW w:w="2434" w:type="dxa"/>
            <w:vAlign w:val="center"/>
          </w:tcPr>
          <w:p w:rsidR="00C7418E" w:rsidRPr="00765233" w:rsidRDefault="00C7418E" w:rsidP="00765233">
            <w:pPr>
              <w:pStyle w:val="Sinespaciado"/>
              <w:cnfStyle w:val="000000010000" w:firstRow="0" w:lastRow="0" w:firstColumn="0" w:lastColumn="0" w:oddVBand="0" w:evenVBand="0" w:oddHBand="0" w:evenHBand="1" w:firstRowFirstColumn="0" w:firstRowLastColumn="0" w:lastRowFirstColumn="0" w:lastRowLastColumn="0"/>
              <w:rPr>
                <w:sz w:val="18"/>
                <w:szCs w:val="18"/>
              </w:rPr>
            </w:pPr>
            <w:r w:rsidRPr="00765233">
              <w:rPr>
                <w:sz w:val="18"/>
                <w:szCs w:val="18"/>
              </w:rPr>
              <w:t>% Recursos gestionados</w:t>
            </w:r>
          </w:p>
        </w:tc>
        <w:tc>
          <w:tcPr>
            <w:tcW w:w="679" w:type="dxa"/>
            <w:vAlign w:val="center"/>
          </w:tcPr>
          <w:p w:rsidR="00C7418E" w:rsidRPr="00765233" w:rsidRDefault="00C7418E" w:rsidP="00765233">
            <w:pPr>
              <w:pStyle w:val="Sinespaciado"/>
              <w:jc w:val="center"/>
              <w:cnfStyle w:val="000000010000" w:firstRow="0" w:lastRow="0" w:firstColumn="0" w:lastColumn="0" w:oddVBand="0" w:evenVBand="0" w:oddHBand="0" w:evenHBand="1" w:firstRowFirstColumn="0" w:firstRowLastColumn="0" w:lastRowFirstColumn="0" w:lastRowLastColumn="0"/>
              <w:rPr>
                <w:sz w:val="18"/>
                <w:szCs w:val="18"/>
              </w:rPr>
            </w:pPr>
            <w:r w:rsidRPr="00765233">
              <w:rPr>
                <w:sz w:val="18"/>
                <w:szCs w:val="18"/>
              </w:rPr>
              <w:t>40%</w:t>
            </w:r>
          </w:p>
        </w:tc>
        <w:tc>
          <w:tcPr>
            <w:tcW w:w="989" w:type="dxa"/>
            <w:vAlign w:val="center"/>
          </w:tcPr>
          <w:p w:rsidR="00C7418E" w:rsidRPr="00765233" w:rsidRDefault="00C7418E" w:rsidP="00765233">
            <w:pPr>
              <w:pStyle w:val="Sinespaciado"/>
              <w:jc w:val="center"/>
              <w:cnfStyle w:val="000000010000" w:firstRow="0" w:lastRow="0" w:firstColumn="0" w:lastColumn="0" w:oddVBand="0" w:evenVBand="0" w:oddHBand="0" w:evenHBand="1" w:firstRowFirstColumn="0" w:firstRowLastColumn="0" w:lastRowFirstColumn="0" w:lastRowLastColumn="0"/>
              <w:rPr>
                <w:sz w:val="18"/>
                <w:szCs w:val="18"/>
              </w:rPr>
            </w:pPr>
            <w:r w:rsidRPr="00765233">
              <w:rPr>
                <w:sz w:val="18"/>
                <w:szCs w:val="18"/>
              </w:rPr>
              <w:t>97,76%</w:t>
            </w:r>
          </w:p>
        </w:tc>
        <w:tc>
          <w:tcPr>
            <w:tcW w:w="1055" w:type="dxa"/>
            <w:vAlign w:val="center"/>
          </w:tcPr>
          <w:p w:rsidR="00C7418E" w:rsidRPr="00765233" w:rsidRDefault="00C7418E" w:rsidP="00765233">
            <w:pPr>
              <w:pStyle w:val="Sinespaciado"/>
              <w:jc w:val="center"/>
              <w:cnfStyle w:val="000000010000" w:firstRow="0" w:lastRow="0" w:firstColumn="0" w:lastColumn="0" w:oddVBand="0" w:evenVBand="0" w:oddHBand="0" w:evenHBand="1" w:firstRowFirstColumn="0" w:firstRowLastColumn="0" w:lastRowFirstColumn="0" w:lastRowLastColumn="0"/>
              <w:rPr>
                <w:rFonts w:cs="Calibri"/>
                <w:color w:val="000000"/>
                <w:sz w:val="18"/>
                <w:szCs w:val="18"/>
              </w:rPr>
            </w:pPr>
            <w:r w:rsidRPr="00765233">
              <w:rPr>
                <w:rFonts w:cs="Calibri"/>
                <w:color w:val="000000"/>
                <w:sz w:val="18"/>
                <w:szCs w:val="18"/>
              </w:rPr>
              <w:t>100%</w:t>
            </w:r>
          </w:p>
        </w:tc>
      </w:tr>
      <w:tr w:rsidR="00C7418E" w:rsidRPr="00765233" w:rsidTr="00C7418E">
        <w:trPr>
          <w:cnfStyle w:val="000000100000" w:firstRow="0" w:lastRow="0" w:firstColumn="0" w:lastColumn="0" w:oddVBand="0" w:evenVBand="0" w:oddHBand="1" w:evenHBand="0" w:firstRowFirstColumn="0" w:firstRowLastColumn="0" w:lastRowFirstColumn="0" w:lastRowLastColumn="0"/>
          <w:trHeight w:val="396"/>
          <w:jc w:val="center"/>
        </w:trPr>
        <w:tc>
          <w:tcPr>
            <w:cnfStyle w:val="001000000000" w:firstRow="0" w:lastRow="0" w:firstColumn="1" w:lastColumn="0" w:oddVBand="0" w:evenVBand="0" w:oddHBand="0" w:evenHBand="0" w:firstRowFirstColumn="0" w:firstRowLastColumn="0" w:lastRowFirstColumn="0" w:lastRowLastColumn="0"/>
            <w:tcW w:w="5250" w:type="dxa"/>
            <w:gridSpan w:val="3"/>
            <w:vAlign w:val="center"/>
          </w:tcPr>
          <w:p w:rsidR="00C7418E" w:rsidRPr="00765233" w:rsidRDefault="00C7418E" w:rsidP="00765233">
            <w:pPr>
              <w:pStyle w:val="Sinespaciado"/>
              <w:jc w:val="center"/>
              <w:rPr>
                <w:bCs w:val="0"/>
                <w:sz w:val="18"/>
                <w:szCs w:val="18"/>
              </w:rPr>
            </w:pPr>
            <w:r w:rsidRPr="00765233">
              <w:rPr>
                <w:bCs w:val="0"/>
                <w:sz w:val="18"/>
                <w:szCs w:val="18"/>
              </w:rPr>
              <w:t>Factores Asociados a la Calidad de vida</w:t>
            </w:r>
          </w:p>
        </w:tc>
        <w:tc>
          <w:tcPr>
            <w:tcW w:w="2723" w:type="dxa"/>
            <w:gridSpan w:val="3"/>
            <w:vAlign w:val="center"/>
          </w:tcPr>
          <w:p w:rsidR="00C7418E" w:rsidRPr="00765233" w:rsidRDefault="00FD3425" w:rsidP="00FD3425">
            <w:pPr>
              <w:pStyle w:val="Sinespaciado"/>
              <w:jc w:val="center"/>
              <w:cnfStyle w:val="000000100000" w:firstRow="0" w:lastRow="0" w:firstColumn="0" w:lastColumn="0" w:oddVBand="0" w:evenVBand="0" w:oddHBand="1" w:evenHBand="0" w:firstRowFirstColumn="0" w:firstRowLastColumn="0" w:lastRowFirstColumn="0" w:lastRowLastColumn="0"/>
              <w:rPr>
                <w:b/>
                <w:sz w:val="18"/>
                <w:szCs w:val="18"/>
              </w:rPr>
            </w:pPr>
            <w:r>
              <w:rPr>
                <w:b/>
                <w:sz w:val="18"/>
                <w:szCs w:val="18"/>
              </w:rPr>
              <w:t>95</w:t>
            </w:r>
            <w:r w:rsidR="00C7418E" w:rsidRPr="00765233">
              <w:rPr>
                <w:b/>
                <w:sz w:val="18"/>
                <w:szCs w:val="18"/>
              </w:rPr>
              <w:t>,</w:t>
            </w:r>
            <w:r>
              <w:rPr>
                <w:b/>
                <w:sz w:val="18"/>
                <w:szCs w:val="18"/>
              </w:rPr>
              <w:t>14</w:t>
            </w:r>
            <w:r w:rsidR="00C7418E" w:rsidRPr="00765233">
              <w:rPr>
                <w:b/>
                <w:sz w:val="18"/>
                <w:szCs w:val="18"/>
              </w:rPr>
              <w:t>%</w:t>
            </w:r>
          </w:p>
        </w:tc>
      </w:tr>
    </w:tbl>
    <w:p w:rsidR="00C7418E" w:rsidRPr="00354DFA" w:rsidRDefault="00C7418E" w:rsidP="00765233">
      <w:pPr>
        <w:spacing w:after="0"/>
        <w:jc w:val="center"/>
        <w:rPr>
          <w:b/>
          <w:i/>
          <w:sz w:val="20"/>
          <w:szCs w:val="20"/>
        </w:rPr>
      </w:pPr>
      <w:r w:rsidRPr="00765233">
        <w:rPr>
          <w:b/>
          <w:i/>
          <w:sz w:val="20"/>
          <w:szCs w:val="20"/>
        </w:rPr>
        <w:t>Fuente: SIGOB</w:t>
      </w:r>
    </w:p>
    <w:p w:rsidR="00C7418E" w:rsidRDefault="00C7418E" w:rsidP="00C7418E">
      <w:pPr>
        <w:rPr>
          <w:color w:val="000000" w:themeColor="text1"/>
        </w:rPr>
      </w:pPr>
    </w:p>
    <w:p w:rsidR="00C7418E" w:rsidRDefault="00C7418E" w:rsidP="00C7418E">
      <w:r>
        <w:t>En los subcapítulos siguientes se muestran los resultados más relevantes del Objetivo de Bienestar Institucional.</w:t>
      </w:r>
    </w:p>
    <w:p w:rsidR="00C7418E" w:rsidRDefault="00C7418E" w:rsidP="00C7418E"/>
    <w:p w:rsidR="00C7418E" w:rsidRPr="00BA7A67" w:rsidRDefault="00CC2189" w:rsidP="00DC6FE3">
      <w:pPr>
        <w:pStyle w:val="Ttulo3"/>
      </w:pPr>
      <w:bookmarkStart w:id="123" w:name="_Toc354671343"/>
      <w:r w:rsidRPr="00BA7A67">
        <w:rPr>
          <w:caps w:val="0"/>
        </w:rPr>
        <w:t>Formación Integral</w:t>
      </w:r>
      <w:bookmarkEnd w:id="123"/>
    </w:p>
    <w:p w:rsidR="00C7418E" w:rsidRDefault="00C7418E" w:rsidP="00C7418E"/>
    <w:p w:rsidR="00C7418E" w:rsidRPr="0097471F" w:rsidRDefault="00C7418E" w:rsidP="00C7418E">
      <w:r w:rsidRPr="0097471F">
        <w:t>Desarrolla estrategias formativas enfocadas a la Responsabilidad Social Universitaria, desde diversas acciones que la componen, promoviendo la participación de la comunidad universitaria. Estas acciones están conformadas por: la cátedra de responsabilidad social,  la formación deportiva y uso del tiempo libre, la formación en expresión artística y cultural, la formación ambiental y la ejecución de programas de ética y moral para el desarrollo de competencias.</w:t>
      </w:r>
    </w:p>
    <w:p w:rsidR="00C7418E" w:rsidRPr="0097471F" w:rsidRDefault="00C7418E" w:rsidP="00C7418E">
      <w:r w:rsidRPr="0097471F">
        <w:t xml:space="preserve">El componente de Formación integral para el periodo 2012 contó con una participación de </w:t>
      </w:r>
      <w:r w:rsidRPr="0097471F">
        <w:rPr>
          <w:b/>
        </w:rPr>
        <w:t>19.987 personas</w:t>
      </w:r>
      <w:r w:rsidRPr="0097471F">
        <w:t xml:space="preserve">, con un total de </w:t>
      </w:r>
      <w:r w:rsidRPr="0097471F">
        <w:rPr>
          <w:b/>
        </w:rPr>
        <w:t>79.406 participaciones</w:t>
      </w:r>
      <w:r w:rsidRPr="0097471F">
        <w:t>, entre actividades de formación para el desarrollo humano (</w:t>
      </w:r>
      <w:r w:rsidRPr="0097471F">
        <w:rPr>
          <w:b/>
        </w:rPr>
        <w:t>12.879 participaciones</w:t>
      </w:r>
      <w:r w:rsidRPr="0097471F">
        <w:t>), formación deportiva y uso del tiempo libre (</w:t>
      </w:r>
      <w:r w:rsidRPr="0097471F">
        <w:rPr>
          <w:b/>
        </w:rPr>
        <w:t>59.821 participaciones</w:t>
      </w:r>
      <w:r w:rsidRPr="0097471F">
        <w:t>), formación artística y cultural (</w:t>
      </w:r>
      <w:r w:rsidRPr="0097471F">
        <w:rPr>
          <w:b/>
        </w:rPr>
        <w:t>2.206 participaciones</w:t>
      </w:r>
      <w:r w:rsidRPr="0097471F">
        <w:t>) y formación en responsabilidad social (</w:t>
      </w:r>
      <w:r w:rsidRPr="0097471F">
        <w:rPr>
          <w:b/>
        </w:rPr>
        <w:t>4.500 participaciones</w:t>
      </w:r>
      <w:r w:rsidRPr="0097471F">
        <w:t>).</w:t>
      </w:r>
    </w:p>
    <w:p w:rsidR="00C7418E" w:rsidRPr="0097471F" w:rsidRDefault="00C7418E" w:rsidP="00C7418E">
      <w:r w:rsidRPr="0097471F">
        <w:t>A continuación se describen los resultados de cada un</w:t>
      </w:r>
      <w:r w:rsidR="00DC6FE3" w:rsidRPr="0097471F">
        <w:t>a</w:t>
      </w:r>
      <w:r w:rsidRPr="0097471F">
        <w:t xml:space="preserve"> de las actividades de este componente.</w:t>
      </w:r>
    </w:p>
    <w:p w:rsidR="00C7418E" w:rsidRPr="00BA7A67" w:rsidRDefault="00C7418E" w:rsidP="00C7418E">
      <w:pPr>
        <w:rPr>
          <w:sz w:val="24"/>
          <w:szCs w:val="24"/>
        </w:rPr>
      </w:pPr>
    </w:p>
    <w:p w:rsidR="00C7418E" w:rsidRPr="00BA7A67" w:rsidRDefault="00C7418E" w:rsidP="00DC6FE3">
      <w:pPr>
        <w:pStyle w:val="Ttulo4"/>
        <w:rPr>
          <w:rFonts w:eastAsiaTheme="minorHAnsi"/>
        </w:rPr>
      </w:pPr>
      <w:r w:rsidRPr="00BA7A67">
        <w:rPr>
          <w:rFonts w:eastAsiaTheme="minorHAnsi"/>
        </w:rPr>
        <w:t>Formación para el Desarrollo Humano</w:t>
      </w:r>
    </w:p>
    <w:p w:rsidR="00C7418E" w:rsidRDefault="00C7418E" w:rsidP="00C7418E"/>
    <w:p w:rsidR="00C7418E" w:rsidRPr="0097471F" w:rsidRDefault="00C7418E" w:rsidP="0097471F">
      <w:r w:rsidRPr="0097471F">
        <w:t xml:space="preserve">Busca brindar herramientas que ayudan al desarrollo integral del ser humano, y su interacción con todos los espacios de la vida, no solo en su ámbito académico sino también en el ámbito familiar, </w:t>
      </w:r>
      <w:r w:rsidRPr="0097471F">
        <w:lastRenderedPageBreak/>
        <w:t>social y laboral; todo esto lo logra por medio del programa de entornos saludables, en donde se realizan actividades encaminadas a la sexualidad responsable, psicoactivos y género.</w:t>
      </w:r>
    </w:p>
    <w:p w:rsidR="00C7418E" w:rsidRPr="0097471F" w:rsidRDefault="00C7418E" w:rsidP="0097471F">
      <w:r w:rsidRPr="0097471F">
        <w:t xml:space="preserve">En las actividades de Formación Integral para el Desarrollo Humano se contó con un total de </w:t>
      </w:r>
      <w:r w:rsidRPr="0097471F">
        <w:rPr>
          <w:b/>
        </w:rPr>
        <w:t>12.879</w:t>
      </w:r>
      <w:r w:rsidRPr="0097471F">
        <w:t xml:space="preserve"> participaciones durante el año </w:t>
      </w:r>
      <w:r w:rsidRPr="0097471F">
        <w:rPr>
          <w:b/>
        </w:rPr>
        <w:t>2012</w:t>
      </w:r>
      <w:r w:rsidRPr="0097471F">
        <w:t>, estas actividades se desagregan en la actividad del día de la familia y actividades en formación para el desarrollo humano.</w:t>
      </w:r>
    </w:p>
    <w:p w:rsidR="00C7418E" w:rsidRPr="0097471F" w:rsidRDefault="00C7418E" w:rsidP="0097471F">
      <w:r w:rsidRPr="0097471F">
        <w:t>Dentro de las actividades más importantes que desarrolla el componente de formación integral están:</w:t>
      </w:r>
    </w:p>
    <w:p w:rsidR="00C7418E" w:rsidRPr="0097471F" w:rsidRDefault="00C7418E" w:rsidP="008475EC">
      <w:pPr>
        <w:pStyle w:val="Prrafodelista"/>
        <w:numPr>
          <w:ilvl w:val="0"/>
          <w:numId w:val="46"/>
        </w:numPr>
        <w:spacing w:after="200" w:line="276" w:lineRule="auto"/>
      </w:pPr>
      <w:r w:rsidRPr="0097471F">
        <w:t>La participación activa con el taller de prácticas universitarias en donde se manejan temas con los estudiantes que les sirven para tener un mejor desempeño laboral, tales como: Orientación profesional, Pruebas de entrevistas, taller de hoja de vida y cambio de rol.</w:t>
      </w:r>
    </w:p>
    <w:p w:rsidR="00C7418E" w:rsidRPr="0097471F" w:rsidRDefault="00C7418E" w:rsidP="008475EC">
      <w:pPr>
        <w:pStyle w:val="Prrafodelista"/>
        <w:numPr>
          <w:ilvl w:val="0"/>
          <w:numId w:val="46"/>
        </w:numPr>
        <w:spacing w:after="200" w:line="276" w:lineRule="auto"/>
      </w:pPr>
      <w:r w:rsidRPr="0097471F">
        <w:t>Participación de todas las actividades para la semana de adaptación a la vida universitaria.</w:t>
      </w:r>
    </w:p>
    <w:p w:rsidR="00C7418E" w:rsidRPr="0097471F" w:rsidRDefault="00C7418E" w:rsidP="008475EC">
      <w:pPr>
        <w:pStyle w:val="Prrafodelista"/>
        <w:numPr>
          <w:ilvl w:val="0"/>
          <w:numId w:val="46"/>
        </w:numPr>
        <w:spacing w:after="200" w:line="276" w:lineRule="auto"/>
      </w:pPr>
      <w:r w:rsidRPr="0097471F">
        <w:t>La implementación de la estrategia ZOU (Zonas de Orientación Universitaria) para la prevención y mitigación del uso de sustancias psicoactivas.</w:t>
      </w:r>
    </w:p>
    <w:p w:rsidR="00C7418E" w:rsidRPr="0097471F" w:rsidRDefault="00C7418E" w:rsidP="008475EC">
      <w:pPr>
        <w:pStyle w:val="Prrafodelista"/>
        <w:numPr>
          <w:ilvl w:val="0"/>
          <w:numId w:val="46"/>
        </w:numPr>
        <w:spacing w:after="200" w:line="276" w:lineRule="auto"/>
      </w:pPr>
      <w:r w:rsidRPr="0097471F">
        <w:t>Acompañamiento integral a la comunidad universitaria en condición de discapacidad, se les apoya con el proceso de matrícula, cuadre de horario y asignación de tutores e intérpretes, seguimiento permanente para que asistan a clases, adaptación curricular con el docente  y asignación de los apoyos socioeconómicos según el grado de vulnerabilidad.</w:t>
      </w:r>
    </w:p>
    <w:p w:rsidR="00C7418E" w:rsidRPr="0097471F" w:rsidRDefault="00C7418E" w:rsidP="00C7418E">
      <w:pPr>
        <w:pStyle w:val="Prrafodelista"/>
        <w:tabs>
          <w:tab w:val="left" w:pos="284"/>
        </w:tabs>
        <w:ind w:left="0"/>
      </w:pPr>
    </w:p>
    <w:p w:rsidR="00C7418E" w:rsidRPr="0097471F" w:rsidRDefault="00C7418E" w:rsidP="00C7418E">
      <w:r w:rsidRPr="0097471F">
        <w:t xml:space="preserve">En el año 2012 se brindó acompañamiento a </w:t>
      </w:r>
      <w:r w:rsidRPr="0097471F">
        <w:rPr>
          <w:b/>
        </w:rPr>
        <w:t>1</w:t>
      </w:r>
      <w:r w:rsidR="000C5B25">
        <w:rPr>
          <w:b/>
        </w:rPr>
        <w:t>3</w:t>
      </w:r>
      <w:r w:rsidRPr="0097471F">
        <w:t xml:space="preserve"> personas con discapacidad visual, </w:t>
      </w:r>
      <w:r w:rsidRPr="0097471F">
        <w:rPr>
          <w:b/>
        </w:rPr>
        <w:t>9</w:t>
      </w:r>
      <w:r w:rsidRPr="0097471F">
        <w:t xml:space="preserve"> con discapacidad auditiva y </w:t>
      </w:r>
      <w:r w:rsidRPr="0097471F">
        <w:rPr>
          <w:b/>
        </w:rPr>
        <w:t>4</w:t>
      </w:r>
      <w:r w:rsidRPr="0097471F">
        <w:t xml:space="preserve"> con discapacidad cognitiva.</w:t>
      </w:r>
    </w:p>
    <w:p w:rsidR="00C7418E" w:rsidRPr="00BA7A67" w:rsidRDefault="00C7418E" w:rsidP="00C7418E">
      <w:pPr>
        <w:pStyle w:val="Prrafodelista"/>
        <w:tabs>
          <w:tab w:val="left" w:pos="284"/>
        </w:tabs>
        <w:ind w:left="708"/>
        <w:rPr>
          <w:sz w:val="24"/>
          <w:szCs w:val="24"/>
        </w:rPr>
      </w:pPr>
    </w:p>
    <w:p w:rsidR="00C7418E" w:rsidRPr="00BA7A67" w:rsidRDefault="00C7418E" w:rsidP="00DC6FE3">
      <w:pPr>
        <w:pStyle w:val="Ttulo4"/>
        <w:rPr>
          <w:rFonts w:eastAsiaTheme="minorHAnsi"/>
        </w:rPr>
      </w:pPr>
      <w:r w:rsidRPr="00BA7A67">
        <w:rPr>
          <w:rFonts w:eastAsiaTheme="minorHAnsi"/>
        </w:rPr>
        <w:t>Formación Deportiva y Uso del Tiempo Libre</w:t>
      </w:r>
    </w:p>
    <w:p w:rsidR="00C7418E" w:rsidRDefault="00C7418E" w:rsidP="00C7418E"/>
    <w:p w:rsidR="00C7418E" w:rsidRPr="0097471F" w:rsidRDefault="00C7418E" w:rsidP="0097471F">
      <w:r w:rsidRPr="0097471F">
        <w:t>Espacios para el desarrollo del ser humano mediante la formación deportiva desde el deporte académico, recreativo y competitivo  y el uso del tiempo libre.</w:t>
      </w:r>
    </w:p>
    <w:p w:rsidR="00C7418E" w:rsidRPr="0097471F" w:rsidRDefault="00C7418E" w:rsidP="0097471F">
      <w:r w:rsidRPr="0097471F">
        <w:t xml:space="preserve">El Indicador de Formación Deportiva y uso de tiempo libre tuvo un acumulado </w:t>
      </w:r>
      <w:r w:rsidRPr="0097471F">
        <w:rPr>
          <w:b/>
        </w:rPr>
        <w:t>59.821</w:t>
      </w:r>
      <w:r w:rsidRPr="0097471F">
        <w:t xml:space="preserve"> participaciones y </w:t>
      </w:r>
      <w:r w:rsidRPr="0097471F">
        <w:rPr>
          <w:b/>
        </w:rPr>
        <w:t>4.431</w:t>
      </w:r>
      <w:r w:rsidRPr="0097471F">
        <w:t xml:space="preserve"> participantes, en los programas</w:t>
      </w:r>
      <w:r w:rsidR="0097471F">
        <w:t xml:space="preserve"> de </w:t>
      </w:r>
      <w:r w:rsidRPr="0097471F">
        <w:t>Club de la salud</w:t>
      </w:r>
      <w:r w:rsidR="0097471F">
        <w:t xml:space="preserve">, </w:t>
      </w:r>
      <w:r w:rsidRPr="0097471F">
        <w:t>Deporte competitivo</w:t>
      </w:r>
      <w:r w:rsidR="0097471F">
        <w:t xml:space="preserve"> y </w:t>
      </w:r>
      <w:r w:rsidRPr="0097471F">
        <w:t>Deporte recreativo.</w:t>
      </w:r>
    </w:p>
    <w:p w:rsidR="00C7418E" w:rsidRPr="00BA7A67" w:rsidRDefault="00C7418E" w:rsidP="00DC6FE3">
      <w:pPr>
        <w:pStyle w:val="Ttulo4"/>
        <w:rPr>
          <w:rFonts w:eastAsiaTheme="minorHAnsi"/>
        </w:rPr>
      </w:pPr>
      <w:r w:rsidRPr="00BA7A67">
        <w:rPr>
          <w:rFonts w:eastAsiaTheme="minorHAnsi"/>
        </w:rPr>
        <w:t>Formación en Responsabilidad Social</w:t>
      </w:r>
    </w:p>
    <w:p w:rsidR="00C7418E" w:rsidRDefault="00C7418E" w:rsidP="00C7418E"/>
    <w:p w:rsidR="00C7418E" w:rsidRPr="0097471F" w:rsidRDefault="00C7418E" w:rsidP="0097471F">
      <w:pPr>
        <w:rPr>
          <w:szCs w:val="24"/>
        </w:rPr>
      </w:pPr>
      <w:r w:rsidRPr="0097471F">
        <w:rPr>
          <w:szCs w:val="24"/>
        </w:rPr>
        <w:t>En esta estrategia, se desarrollaron actividades bajo la premisa del trabajo integrado y orientado al logro de la formación en responsabilidad social desde la cátedra de responsabilidad social y los procesos formativos del servicio social estudiantil, cuyo propósito colectivo es la generación de capacidades, habilidades y destrezas para la vida profesional y social.</w:t>
      </w:r>
    </w:p>
    <w:p w:rsidR="00C7418E" w:rsidRPr="0097471F" w:rsidRDefault="00C7418E" w:rsidP="0097471F">
      <w:pPr>
        <w:rPr>
          <w:szCs w:val="24"/>
        </w:rPr>
      </w:pPr>
      <w:r w:rsidRPr="0097471F">
        <w:rPr>
          <w:szCs w:val="24"/>
        </w:rPr>
        <w:t xml:space="preserve">Durante al año 2012, se contó con </w:t>
      </w:r>
      <w:r w:rsidRPr="0097471F">
        <w:rPr>
          <w:b/>
          <w:szCs w:val="24"/>
        </w:rPr>
        <w:t>4.500</w:t>
      </w:r>
      <w:r w:rsidRPr="0097471F">
        <w:rPr>
          <w:szCs w:val="24"/>
        </w:rPr>
        <w:t xml:space="preserve"> participaciones en estos procesos, en </w:t>
      </w:r>
      <w:r w:rsidRPr="0097471F">
        <w:rPr>
          <w:b/>
          <w:szCs w:val="24"/>
        </w:rPr>
        <w:t>230</w:t>
      </w:r>
      <w:r w:rsidRPr="0097471F">
        <w:rPr>
          <w:szCs w:val="24"/>
        </w:rPr>
        <w:t xml:space="preserve"> actividades realizadas, como son talleres, reuniones, encuentros académicos, foros, seminarios, cursos, diplomado, campañas, recorridos guiados y formulación de la política. </w:t>
      </w:r>
    </w:p>
    <w:p w:rsidR="00C7418E" w:rsidRPr="0097471F" w:rsidRDefault="00C7418E" w:rsidP="0097471F">
      <w:pPr>
        <w:rPr>
          <w:szCs w:val="24"/>
        </w:rPr>
      </w:pPr>
      <w:r w:rsidRPr="0097471F">
        <w:rPr>
          <w:szCs w:val="24"/>
        </w:rPr>
        <w:lastRenderedPageBreak/>
        <w:t xml:space="preserve">Estas </w:t>
      </w:r>
      <w:r w:rsidRPr="0097471F">
        <w:rPr>
          <w:b/>
          <w:szCs w:val="24"/>
        </w:rPr>
        <w:t>230</w:t>
      </w:r>
      <w:r w:rsidRPr="0097471F">
        <w:rPr>
          <w:szCs w:val="24"/>
        </w:rPr>
        <w:t xml:space="preserve"> actividades, se desagregan en la catedra de responsabilidad social con </w:t>
      </w:r>
      <w:r w:rsidRPr="0097471F">
        <w:rPr>
          <w:b/>
          <w:szCs w:val="24"/>
        </w:rPr>
        <w:t>138</w:t>
      </w:r>
      <w:r w:rsidRPr="0097471F">
        <w:rPr>
          <w:szCs w:val="24"/>
        </w:rPr>
        <w:t xml:space="preserve"> actividades y </w:t>
      </w:r>
      <w:r w:rsidRPr="0097471F">
        <w:rPr>
          <w:b/>
          <w:szCs w:val="24"/>
        </w:rPr>
        <w:t>3.050</w:t>
      </w:r>
      <w:r w:rsidRPr="0097471F">
        <w:rPr>
          <w:szCs w:val="24"/>
        </w:rPr>
        <w:t xml:space="preserve"> participaciones, y en actividades de formación en cultura ciudadana con </w:t>
      </w:r>
      <w:r w:rsidRPr="0097471F">
        <w:rPr>
          <w:b/>
          <w:szCs w:val="24"/>
        </w:rPr>
        <w:t>92</w:t>
      </w:r>
      <w:r w:rsidRPr="0097471F">
        <w:rPr>
          <w:szCs w:val="24"/>
        </w:rPr>
        <w:t xml:space="preserve"> actividades y </w:t>
      </w:r>
      <w:r w:rsidRPr="0097471F">
        <w:rPr>
          <w:b/>
          <w:szCs w:val="24"/>
        </w:rPr>
        <w:t>1.450</w:t>
      </w:r>
      <w:r w:rsidRPr="0097471F">
        <w:rPr>
          <w:szCs w:val="24"/>
        </w:rPr>
        <w:t xml:space="preserve"> participaciones. </w:t>
      </w:r>
    </w:p>
    <w:p w:rsidR="00C7418E" w:rsidRPr="00BA7A67" w:rsidRDefault="00C7418E" w:rsidP="00C7418E">
      <w:pPr>
        <w:ind w:left="360"/>
        <w:rPr>
          <w:sz w:val="24"/>
          <w:szCs w:val="24"/>
        </w:rPr>
      </w:pPr>
    </w:p>
    <w:p w:rsidR="00C7418E" w:rsidRPr="00BA7A67" w:rsidRDefault="00C7418E" w:rsidP="00DC6FE3">
      <w:pPr>
        <w:pStyle w:val="Ttulo4"/>
        <w:rPr>
          <w:rFonts w:eastAsiaTheme="minorHAnsi"/>
        </w:rPr>
      </w:pPr>
      <w:r w:rsidRPr="00BA7A67">
        <w:rPr>
          <w:rFonts w:eastAsiaTheme="minorHAnsi"/>
        </w:rPr>
        <w:t>Formación Artística y Cultural</w:t>
      </w:r>
    </w:p>
    <w:p w:rsidR="00C7418E" w:rsidRDefault="00C7418E" w:rsidP="00C7418E">
      <w:pPr>
        <w:rPr>
          <w:sz w:val="24"/>
          <w:szCs w:val="24"/>
        </w:rPr>
      </w:pPr>
      <w:r>
        <w:rPr>
          <w:sz w:val="24"/>
          <w:szCs w:val="24"/>
        </w:rPr>
        <w:t xml:space="preserve"> </w:t>
      </w:r>
    </w:p>
    <w:p w:rsidR="00C7418E" w:rsidRPr="0097471F" w:rsidRDefault="00C7418E" w:rsidP="0097471F">
      <w:pPr>
        <w:rPr>
          <w:szCs w:val="24"/>
        </w:rPr>
      </w:pPr>
      <w:r w:rsidRPr="0097471F">
        <w:rPr>
          <w:szCs w:val="24"/>
        </w:rPr>
        <w:t>Tiene como objetivo la formación cultural a la comunidad universitaria, además de participar en las actividades académicas que hacen parte del proceso de formación integral a través de diferentes propuestas.</w:t>
      </w:r>
    </w:p>
    <w:p w:rsidR="00C7418E" w:rsidRPr="0097471F" w:rsidRDefault="00C7418E" w:rsidP="0097471F">
      <w:pPr>
        <w:rPr>
          <w:szCs w:val="24"/>
        </w:rPr>
      </w:pPr>
      <w:r w:rsidRPr="0097471F">
        <w:rPr>
          <w:szCs w:val="24"/>
        </w:rPr>
        <w:t xml:space="preserve">Las actividades desarrolladas en esta estrategia tuvieron un total de </w:t>
      </w:r>
      <w:r w:rsidRPr="0097471F">
        <w:rPr>
          <w:b/>
          <w:szCs w:val="24"/>
        </w:rPr>
        <w:t>2.206</w:t>
      </w:r>
      <w:r w:rsidRPr="0097471F">
        <w:rPr>
          <w:szCs w:val="24"/>
        </w:rPr>
        <w:t xml:space="preserve"> participaciones durante el año 2012. Cabe resaltar que se incrementaron las actividades y eventos culturales masivos en alianza con la Facultad de Bellas Artes, Facultad de Medicina, Escuela de Música, dependencias administrativas, secretaría departamental de cultura. </w:t>
      </w:r>
    </w:p>
    <w:p w:rsidR="00C7418E" w:rsidRPr="0097471F" w:rsidRDefault="00C7418E" w:rsidP="0097471F">
      <w:pPr>
        <w:rPr>
          <w:szCs w:val="24"/>
        </w:rPr>
      </w:pPr>
      <w:r w:rsidRPr="0097471F">
        <w:rPr>
          <w:szCs w:val="24"/>
        </w:rPr>
        <w:t xml:space="preserve">Las actividades más relevantes </w:t>
      </w:r>
      <w:r w:rsidR="00DC6FE3" w:rsidRPr="0097471F">
        <w:rPr>
          <w:szCs w:val="24"/>
        </w:rPr>
        <w:t>d</w:t>
      </w:r>
      <w:r w:rsidRPr="0097471F">
        <w:rPr>
          <w:szCs w:val="24"/>
        </w:rPr>
        <w:t>e esta estrategia son las siguientes:</w:t>
      </w:r>
    </w:p>
    <w:p w:rsidR="00C7418E" w:rsidRPr="0097471F" w:rsidRDefault="00C7418E" w:rsidP="008475EC">
      <w:pPr>
        <w:pStyle w:val="Prrafodelista"/>
        <w:numPr>
          <w:ilvl w:val="0"/>
          <w:numId w:val="47"/>
        </w:numPr>
        <w:spacing w:after="200" w:line="276" w:lineRule="auto"/>
      </w:pPr>
      <w:r w:rsidRPr="0097471F">
        <w:t xml:space="preserve">Formación cultural a través de cursos libres, dentro de las actividades más importantes están: Yoga, Tango y Milonga, guitarra popular y técnica vocal, baile moderno, danza folclórica  y </w:t>
      </w:r>
      <w:proofErr w:type="spellStart"/>
      <w:r w:rsidRPr="0097471F">
        <w:t>capoeira</w:t>
      </w:r>
      <w:proofErr w:type="spellEnd"/>
      <w:r w:rsidRPr="0097471F">
        <w:t xml:space="preserve">. </w:t>
      </w:r>
    </w:p>
    <w:p w:rsidR="00C7418E" w:rsidRPr="0097471F" w:rsidRDefault="00C7418E" w:rsidP="008475EC">
      <w:pPr>
        <w:pStyle w:val="Prrafodelista"/>
        <w:numPr>
          <w:ilvl w:val="0"/>
          <w:numId w:val="47"/>
        </w:numPr>
        <w:spacing w:after="200" w:line="276" w:lineRule="auto"/>
      </w:pPr>
      <w:r w:rsidRPr="0097471F">
        <w:t>Formación cultural permanente por medio de dos cineclubes por semana, la actividad de foro salsa el último viernes de cada mes, un concierto mensual en conjunto con la facultad de bellas artes y todo el apoyo a la actividad de la semana de adaptación  a la vida universitaria.</w:t>
      </w:r>
    </w:p>
    <w:p w:rsidR="00C7418E" w:rsidRPr="0097471F" w:rsidRDefault="00C7418E" w:rsidP="008475EC">
      <w:pPr>
        <w:pStyle w:val="Prrafodelista"/>
        <w:numPr>
          <w:ilvl w:val="0"/>
          <w:numId w:val="47"/>
        </w:numPr>
        <w:spacing w:after="200" w:line="276" w:lineRule="auto"/>
      </w:pPr>
      <w:r w:rsidRPr="0097471F">
        <w:t>Apoyo a toda la comunidad universitaria en sus diferentes propuestas artísticas y culturales.</w:t>
      </w:r>
    </w:p>
    <w:p w:rsidR="00C7418E" w:rsidRPr="0097471F" w:rsidRDefault="00C7418E" w:rsidP="00C7418E">
      <w:r w:rsidRPr="0097471F">
        <w:t xml:space="preserve">Participación del grupo </w:t>
      </w:r>
      <w:proofErr w:type="spellStart"/>
      <w:r w:rsidRPr="0097471F">
        <w:t>trietnias</w:t>
      </w:r>
      <w:proofErr w:type="spellEnd"/>
      <w:r w:rsidRPr="0097471F">
        <w:t xml:space="preserve"> en diferentes concursos y eventos a nivel nacional, dejando en alto el nombre de la universidad, el grupo </w:t>
      </w:r>
      <w:proofErr w:type="spellStart"/>
      <w:r w:rsidRPr="0097471F">
        <w:t>trietnias</w:t>
      </w:r>
      <w:proofErr w:type="spellEnd"/>
      <w:r w:rsidRPr="0097471F">
        <w:t xml:space="preserve"> es el referente cultural más importante de  la universidad destacándose por sus logros, en el 2012 ganaron el concurso nacional de danza folclórica universitaria, patrocinada por el ministerio de cultura y realizado en la Universidad francisco de Paula Santander en Ocaña, Norte de Santander, destacándose como mejor grupo, mejor trabajo de investigación y mejor grupo musical.</w:t>
      </w:r>
    </w:p>
    <w:p w:rsidR="00C7418E" w:rsidRDefault="00C7418E" w:rsidP="00C7418E">
      <w:pPr>
        <w:rPr>
          <w:sz w:val="24"/>
          <w:szCs w:val="24"/>
        </w:rPr>
      </w:pPr>
    </w:p>
    <w:p w:rsidR="00C7418E" w:rsidRDefault="00CC2189" w:rsidP="00DC6FE3">
      <w:pPr>
        <w:pStyle w:val="Ttulo3"/>
      </w:pPr>
      <w:bookmarkStart w:id="124" w:name="_Toc354671344"/>
      <w:r w:rsidRPr="0033697D">
        <w:rPr>
          <w:caps w:val="0"/>
        </w:rPr>
        <w:t>Salud Integral</w:t>
      </w:r>
      <w:bookmarkEnd w:id="124"/>
    </w:p>
    <w:p w:rsidR="00C7418E" w:rsidRPr="0033697D" w:rsidRDefault="00C7418E" w:rsidP="00C7418E">
      <w:pPr>
        <w:rPr>
          <w:rFonts w:eastAsiaTheme="majorEastAsia" w:cstheme="majorBidi"/>
          <w:b/>
          <w:bCs/>
          <w:color w:val="4F81BD" w:themeColor="accent1"/>
          <w:sz w:val="24"/>
          <w:szCs w:val="24"/>
        </w:rPr>
      </w:pPr>
    </w:p>
    <w:p w:rsidR="00C7418E" w:rsidRPr="0097471F" w:rsidRDefault="00C7418E" w:rsidP="00C7418E">
      <w:r w:rsidRPr="0097471F">
        <w:t>La promoción de la salud integral es un aspecto relevante en el mejoramiento de la calidad de vida universitaria, a partir de estrategias para la promoción de estilos de vida saludable y la atención permanente en las diferentes áreas de la salud como componente importante de la disminución en el riesgo y otras causas de enfermedad mayores. Desde esta dependencia la formación, la gestión y el trabajo colaborativo con otras instituciones y en red fueron aspectos que dinamizaron el componente de salud integral.</w:t>
      </w:r>
    </w:p>
    <w:p w:rsidR="00C7418E" w:rsidRPr="0097471F" w:rsidRDefault="00C7418E" w:rsidP="00C7418E">
      <w:pPr>
        <w:rPr>
          <w:rFonts w:cs="Perpetua"/>
        </w:rPr>
      </w:pPr>
      <w:r w:rsidRPr="0097471F">
        <w:rPr>
          <w:rFonts w:cs="Perpetua"/>
        </w:rPr>
        <w:lastRenderedPageBreak/>
        <w:t>Desde la Vicerrectoría de Responsabilidad Social y Bienestar Universitario se trabaja en conjunto por la formación, la gestión y el trabajo colaborativo entre instituciones y en red, lo cual ha sido  un aspecto importante que ha permitido la dinamización del componente de salud integral.</w:t>
      </w:r>
    </w:p>
    <w:p w:rsidR="00C7418E" w:rsidRPr="0097471F" w:rsidRDefault="00C7418E" w:rsidP="00C7418E">
      <w:pPr>
        <w:pStyle w:val="Default"/>
        <w:jc w:val="both"/>
        <w:rPr>
          <w:rFonts w:asciiTheme="minorHAnsi" w:hAnsiTheme="minorHAnsi" w:cs="Perpetua"/>
          <w:color w:val="auto"/>
          <w:sz w:val="22"/>
          <w:szCs w:val="22"/>
        </w:rPr>
      </w:pPr>
      <w:r w:rsidRPr="0097471F">
        <w:rPr>
          <w:rFonts w:asciiTheme="minorHAnsi" w:hAnsiTheme="minorHAnsi" w:cs="Perpetua"/>
          <w:color w:val="auto"/>
          <w:sz w:val="22"/>
          <w:szCs w:val="22"/>
        </w:rPr>
        <w:t xml:space="preserve">En el año </w:t>
      </w:r>
      <w:r w:rsidRPr="0097471F">
        <w:rPr>
          <w:rFonts w:asciiTheme="minorHAnsi" w:hAnsiTheme="minorHAnsi" w:cs="Perpetua"/>
          <w:b/>
          <w:color w:val="auto"/>
          <w:sz w:val="22"/>
          <w:szCs w:val="22"/>
        </w:rPr>
        <w:t>2012</w:t>
      </w:r>
      <w:r w:rsidRPr="0097471F">
        <w:rPr>
          <w:rFonts w:asciiTheme="minorHAnsi" w:hAnsiTheme="minorHAnsi" w:cs="Perpetua"/>
          <w:color w:val="auto"/>
          <w:sz w:val="22"/>
          <w:szCs w:val="22"/>
        </w:rPr>
        <w:t xml:space="preserve"> el componente de Salud Integral, contó con un total de </w:t>
      </w:r>
      <w:r w:rsidRPr="0097471F">
        <w:rPr>
          <w:rFonts w:asciiTheme="minorHAnsi" w:hAnsiTheme="minorHAnsi" w:cs="Perpetua"/>
          <w:b/>
          <w:color w:val="auto"/>
          <w:sz w:val="22"/>
          <w:szCs w:val="22"/>
        </w:rPr>
        <w:t>17.176</w:t>
      </w:r>
      <w:r w:rsidRPr="0097471F">
        <w:rPr>
          <w:rFonts w:asciiTheme="minorHAnsi" w:hAnsiTheme="minorHAnsi" w:cs="Perpetua"/>
          <w:color w:val="auto"/>
          <w:sz w:val="22"/>
          <w:szCs w:val="22"/>
        </w:rPr>
        <w:t xml:space="preserve"> participaciones, a través de su indicador “Participaciones en acciones de promoción de la vida saludable y el enfoque de género”, el cual se logra con el avance de los siguientes programas.</w:t>
      </w:r>
    </w:p>
    <w:p w:rsidR="00C7418E" w:rsidRPr="0033697D" w:rsidRDefault="00C7418E" w:rsidP="00C7418E">
      <w:pPr>
        <w:pStyle w:val="Default"/>
        <w:jc w:val="both"/>
        <w:rPr>
          <w:rFonts w:asciiTheme="minorHAnsi" w:hAnsiTheme="minorHAnsi" w:cs="Perpetua"/>
          <w:color w:val="auto"/>
        </w:rPr>
      </w:pPr>
    </w:p>
    <w:p w:rsidR="00C7418E" w:rsidRPr="0033697D" w:rsidRDefault="00C7418E" w:rsidP="00C7418E">
      <w:pPr>
        <w:pStyle w:val="Default"/>
        <w:jc w:val="both"/>
        <w:rPr>
          <w:rFonts w:asciiTheme="minorHAnsi" w:hAnsiTheme="minorHAnsi" w:cs="Perpetua"/>
          <w:color w:val="auto"/>
        </w:rPr>
      </w:pPr>
    </w:p>
    <w:tbl>
      <w:tblPr>
        <w:tblStyle w:val="Cuadrculaclara-nfasis1"/>
        <w:tblW w:w="5158" w:type="dxa"/>
        <w:jc w:val="center"/>
        <w:tblLook w:val="04A0" w:firstRow="1" w:lastRow="0" w:firstColumn="1" w:lastColumn="0" w:noHBand="0" w:noVBand="1"/>
      </w:tblPr>
      <w:tblGrid>
        <w:gridCol w:w="3497"/>
        <w:gridCol w:w="1661"/>
      </w:tblGrid>
      <w:tr w:rsidR="00DC6FE3" w:rsidRPr="00DC6FE3" w:rsidTr="00DC6FE3">
        <w:trPr>
          <w:cnfStyle w:val="100000000000" w:firstRow="1" w:lastRow="0" w:firstColumn="0" w:lastColumn="0" w:oddVBand="0" w:evenVBand="0" w:oddHBand="0" w:evenHBand="0" w:firstRowFirstColumn="0" w:firstRowLastColumn="0" w:lastRowFirstColumn="0" w:lastRowLastColumn="0"/>
          <w:trHeight w:val="60"/>
          <w:jc w:val="center"/>
        </w:trPr>
        <w:tc>
          <w:tcPr>
            <w:cnfStyle w:val="001000000000" w:firstRow="0" w:lastRow="0" w:firstColumn="1" w:lastColumn="0" w:oddVBand="0" w:evenVBand="0" w:oddHBand="0" w:evenHBand="0" w:firstRowFirstColumn="0" w:firstRowLastColumn="0" w:lastRowFirstColumn="0" w:lastRowLastColumn="0"/>
            <w:tcW w:w="3497" w:type="dxa"/>
            <w:hideMark/>
          </w:tcPr>
          <w:p w:rsidR="00C7418E" w:rsidRPr="00DC6FE3" w:rsidRDefault="00C7418E" w:rsidP="00C7418E">
            <w:pPr>
              <w:spacing w:after="0"/>
              <w:jc w:val="center"/>
              <w:rPr>
                <w:rFonts w:eastAsia="Times New Roman"/>
                <w:bCs w:val="0"/>
                <w:sz w:val="18"/>
                <w:szCs w:val="18"/>
                <w:lang w:eastAsia="es-CO"/>
              </w:rPr>
            </w:pPr>
            <w:r w:rsidRPr="00DC6FE3">
              <w:rPr>
                <w:rFonts w:eastAsia="Times New Roman"/>
                <w:bCs w:val="0"/>
                <w:sz w:val="18"/>
                <w:szCs w:val="18"/>
                <w:lang w:eastAsia="es-CO"/>
              </w:rPr>
              <w:t>PROGRAMA</w:t>
            </w:r>
          </w:p>
        </w:tc>
        <w:tc>
          <w:tcPr>
            <w:tcW w:w="1661" w:type="dxa"/>
            <w:hideMark/>
          </w:tcPr>
          <w:p w:rsidR="00C7418E" w:rsidRPr="00DC6FE3" w:rsidRDefault="00C7418E" w:rsidP="00C7418E">
            <w:pPr>
              <w:spacing w:after="0"/>
              <w:jc w:val="center"/>
              <w:cnfStyle w:val="100000000000" w:firstRow="1" w:lastRow="0" w:firstColumn="0" w:lastColumn="0" w:oddVBand="0" w:evenVBand="0" w:oddHBand="0" w:evenHBand="0" w:firstRowFirstColumn="0" w:firstRowLastColumn="0" w:lastRowFirstColumn="0" w:lastRowLastColumn="0"/>
              <w:rPr>
                <w:rFonts w:eastAsia="Times New Roman"/>
                <w:bCs w:val="0"/>
                <w:sz w:val="18"/>
                <w:szCs w:val="18"/>
                <w:lang w:eastAsia="es-CO"/>
              </w:rPr>
            </w:pPr>
            <w:r w:rsidRPr="00DC6FE3">
              <w:rPr>
                <w:rFonts w:eastAsia="Times New Roman"/>
                <w:bCs w:val="0"/>
                <w:sz w:val="18"/>
                <w:szCs w:val="18"/>
                <w:lang w:eastAsia="es-CO"/>
              </w:rPr>
              <w:t>RESULTADOS 2012</w:t>
            </w:r>
          </w:p>
        </w:tc>
      </w:tr>
      <w:tr w:rsidR="00C7418E" w:rsidRPr="00DC6FE3" w:rsidTr="00DC6FE3">
        <w:trPr>
          <w:cnfStyle w:val="000000100000" w:firstRow="0" w:lastRow="0" w:firstColumn="0" w:lastColumn="0" w:oddVBand="0" w:evenVBand="0" w:oddHBand="1" w:evenHBand="0" w:firstRowFirstColumn="0" w:firstRowLastColumn="0" w:lastRowFirstColumn="0" w:lastRowLastColumn="0"/>
          <w:trHeight w:val="60"/>
          <w:jc w:val="center"/>
        </w:trPr>
        <w:tc>
          <w:tcPr>
            <w:cnfStyle w:val="001000000000" w:firstRow="0" w:lastRow="0" w:firstColumn="1" w:lastColumn="0" w:oddVBand="0" w:evenVBand="0" w:oddHBand="0" w:evenHBand="0" w:firstRowFirstColumn="0" w:firstRowLastColumn="0" w:lastRowFirstColumn="0" w:lastRowLastColumn="0"/>
            <w:tcW w:w="3497" w:type="dxa"/>
            <w:hideMark/>
          </w:tcPr>
          <w:p w:rsidR="00C7418E" w:rsidRPr="00DC6FE3" w:rsidRDefault="00C7418E" w:rsidP="00C7418E">
            <w:pPr>
              <w:spacing w:after="0"/>
              <w:rPr>
                <w:rFonts w:eastAsia="Times New Roman"/>
                <w:color w:val="000000"/>
                <w:sz w:val="18"/>
                <w:szCs w:val="18"/>
                <w:lang w:eastAsia="es-CO"/>
              </w:rPr>
            </w:pPr>
            <w:r w:rsidRPr="00DC6FE3">
              <w:rPr>
                <w:rFonts w:eastAsia="Times New Roman"/>
                <w:color w:val="000000"/>
                <w:sz w:val="18"/>
                <w:szCs w:val="18"/>
                <w:lang w:eastAsia="es-CO"/>
              </w:rPr>
              <w:t>Apoyo Integral incluyente</w:t>
            </w:r>
          </w:p>
        </w:tc>
        <w:tc>
          <w:tcPr>
            <w:tcW w:w="1661" w:type="dxa"/>
            <w:noWrap/>
            <w:hideMark/>
          </w:tcPr>
          <w:p w:rsidR="00C7418E" w:rsidRPr="00DC6FE3" w:rsidRDefault="00C7418E" w:rsidP="00C7418E">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eastAsia="es-CO"/>
              </w:rPr>
            </w:pPr>
            <w:r w:rsidRPr="00DC6FE3">
              <w:rPr>
                <w:rFonts w:eastAsia="Times New Roman"/>
                <w:color w:val="000000"/>
                <w:sz w:val="18"/>
                <w:szCs w:val="18"/>
                <w:lang w:eastAsia="es-CO"/>
              </w:rPr>
              <w:t>15.484</w:t>
            </w:r>
          </w:p>
        </w:tc>
      </w:tr>
      <w:tr w:rsidR="00C7418E" w:rsidRPr="00DC6FE3" w:rsidTr="00DC6FE3">
        <w:trPr>
          <w:cnfStyle w:val="000000010000" w:firstRow="0" w:lastRow="0" w:firstColumn="0" w:lastColumn="0" w:oddVBand="0" w:evenVBand="0" w:oddHBand="0" w:evenHBand="1" w:firstRowFirstColumn="0" w:firstRowLastColumn="0" w:lastRowFirstColumn="0" w:lastRowLastColumn="0"/>
          <w:trHeight w:val="76"/>
          <w:jc w:val="center"/>
        </w:trPr>
        <w:tc>
          <w:tcPr>
            <w:cnfStyle w:val="001000000000" w:firstRow="0" w:lastRow="0" w:firstColumn="1" w:lastColumn="0" w:oddVBand="0" w:evenVBand="0" w:oddHBand="0" w:evenHBand="0" w:firstRowFirstColumn="0" w:firstRowLastColumn="0" w:lastRowFirstColumn="0" w:lastRowLastColumn="0"/>
            <w:tcW w:w="3497" w:type="dxa"/>
            <w:hideMark/>
          </w:tcPr>
          <w:p w:rsidR="00C7418E" w:rsidRPr="00DC6FE3" w:rsidRDefault="00C7418E" w:rsidP="00C7418E">
            <w:pPr>
              <w:spacing w:after="0"/>
              <w:rPr>
                <w:rFonts w:eastAsia="Times New Roman"/>
                <w:color w:val="000000"/>
                <w:sz w:val="18"/>
                <w:szCs w:val="18"/>
                <w:lang w:eastAsia="es-CO"/>
              </w:rPr>
            </w:pPr>
            <w:r w:rsidRPr="00DC6FE3">
              <w:rPr>
                <w:rFonts w:eastAsia="Times New Roman"/>
                <w:color w:val="000000"/>
                <w:sz w:val="18"/>
                <w:szCs w:val="18"/>
                <w:lang w:eastAsia="es-CO"/>
              </w:rPr>
              <w:t>Entornos universitarios saludables</w:t>
            </w:r>
          </w:p>
        </w:tc>
        <w:tc>
          <w:tcPr>
            <w:tcW w:w="1661" w:type="dxa"/>
            <w:noWrap/>
            <w:hideMark/>
          </w:tcPr>
          <w:p w:rsidR="00C7418E" w:rsidRPr="00DC6FE3" w:rsidRDefault="00C7418E" w:rsidP="00C7418E">
            <w:pPr>
              <w:spacing w:after="0"/>
              <w:jc w:val="center"/>
              <w:cnfStyle w:val="000000010000" w:firstRow="0" w:lastRow="0" w:firstColumn="0" w:lastColumn="0" w:oddVBand="0" w:evenVBand="0" w:oddHBand="0" w:evenHBand="1" w:firstRowFirstColumn="0" w:firstRowLastColumn="0" w:lastRowFirstColumn="0" w:lastRowLastColumn="0"/>
              <w:rPr>
                <w:rFonts w:eastAsia="Times New Roman"/>
                <w:color w:val="000000"/>
                <w:sz w:val="18"/>
                <w:szCs w:val="18"/>
                <w:lang w:eastAsia="es-CO"/>
              </w:rPr>
            </w:pPr>
            <w:r w:rsidRPr="00DC6FE3">
              <w:rPr>
                <w:rFonts w:eastAsia="Times New Roman"/>
                <w:color w:val="000000"/>
                <w:sz w:val="18"/>
                <w:szCs w:val="18"/>
                <w:lang w:eastAsia="es-CO"/>
              </w:rPr>
              <w:t>1.174</w:t>
            </w:r>
          </w:p>
        </w:tc>
      </w:tr>
      <w:tr w:rsidR="00C7418E" w:rsidRPr="00DC6FE3" w:rsidTr="00DC6FE3">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497" w:type="dxa"/>
            <w:hideMark/>
          </w:tcPr>
          <w:p w:rsidR="00C7418E" w:rsidRPr="00DC6FE3" w:rsidRDefault="00C7418E" w:rsidP="00C7418E">
            <w:pPr>
              <w:spacing w:after="0"/>
              <w:rPr>
                <w:rFonts w:eastAsia="Times New Roman"/>
                <w:color w:val="000000"/>
                <w:sz w:val="18"/>
                <w:szCs w:val="18"/>
                <w:lang w:eastAsia="es-CO"/>
              </w:rPr>
            </w:pPr>
            <w:r w:rsidRPr="00DC6FE3">
              <w:rPr>
                <w:rFonts w:eastAsia="Times New Roman"/>
                <w:color w:val="000000"/>
                <w:sz w:val="18"/>
                <w:szCs w:val="18"/>
                <w:lang w:eastAsia="es-CO"/>
              </w:rPr>
              <w:t>Enfoque de Género</w:t>
            </w:r>
          </w:p>
        </w:tc>
        <w:tc>
          <w:tcPr>
            <w:tcW w:w="1661" w:type="dxa"/>
            <w:noWrap/>
            <w:hideMark/>
          </w:tcPr>
          <w:p w:rsidR="00C7418E" w:rsidRPr="00DC6FE3" w:rsidRDefault="00C7418E" w:rsidP="00C7418E">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8"/>
                <w:szCs w:val="18"/>
                <w:lang w:eastAsia="es-CO"/>
              </w:rPr>
            </w:pPr>
            <w:r w:rsidRPr="00DC6FE3">
              <w:rPr>
                <w:rFonts w:eastAsia="Times New Roman"/>
                <w:color w:val="000000"/>
                <w:sz w:val="18"/>
                <w:szCs w:val="18"/>
                <w:lang w:eastAsia="es-CO"/>
              </w:rPr>
              <w:t>518</w:t>
            </w:r>
          </w:p>
        </w:tc>
      </w:tr>
      <w:tr w:rsidR="00DC6FE3" w:rsidRPr="00DC6FE3" w:rsidTr="00DC6FE3">
        <w:trPr>
          <w:cnfStyle w:val="000000010000" w:firstRow="0" w:lastRow="0" w:firstColumn="0" w:lastColumn="0" w:oddVBand="0" w:evenVBand="0" w:oddHBand="0" w:evenHBand="1"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3497" w:type="dxa"/>
            <w:hideMark/>
          </w:tcPr>
          <w:p w:rsidR="00C7418E" w:rsidRPr="00DC6FE3" w:rsidRDefault="00C7418E" w:rsidP="00C7418E">
            <w:pPr>
              <w:spacing w:after="0"/>
              <w:jc w:val="center"/>
              <w:rPr>
                <w:rFonts w:eastAsia="Times New Roman"/>
                <w:bCs w:val="0"/>
                <w:sz w:val="18"/>
                <w:szCs w:val="18"/>
                <w:lang w:eastAsia="es-CO"/>
              </w:rPr>
            </w:pPr>
            <w:r w:rsidRPr="00DC6FE3">
              <w:rPr>
                <w:rFonts w:eastAsia="Times New Roman"/>
                <w:bCs w:val="0"/>
                <w:sz w:val="18"/>
                <w:szCs w:val="18"/>
                <w:lang w:eastAsia="es-CO"/>
              </w:rPr>
              <w:t>TOTAL COMPONENTE</w:t>
            </w:r>
          </w:p>
        </w:tc>
        <w:tc>
          <w:tcPr>
            <w:tcW w:w="1661" w:type="dxa"/>
            <w:noWrap/>
            <w:hideMark/>
          </w:tcPr>
          <w:p w:rsidR="00C7418E" w:rsidRPr="00DC6FE3" w:rsidRDefault="00C7418E" w:rsidP="00C7418E">
            <w:pPr>
              <w:spacing w:after="0"/>
              <w:jc w:val="center"/>
              <w:cnfStyle w:val="000000010000" w:firstRow="0" w:lastRow="0" w:firstColumn="0" w:lastColumn="0" w:oddVBand="0" w:evenVBand="0" w:oddHBand="0" w:evenHBand="1" w:firstRowFirstColumn="0" w:firstRowLastColumn="0" w:lastRowFirstColumn="0" w:lastRowLastColumn="0"/>
              <w:rPr>
                <w:rFonts w:eastAsia="Times New Roman"/>
                <w:b/>
                <w:bCs/>
                <w:sz w:val="18"/>
                <w:szCs w:val="18"/>
                <w:lang w:eastAsia="es-CO"/>
              </w:rPr>
            </w:pPr>
            <w:r w:rsidRPr="00DC6FE3">
              <w:rPr>
                <w:rFonts w:eastAsia="Times New Roman"/>
                <w:b/>
                <w:bCs/>
                <w:sz w:val="18"/>
                <w:szCs w:val="18"/>
                <w:lang w:eastAsia="es-CO"/>
              </w:rPr>
              <w:t>17.176</w:t>
            </w:r>
          </w:p>
        </w:tc>
      </w:tr>
    </w:tbl>
    <w:p w:rsidR="00C7418E" w:rsidRPr="00DC6FE3" w:rsidRDefault="00C7418E" w:rsidP="00C7418E">
      <w:pPr>
        <w:jc w:val="center"/>
        <w:rPr>
          <w:b/>
          <w:sz w:val="20"/>
          <w:szCs w:val="20"/>
        </w:rPr>
      </w:pPr>
      <w:r w:rsidRPr="00DC6FE3">
        <w:rPr>
          <w:b/>
          <w:sz w:val="20"/>
          <w:szCs w:val="20"/>
        </w:rPr>
        <w:t>Fuente: Vicerrectoría RS y BU</w:t>
      </w:r>
    </w:p>
    <w:p w:rsidR="00C7418E" w:rsidRDefault="00C7418E" w:rsidP="00C7418E">
      <w:pPr>
        <w:rPr>
          <w:sz w:val="24"/>
          <w:szCs w:val="24"/>
        </w:rPr>
      </w:pPr>
    </w:p>
    <w:p w:rsidR="00C7418E" w:rsidRPr="0033697D" w:rsidRDefault="00C7418E" w:rsidP="001D4EAA">
      <w:pPr>
        <w:pStyle w:val="Ttulo4"/>
        <w:rPr>
          <w:rFonts w:eastAsiaTheme="minorHAnsi"/>
        </w:rPr>
      </w:pPr>
      <w:r w:rsidRPr="0033697D">
        <w:rPr>
          <w:rFonts w:eastAsiaTheme="minorHAnsi"/>
        </w:rPr>
        <w:t>Apoyo Integral Incluyente</w:t>
      </w:r>
    </w:p>
    <w:p w:rsidR="00C7418E" w:rsidRDefault="00C7418E" w:rsidP="00C7418E"/>
    <w:p w:rsidR="00C7418E" w:rsidRPr="0097471F" w:rsidRDefault="00C7418E" w:rsidP="00C7418E">
      <w:r w:rsidRPr="0097471F">
        <w:t xml:space="preserve">Este plan operativo para la vigencia 2012 obtuvo un total de 15.484 participaciones, desagregadas a través de tres indicadores de la siguiente forma: </w:t>
      </w:r>
    </w:p>
    <w:p w:rsidR="00B3069A" w:rsidRPr="00B3069A" w:rsidRDefault="00B3069A" w:rsidP="00B3069A">
      <w:pPr>
        <w:pStyle w:val="Prrafodelista"/>
        <w:numPr>
          <w:ilvl w:val="0"/>
          <w:numId w:val="49"/>
        </w:numPr>
        <w:spacing w:after="200" w:line="276" w:lineRule="auto"/>
      </w:pPr>
      <w:r w:rsidRPr="00B3069A">
        <w:t>5.835 participaciones en atención prioritaria.</w:t>
      </w:r>
    </w:p>
    <w:p w:rsidR="00B3069A" w:rsidRPr="00B3069A" w:rsidRDefault="00B3069A" w:rsidP="00B3069A">
      <w:pPr>
        <w:pStyle w:val="Prrafodelista"/>
        <w:numPr>
          <w:ilvl w:val="0"/>
          <w:numId w:val="49"/>
        </w:numPr>
        <w:spacing w:after="200" w:line="276" w:lineRule="auto"/>
      </w:pPr>
      <w:r w:rsidRPr="00B3069A">
        <w:t>4.363 participaciones en atención en promoción y prevención. (Atención directa)</w:t>
      </w:r>
    </w:p>
    <w:p w:rsidR="00B3069A" w:rsidRPr="00B3069A" w:rsidRDefault="00B3069A" w:rsidP="00B3069A">
      <w:pPr>
        <w:pStyle w:val="Prrafodelista"/>
        <w:numPr>
          <w:ilvl w:val="0"/>
          <w:numId w:val="49"/>
        </w:numPr>
        <w:spacing w:after="200" w:line="276" w:lineRule="auto"/>
      </w:pPr>
      <w:r w:rsidRPr="00B3069A">
        <w:t>5.736 participaciones en actividades de promoción y prevención. (Actividades comunitarias)</w:t>
      </w:r>
    </w:p>
    <w:p w:rsidR="00C7418E" w:rsidRPr="0097471F" w:rsidRDefault="00C7418E" w:rsidP="00C7418E">
      <w:r w:rsidRPr="0097471F">
        <w:t xml:space="preserve">Así mismo para la vigencia </w:t>
      </w:r>
      <w:r w:rsidRPr="0097471F">
        <w:rPr>
          <w:b/>
        </w:rPr>
        <w:t>2012</w:t>
      </w:r>
      <w:r w:rsidRPr="0097471F">
        <w:t xml:space="preserve"> se realizaron las siguientes actividades: </w:t>
      </w:r>
    </w:p>
    <w:p w:rsidR="00C7418E" w:rsidRPr="0097471F" w:rsidRDefault="00C7418E" w:rsidP="008475EC">
      <w:pPr>
        <w:pStyle w:val="Prrafodelista"/>
        <w:numPr>
          <w:ilvl w:val="0"/>
          <w:numId w:val="50"/>
        </w:numPr>
        <w:spacing w:after="200" w:line="276" w:lineRule="auto"/>
      </w:pPr>
      <w:r w:rsidRPr="0097471F">
        <w:t>Pruebas rápidas para VIH, HEPATITIS B Y C dirigida a toda la comunidad universitaria, con el propósito de sensibilizar acerca de la sexualidad, educa</w:t>
      </w:r>
      <w:r w:rsidR="00DC6FE3" w:rsidRPr="0097471F">
        <w:t>ción en</w:t>
      </w:r>
      <w:r w:rsidRPr="0097471F">
        <w:t xml:space="preserve"> </w:t>
      </w:r>
      <w:r w:rsidR="00DC6FE3" w:rsidRPr="0097471F">
        <w:t>métodos de protección sexual</w:t>
      </w:r>
      <w:r w:rsidRPr="0097471F">
        <w:t xml:space="preserve"> y selectividad sobre las parejas sexuales.</w:t>
      </w:r>
    </w:p>
    <w:p w:rsidR="00C7418E" w:rsidRPr="0097471F" w:rsidRDefault="00C7418E" w:rsidP="008475EC">
      <w:pPr>
        <w:pStyle w:val="Prrafodelista"/>
        <w:numPr>
          <w:ilvl w:val="0"/>
          <w:numId w:val="50"/>
        </w:numPr>
        <w:spacing w:after="200" w:line="276" w:lineRule="auto"/>
      </w:pPr>
      <w:r w:rsidRPr="0097471F">
        <w:t xml:space="preserve">Intermediación para la campaña nacional de vacunación (sarampión y rubeola) para la población estudiantil menores de 20 años. </w:t>
      </w:r>
    </w:p>
    <w:p w:rsidR="00C7418E" w:rsidRPr="0033697D" w:rsidRDefault="00C7418E" w:rsidP="00C7418E">
      <w:pPr>
        <w:pStyle w:val="Prrafodelista"/>
        <w:rPr>
          <w:sz w:val="24"/>
          <w:szCs w:val="24"/>
        </w:rPr>
      </w:pPr>
    </w:p>
    <w:p w:rsidR="00C7418E" w:rsidRPr="001D4EAA" w:rsidRDefault="00C7418E" w:rsidP="001D4EAA">
      <w:pPr>
        <w:pStyle w:val="Ttulo4"/>
      </w:pPr>
      <w:r w:rsidRPr="001D4EAA">
        <w:t>Entornos Universitarios Saludables</w:t>
      </w:r>
    </w:p>
    <w:p w:rsidR="00C7418E" w:rsidRPr="0033697D" w:rsidRDefault="00C7418E" w:rsidP="00C7418E"/>
    <w:p w:rsidR="00C7418E" w:rsidRPr="0097471F" w:rsidRDefault="00C7418E" w:rsidP="00C7418E">
      <w:r w:rsidRPr="0097471F">
        <w:t>Dentro de este programa se destacan las actividades desarrolladas para el cumplimiento de su fin:</w:t>
      </w:r>
    </w:p>
    <w:p w:rsidR="00C7418E" w:rsidRPr="0097471F" w:rsidRDefault="00C7418E" w:rsidP="008475EC">
      <w:pPr>
        <w:pStyle w:val="Default"/>
        <w:numPr>
          <w:ilvl w:val="0"/>
          <w:numId w:val="51"/>
        </w:numPr>
        <w:rPr>
          <w:rFonts w:asciiTheme="minorHAnsi" w:hAnsiTheme="minorHAnsi" w:cstheme="minorBidi"/>
          <w:color w:val="auto"/>
          <w:sz w:val="22"/>
          <w:szCs w:val="22"/>
        </w:rPr>
      </w:pPr>
      <w:r w:rsidRPr="0097471F">
        <w:rPr>
          <w:rFonts w:asciiTheme="minorHAnsi" w:hAnsiTheme="minorHAnsi" w:cstheme="minorBidi"/>
          <w:color w:val="auto"/>
          <w:sz w:val="22"/>
          <w:szCs w:val="22"/>
        </w:rPr>
        <w:t xml:space="preserve">Taller Itinerante PSA Lucas </w:t>
      </w:r>
      <w:proofErr w:type="spellStart"/>
      <w:r w:rsidRPr="0097471F">
        <w:rPr>
          <w:rFonts w:asciiTheme="minorHAnsi" w:hAnsiTheme="minorHAnsi" w:cstheme="minorBidi"/>
          <w:color w:val="auto"/>
          <w:sz w:val="22"/>
          <w:szCs w:val="22"/>
        </w:rPr>
        <w:t>Passos</w:t>
      </w:r>
      <w:proofErr w:type="spellEnd"/>
      <w:r w:rsidRPr="0097471F">
        <w:rPr>
          <w:rFonts w:asciiTheme="minorHAnsi" w:hAnsiTheme="minorHAnsi" w:cstheme="minorBidi"/>
          <w:color w:val="auto"/>
          <w:sz w:val="22"/>
          <w:szCs w:val="22"/>
        </w:rPr>
        <w:t xml:space="preserve">. </w:t>
      </w:r>
    </w:p>
    <w:p w:rsidR="00C7418E" w:rsidRPr="0097471F" w:rsidRDefault="00C7418E" w:rsidP="008475EC">
      <w:pPr>
        <w:pStyle w:val="Default"/>
        <w:numPr>
          <w:ilvl w:val="0"/>
          <w:numId w:val="51"/>
        </w:numPr>
        <w:rPr>
          <w:rFonts w:asciiTheme="minorHAnsi" w:hAnsiTheme="minorHAnsi" w:cstheme="minorBidi"/>
          <w:color w:val="auto"/>
          <w:sz w:val="22"/>
          <w:szCs w:val="22"/>
        </w:rPr>
      </w:pPr>
      <w:r w:rsidRPr="0097471F">
        <w:rPr>
          <w:rFonts w:asciiTheme="minorHAnsi" w:hAnsiTheme="minorHAnsi" w:cstheme="minorBidi"/>
          <w:color w:val="auto"/>
          <w:sz w:val="22"/>
          <w:szCs w:val="22"/>
        </w:rPr>
        <w:t xml:space="preserve">Tu Voz cuenta. </w:t>
      </w:r>
    </w:p>
    <w:p w:rsidR="00C7418E" w:rsidRPr="0097471F" w:rsidRDefault="00C7418E" w:rsidP="008475EC">
      <w:pPr>
        <w:pStyle w:val="Default"/>
        <w:numPr>
          <w:ilvl w:val="0"/>
          <w:numId w:val="51"/>
        </w:numPr>
        <w:rPr>
          <w:rFonts w:asciiTheme="minorHAnsi" w:hAnsiTheme="minorHAnsi" w:cstheme="minorBidi"/>
          <w:color w:val="auto"/>
          <w:sz w:val="22"/>
          <w:szCs w:val="22"/>
        </w:rPr>
      </w:pPr>
      <w:r w:rsidRPr="0097471F">
        <w:rPr>
          <w:rFonts w:asciiTheme="minorHAnsi" w:hAnsiTheme="minorHAnsi" w:cstheme="minorBidi"/>
          <w:color w:val="auto"/>
          <w:sz w:val="22"/>
          <w:szCs w:val="22"/>
        </w:rPr>
        <w:t xml:space="preserve">Taller Psicoactivos. </w:t>
      </w:r>
    </w:p>
    <w:p w:rsidR="00C7418E" w:rsidRPr="0097471F" w:rsidRDefault="00C7418E" w:rsidP="008475EC">
      <w:pPr>
        <w:pStyle w:val="Default"/>
        <w:numPr>
          <w:ilvl w:val="0"/>
          <w:numId w:val="51"/>
        </w:numPr>
        <w:rPr>
          <w:rFonts w:asciiTheme="minorHAnsi" w:hAnsiTheme="minorHAnsi" w:cstheme="minorBidi"/>
          <w:color w:val="auto"/>
          <w:sz w:val="22"/>
          <w:szCs w:val="22"/>
        </w:rPr>
      </w:pPr>
      <w:r w:rsidRPr="0097471F">
        <w:rPr>
          <w:rFonts w:asciiTheme="minorHAnsi" w:hAnsiTheme="minorHAnsi" w:cstheme="minorBidi"/>
          <w:color w:val="auto"/>
          <w:sz w:val="22"/>
          <w:szCs w:val="22"/>
        </w:rPr>
        <w:t xml:space="preserve">Comité de Apoyo al Bienestar: socialización de Plan de emergencias. </w:t>
      </w:r>
    </w:p>
    <w:p w:rsidR="00C7418E" w:rsidRPr="0097471F" w:rsidRDefault="00C7418E" w:rsidP="008475EC">
      <w:pPr>
        <w:pStyle w:val="Default"/>
        <w:numPr>
          <w:ilvl w:val="0"/>
          <w:numId w:val="51"/>
        </w:numPr>
        <w:rPr>
          <w:rFonts w:asciiTheme="minorHAnsi" w:hAnsiTheme="minorHAnsi" w:cstheme="minorBidi"/>
          <w:color w:val="auto"/>
          <w:sz w:val="22"/>
          <w:szCs w:val="22"/>
        </w:rPr>
      </w:pPr>
      <w:r w:rsidRPr="0097471F">
        <w:rPr>
          <w:rFonts w:asciiTheme="minorHAnsi" w:hAnsiTheme="minorHAnsi" w:cstheme="minorBidi"/>
          <w:color w:val="auto"/>
          <w:sz w:val="22"/>
          <w:szCs w:val="22"/>
        </w:rPr>
        <w:t xml:space="preserve">Talleres Estilos de vida saludables. </w:t>
      </w:r>
    </w:p>
    <w:p w:rsidR="00C7418E" w:rsidRPr="0097471F" w:rsidRDefault="00C7418E" w:rsidP="008475EC">
      <w:pPr>
        <w:pStyle w:val="Default"/>
        <w:numPr>
          <w:ilvl w:val="0"/>
          <w:numId w:val="51"/>
        </w:numPr>
        <w:rPr>
          <w:rFonts w:asciiTheme="minorHAnsi" w:hAnsiTheme="minorHAnsi" w:cstheme="minorBidi"/>
          <w:color w:val="auto"/>
          <w:sz w:val="22"/>
          <w:szCs w:val="22"/>
        </w:rPr>
      </w:pPr>
      <w:r w:rsidRPr="0097471F">
        <w:rPr>
          <w:rFonts w:asciiTheme="minorHAnsi" w:hAnsiTheme="minorHAnsi" w:cstheme="minorBidi"/>
          <w:color w:val="auto"/>
          <w:sz w:val="22"/>
          <w:szCs w:val="22"/>
        </w:rPr>
        <w:t xml:space="preserve">Conferencia sobre psicoactivos Dr. Isaza. </w:t>
      </w:r>
    </w:p>
    <w:p w:rsidR="00C7418E" w:rsidRPr="0097471F" w:rsidRDefault="00C7418E" w:rsidP="008475EC">
      <w:pPr>
        <w:pStyle w:val="Default"/>
        <w:numPr>
          <w:ilvl w:val="0"/>
          <w:numId w:val="51"/>
        </w:numPr>
        <w:rPr>
          <w:rFonts w:asciiTheme="minorHAnsi" w:hAnsiTheme="minorHAnsi" w:cstheme="minorBidi"/>
          <w:color w:val="auto"/>
          <w:sz w:val="22"/>
          <w:szCs w:val="22"/>
        </w:rPr>
      </w:pPr>
      <w:r w:rsidRPr="0097471F">
        <w:rPr>
          <w:rFonts w:asciiTheme="minorHAnsi" w:hAnsiTheme="minorHAnsi" w:cstheme="minorBidi"/>
          <w:color w:val="auto"/>
          <w:sz w:val="22"/>
          <w:szCs w:val="22"/>
        </w:rPr>
        <w:lastRenderedPageBreak/>
        <w:t xml:space="preserve">Encuentro REDCUPS eje cafetero. </w:t>
      </w:r>
    </w:p>
    <w:p w:rsidR="00C7418E" w:rsidRPr="0097471F" w:rsidRDefault="00C7418E" w:rsidP="008475EC">
      <w:pPr>
        <w:pStyle w:val="Default"/>
        <w:numPr>
          <w:ilvl w:val="0"/>
          <w:numId w:val="51"/>
        </w:numPr>
        <w:rPr>
          <w:rFonts w:asciiTheme="minorHAnsi" w:hAnsiTheme="minorHAnsi" w:cstheme="minorBidi"/>
          <w:color w:val="auto"/>
          <w:sz w:val="22"/>
          <w:szCs w:val="22"/>
        </w:rPr>
      </w:pPr>
      <w:r w:rsidRPr="0097471F">
        <w:rPr>
          <w:rFonts w:asciiTheme="minorHAnsi" w:hAnsiTheme="minorHAnsi" w:cstheme="minorBidi"/>
          <w:color w:val="auto"/>
          <w:sz w:val="22"/>
          <w:szCs w:val="22"/>
        </w:rPr>
        <w:t xml:space="preserve">Curso primeros auxilios Primer Respondiente. </w:t>
      </w:r>
    </w:p>
    <w:p w:rsidR="00C7418E" w:rsidRPr="0097471F" w:rsidRDefault="00C7418E" w:rsidP="008475EC">
      <w:pPr>
        <w:pStyle w:val="Default"/>
        <w:numPr>
          <w:ilvl w:val="0"/>
          <w:numId w:val="51"/>
        </w:numPr>
        <w:rPr>
          <w:rFonts w:asciiTheme="minorHAnsi" w:hAnsiTheme="minorHAnsi" w:cstheme="minorBidi"/>
          <w:color w:val="auto"/>
          <w:sz w:val="22"/>
          <w:szCs w:val="22"/>
        </w:rPr>
      </w:pPr>
      <w:r w:rsidRPr="0097471F">
        <w:rPr>
          <w:rFonts w:asciiTheme="minorHAnsi" w:hAnsiTheme="minorHAnsi" w:cstheme="minorBidi"/>
          <w:color w:val="auto"/>
          <w:sz w:val="22"/>
          <w:szCs w:val="22"/>
        </w:rPr>
        <w:t xml:space="preserve">Talleres Primeros Auxilios. </w:t>
      </w:r>
    </w:p>
    <w:p w:rsidR="00C7418E" w:rsidRPr="0097471F" w:rsidRDefault="00C7418E" w:rsidP="008475EC">
      <w:pPr>
        <w:pStyle w:val="Default"/>
        <w:numPr>
          <w:ilvl w:val="0"/>
          <w:numId w:val="51"/>
        </w:numPr>
        <w:rPr>
          <w:rFonts w:asciiTheme="minorHAnsi" w:hAnsiTheme="minorHAnsi" w:cstheme="minorBidi"/>
          <w:color w:val="auto"/>
          <w:sz w:val="22"/>
          <w:szCs w:val="22"/>
        </w:rPr>
      </w:pPr>
      <w:r w:rsidRPr="0097471F">
        <w:rPr>
          <w:rFonts w:asciiTheme="minorHAnsi" w:hAnsiTheme="minorHAnsi" w:cstheme="minorBidi"/>
          <w:color w:val="auto"/>
          <w:sz w:val="22"/>
          <w:szCs w:val="22"/>
        </w:rPr>
        <w:t xml:space="preserve">ZOU Nacional. </w:t>
      </w:r>
    </w:p>
    <w:p w:rsidR="00C7418E" w:rsidRPr="0097471F" w:rsidRDefault="00C7418E" w:rsidP="008475EC">
      <w:pPr>
        <w:pStyle w:val="Default"/>
        <w:numPr>
          <w:ilvl w:val="0"/>
          <w:numId w:val="51"/>
        </w:numPr>
        <w:rPr>
          <w:rFonts w:asciiTheme="minorHAnsi" w:hAnsiTheme="minorHAnsi" w:cstheme="minorBidi"/>
          <w:color w:val="auto"/>
          <w:sz w:val="22"/>
          <w:szCs w:val="22"/>
        </w:rPr>
      </w:pPr>
      <w:r w:rsidRPr="0097471F">
        <w:rPr>
          <w:rFonts w:asciiTheme="minorHAnsi" w:hAnsiTheme="minorHAnsi" w:cstheme="minorBidi"/>
          <w:color w:val="auto"/>
          <w:sz w:val="22"/>
          <w:szCs w:val="22"/>
        </w:rPr>
        <w:t xml:space="preserve">Capacitaciones Jóvenes para jóvenes. </w:t>
      </w:r>
    </w:p>
    <w:p w:rsidR="00C7418E" w:rsidRPr="0097471F" w:rsidRDefault="00C7418E" w:rsidP="008475EC">
      <w:pPr>
        <w:pStyle w:val="Default"/>
        <w:numPr>
          <w:ilvl w:val="0"/>
          <w:numId w:val="51"/>
        </w:numPr>
        <w:rPr>
          <w:rFonts w:asciiTheme="minorHAnsi" w:hAnsiTheme="minorHAnsi" w:cstheme="minorBidi"/>
          <w:color w:val="auto"/>
          <w:sz w:val="22"/>
          <w:szCs w:val="22"/>
        </w:rPr>
      </w:pPr>
      <w:r w:rsidRPr="0097471F">
        <w:rPr>
          <w:rFonts w:asciiTheme="minorHAnsi" w:hAnsiTheme="minorHAnsi" w:cstheme="minorBidi"/>
          <w:color w:val="auto"/>
          <w:sz w:val="22"/>
          <w:szCs w:val="22"/>
        </w:rPr>
        <w:t xml:space="preserve">Cine Foro. </w:t>
      </w:r>
    </w:p>
    <w:p w:rsidR="00C7418E" w:rsidRPr="0097471F" w:rsidRDefault="00C7418E" w:rsidP="00C7418E">
      <w:pPr>
        <w:pStyle w:val="Default"/>
        <w:rPr>
          <w:rFonts w:asciiTheme="minorHAnsi" w:hAnsiTheme="minorHAnsi"/>
          <w:sz w:val="22"/>
          <w:szCs w:val="22"/>
        </w:rPr>
      </w:pPr>
    </w:p>
    <w:p w:rsidR="00C7418E" w:rsidRPr="0097471F" w:rsidRDefault="00C7418E" w:rsidP="00C7418E">
      <w:r w:rsidRPr="0097471F">
        <w:t xml:space="preserve">Se contó con un total de </w:t>
      </w:r>
      <w:r w:rsidRPr="0097471F">
        <w:rPr>
          <w:b/>
        </w:rPr>
        <w:t>1.174</w:t>
      </w:r>
      <w:r w:rsidRPr="0097471F">
        <w:t xml:space="preserve"> asistentes a las actividades de este programa, así mismo se continuó con el diseño de la política de Sustancias Psicoactivas en la Universidad, las convocatorias </w:t>
      </w:r>
      <w:r w:rsidR="00DC6FE3" w:rsidRPr="0097471F">
        <w:t>“</w:t>
      </w:r>
      <w:r w:rsidRPr="0097471F">
        <w:t>jóvenes para jóvenes</w:t>
      </w:r>
      <w:r w:rsidR="00DC6FE3" w:rsidRPr="0097471F">
        <w:t>”</w:t>
      </w:r>
      <w:r w:rsidRPr="0097471F">
        <w:t xml:space="preserve"> y la participación en el proyecto Zonas de Orientación Universitaria.</w:t>
      </w:r>
    </w:p>
    <w:p w:rsidR="00C7418E" w:rsidRPr="0033697D" w:rsidRDefault="00C7418E" w:rsidP="00C7418E">
      <w:pPr>
        <w:pStyle w:val="Default"/>
        <w:rPr>
          <w:rFonts w:asciiTheme="minorHAnsi" w:hAnsiTheme="minorHAnsi"/>
        </w:rPr>
      </w:pPr>
    </w:p>
    <w:p w:rsidR="00C7418E" w:rsidRPr="001D4EAA" w:rsidRDefault="00C7418E" w:rsidP="001D4EAA">
      <w:pPr>
        <w:pStyle w:val="Ttulo4"/>
      </w:pPr>
      <w:r w:rsidRPr="001D4EAA">
        <w:t>Enfoque de Género</w:t>
      </w:r>
    </w:p>
    <w:p w:rsidR="00C7418E" w:rsidRPr="0033697D" w:rsidRDefault="00C7418E" w:rsidP="00C7418E"/>
    <w:p w:rsidR="00C7418E" w:rsidRPr="0097471F" w:rsidRDefault="00C7418E" w:rsidP="00C7418E">
      <w:r w:rsidRPr="0097471F">
        <w:t xml:space="preserve">Se organizó con diferentes instituciones que trabajan sobre la salud sexual, diversidad sexual, derechos sexuales y reproductivos como: </w:t>
      </w:r>
      <w:proofErr w:type="spellStart"/>
      <w:r w:rsidRPr="0097471F">
        <w:t>Profamilia</w:t>
      </w:r>
      <w:proofErr w:type="spellEnd"/>
      <w:r w:rsidRPr="0097471F">
        <w:t>, Eje Diverso, la casa de la mujer y la familia, y algunas universidades como la UTP, la Universidad Libre y la Universidad Católica de Pereira, quienes a través de una metodología académico, lúdica y cultural trabajan de una forma diferente problemáticas concretas en salud sexual.</w:t>
      </w:r>
    </w:p>
    <w:p w:rsidR="00C7418E" w:rsidRPr="0097471F" w:rsidRDefault="00C7418E" w:rsidP="00C7418E">
      <w:r w:rsidRPr="0097471F">
        <w:t xml:space="preserve">Se contó con un total de </w:t>
      </w:r>
      <w:r w:rsidRPr="0097471F">
        <w:rPr>
          <w:b/>
        </w:rPr>
        <w:t>518</w:t>
      </w:r>
      <w:r w:rsidRPr="0097471F">
        <w:t xml:space="preserve"> participaciones, así mismo se desarrollaron jornadas y talleres con enfoque a la no violencia contra la mujer; como también la instalación de puntos de información en salud sexual y reproductiva y celebración del día de la mujer.</w:t>
      </w:r>
    </w:p>
    <w:p w:rsidR="00C7418E" w:rsidRPr="0097471F" w:rsidRDefault="00C7418E" w:rsidP="00C7418E">
      <w:r w:rsidRPr="0097471F">
        <w:t>Se resaltan los siguientes eventos desarrollados:</w:t>
      </w:r>
    </w:p>
    <w:p w:rsidR="00C7418E" w:rsidRPr="0097471F" w:rsidRDefault="00C7418E" w:rsidP="00C7418E">
      <w:pPr>
        <w:pStyle w:val="Default"/>
        <w:ind w:left="360"/>
        <w:rPr>
          <w:rFonts w:asciiTheme="minorHAnsi" w:hAnsiTheme="minorHAnsi" w:cstheme="minorBidi"/>
          <w:color w:val="auto"/>
          <w:sz w:val="22"/>
          <w:szCs w:val="22"/>
        </w:rPr>
      </w:pPr>
    </w:p>
    <w:p w:rsidR="00C7418E" w:rsidRPr="0097471F" w:rsidRDefault="00C7418E" w:rsidP="0097471F">
      <w:pPr>
        <w:pStyle w:val="Default"/>
        <w:numPr>
          <w:ilvl w:val="0"/>
          <w:numId w:val="56"/>
        </w:numPr>
        <w:rPr>
          <w:rFonts w:asciiTheme="minorHAnsi" w:hAnsiTheme="minorHAnsi" w:cstheme="minorBidi"/>
          <w:color w:val="auto"/>
          <w:sz w:val="22"/>
          <w:szCs w:val="22"/>
        </w:rPr>
      </w:pPr>
      <w:r w:rsidRPr="0097471F">
        <w:rPr>
          <w:rFonts w:asciiTheme="minorHAnsi" w:hAnsiTheme="minorHAnsi" w:cstheme="minorBidi"/>
          <w:color w:val="auto"/>
          <w:sz w:val="22"/>
          <w:szCs w:val="22"/>
        </w:rPr>
        <w:t xml:space="preserve">Talleres Sexualidad. </w:t>
      </w:r>
    </w:p>
    <w:p w:rsidR="00C7418E" w:rsidRPr="0097471F" w:rsidRDefault="00C7418E" w:rsidP="0097471F">
      <w:pPr>
        <w:pStyle w:val="Default"/>
        <w:numPr>
          <w:ilvl w:val="0"/>
          <w:numId w:val="56"/>
        </w:numPr>
        <w:rPr>
          <w:rFonts w:asciiTheme="minorHAnsi" w:hAnsiTheme="minorHAnsi" w:cstheme="minorBidi"/>
          <w:color w:val="auto"/>
          <w:sz w:val="22"/>
          <w:szCs w:val="22"/>
        </w:rPr>
      </w:pPr>
      <w:r w:rsidRPr="0097471F">
        <w:rPr>
          <w:rFonts w:asciiTheme="minorHAnsi" w:hAnsiTheme="minorHAnsi" w:cstheme="minorBidi"/>
          <w:color w:val="auto"/>
          <w:sz w:val="22"/>
          <w:szCs w:val="22"/>
        </w:rPr>
        <w:t xml:space="preserve">Teatro foro roles de género. </w:t>
      </w:r>
    </w:p>
    <w:p w:rsidR="00C7418E" w:rsidRPr="0097471F" w:rsidRDefault="00C7418E" w:rsidP="0097471F">
      <w:pPr>
        <w:pStyle w:val="Default"/>
        <w:numPr>
          <w:ilvl w:val="0"/>
          <w:numId w:val="56"/>
        </w:numPr>
        <w:rPr>
          <w:rFonts w:asciiTheme="minorHAnsi" w:hAnsiTheme="minorHAnsi" w:cstheme="minorBidi"/>
          <w:color w:val="auto"/>
          <w:sz w:val="22"/>
          <w:szCs w:val="22"/>
        </w:rPr>
      </w:pPr>
      <w:r w:rsidRPr="0097471F">
        <w:rPr>
          <w:rFonts w:asciiTheme="minorHAnsi" w:hAnsiTheme="minorHAnsi" w:cstheme="minorBidi"/>
          <w:color w:val="auto"/>
          <w:sz w:val="22"/>
          <w:szCs w:val="22"/>
        </w:rPr>
        <w:t xml:space="preserve">Grupo genero estudiantes. </w:t>
      </w:r>
    </w:p>
    <w:p w:rsidR="00C7418E" w:rsidRPr="0097471F" w:rsidRDefault="00C7418E" w:rsidP="0097471F">
      <w:pPr>
        <w:pStyle w:val="Default"/>
        <w:numPr>
          <w:ilvl w:val="0"/>
          <w:numId w:val="56"/>
        </w:numPr>
        <w:rPr>
          <w:rFonts w:asciiTheme="minorHAnsi" w:hAnsiTheme="minorHAnsi" w:cstheme="minorBidi"/>
          <w:color w:val="auto"/>
          <w:sz w:val="22"/>
          <w:szCs w:val="22"/>
        </w:rPr>
      </w:pPr>
      <w:r w:rsidRPr="0097471F">
        <w:rPr>
          <w:rFonts w:asciiTheme="minorHAnsi" w:hAnsiTheme="minorHAnsi" w:cstheme="minorBidi"/>
          <w:color w:val="auto"/>
          <w:sz w:val="22"/>
          <w:szCs w:val="22"/>
        </w:rPr>
        <w:t>Formación docente Administrativa Género.</w:t>
      </w:r>
    </w:p>
    <w:p w:rsidR="00C7418E" w:rsidRPr="0097471F" w:rsidRDefault="00C7418E" w:rsidP="00C7418E">
      <w:pPr>
        <w:pStyle w:val="Default"/>
        <w:rPr>
          <w:rFonts w:asciiTheme="minorHAnsi" w:hAnsiTheme="minorHAnsi" w:cstheme="minorBidi"/>
          <w:color w:val="auto"/>
          <w:sz w:val="22"/>
          <w:szCs w:val="22"/>
        </w:rPr>
      </w:pPr>
    </w:p>
    <w:p w:rsidR="00C7418E" w:rsidRPr="006B628A" w:rsidRDefault="00CC2189" w:rsidP="00DC6FE3">
      <w:pPr>
        <w:pStyle w:val="Ttulo3"/>
      </w:pPr>
      <w:bookmarkStart w:id="125" w:name="_Toc354671345"/>
      <w:r w:rsidRPr="006B628A">
        <w:rPr>
          <w:caps w:val="0"/>
        </w:rPr>
        <w:t xml:space="preserve">Atención Integral </w:t>
      </w:r>
      <w:r>
        <w:rPr>
          <w:caps w:val="0"/>
        </w:rPr>
        <w:t>y</w:t>
      </w:r>
      <w:r w:rsidRPr="006B628A">
        <w:rPr>
          <w:caps w:val="0"/>
        </w:rPr>
        <w:t xml:space="preserve"> Cultura Democrática, Participativa </w:t>
      </w:r>
      <w:r>
        <w:rPr>
          <w:caps w:val="0"/>
        </w:rPr>
        <w:t>e</w:t>
      </w:r>
      <w:r w:rsidRPr="006B628A">
        <w:rPr>
          <w:caps w:val="0"/>
        </w:rPr>
        <w:t xml:space="preserve"> Incluyente</w:t>
      </w:r>
      <w:bookmarkEnd w:id="125"/>
    </w:p>
    <w:p w:rsidR="00C7418E" w:rsidRDefault="00C7418E" w:rsidP="00C7418E">
      <w:pPr>
        <w:rPr>
          <w:sz w:val="24"/>
          <w:szCs w:val="24"/>
        </w:rPr>
      </w:pPr>
    </w:p>
    <w:p w:rsidR="00C7418E" w:rsidRPr="0097471F" w:rsidRDefault="00C7418E" w:rsidP="00C7418E">
      <w:r w:rsidRPr="0097471F">
        <w:t>La Universidad promueve la atención integral del estudiante desde la promoción social, con los programas de servicio social universitario y voluntariado social, en cinco líneas específicas de formación (Infancia,  cultura democrática participativa e incluyente, gestión ambiental universitaria, vida universitaria, y pausas activas), la vinculación de la familia al quehacer institucional y el diseño de estrategias a población diferencial.</w:t>
      </w:r>
    </w:p>
    <w:p w:rsidR="00C7418E" w:rsidRPr="0097471F" w:rsidRDefault="00C7418E" w:rsidP="00C7418E">
      <w:r w:rsidRPr="0097471F">
        <w:t>En el año 2012 el componente Atención integral y cultura democrática, participativa e incluyente, permitió que 953 estudiantes en condiciones de vulnerabilidad fueran retenidos en la Universidad de los 1.089 que se identificaron y apoyaron con beneficios sociales; esto se traduce en 87% de retención de estos estudiantes.</w:t>
      </w:r>
    </w:p>
    <w:p w:rsidR="00C7418E" w:rsidRPr="0097471F" w:rsidRDefault="00C7418E" w:rsidP="00C7418E">
      <w:r w:rsidRPr="0097471F">
        <w:lastRenderedPageBreak/>
        <w:t xml:space="preserve">En cuanto a los estudiantes atendidos se logró atender al 88%  de aquellos que fueron identificados en situación de vulnerabilidad. </w:t>
      </w:r>
    </w:p>
    <w:p w:rsidR="00C7418E" w:rsidRPr="0097471F" w:rsidRDefault="00C7418E" w:rsidP="00C7418E">
      <w:r w:rsidRPr="0097471F">
        <w:t>La vinculación de  todos los estudiantes en actividades sociales y ambientales como parte del componente de Responsabilidad Social, permite que desarrollen actividades tendientes a mejorar sus competencias y habilidades, además de permitir la integración entre la universidad y la sociedad. Como parte de estas actividades se tienen:</w:t>
      </w:r>
    </w:p>
    <w:tbl>
      <w:tblPr>
        <w:tblStyle w:val="Cuadrculaclara-nfasis1"/>
        <w:tblW w:w="0" w:type="auto"/>
        <w:tblLook w:val="04A0" w:firstRow="1" w:lastRow="0" w:firstColumn="1" w:lastColumn="0" w:noHBand="0" w:noVBand="1"/>
      </w:tblPr>
      <w:tblGrid>
        <w:gridCol w:w="6062"/>
        <w:gridCol w:w="2942"/>
      </w:tblGrid>
      <w:tr w:rsidR="00C7418E" w:rsidRPr="00DC6FE3" w:rsidTr="00DC6FE3">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6062" w:type="dxa"/>
          </w:tcPr>
          <w:p w:rsidR="00C7418E" w:rsidRPr="00DC6FE3" w:rsidRDefault="00C7418E" w:rsidP="00C7418E">
            <w:pPr>
              <w:jc w:val="center"/>
              <w:rPr>
                <w:rFonts w:asciiTheme="minorHAnsi" w:hAnsiTheme="minorHAnsi"/>
                <w:sz w:val="18"/>
                <w:szCs w:val="18"/>
              </w:rPr>
            </w:pPr>
            <w:r w:rsidRPr="00DC6FE3">
              <w:rPr>
                <w:rFonts w:asciiTheme="minorHAnsi" w:hAnsiTheme="minorHAnsi"/>
                <w:sz w:val="18"/>
                <w:szCs w:val="18"/>
              </w:rPr>
              <w:t>ACTIVIDAD</w:t>
            </w:r>
          </w:p>
        </w:tc>
        <w:tc>
          <w:tcPr>
            <w:tcW w:w="2942" w:type="dxa"/>
          </w:tcPr>
          <w:p w:rsidR="00C7418E" w:rsidRPr="00DC6FE3" w:rsidRDefault="00C7418E" w:rsidP="00C7418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sz w:val="18"/>
                <w:szCs w:val="18"/>
              </w:rPr>
            </w:pPr>
            <w:r w:rsidRPr="00DC6FE3">
              <w:rPr>
                <w:rFonts w:asciiTheme="minorHAnsi" w:hAnsiTheme="minorHAnsi"/>
                <w:sz w:val="18"/>
                <w:szCs w:val="18"/>
              </w:rPr>
              <w:t>PARTICIPANTES</w:t>
            </w:r>
          </w:p>
        </w:tc>
      </w:tr>
      <w:tr w:rsidR="00C7418E" w:rsidRPr="00DC6FE3" w:rsidTr="00DC6FE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6062" w:type="dxa"/>
            <w:hideMark/>
          </w:tcPr>
          <w:p w:rsidR="00C7418E" w:rsidRPr="00DC6FE3" w:rsidRDefault="00C7418E" w:rsidP="00C7418E">
            <w:pPr>
              <w:rPr>
                <w:rFonts w:asciiTheme="minorHAnsi" w:hAnsiTheme="minorHAnsi"/>
                <w:b w:val="0"/>
                <w:sz w:val="18"/>
                <w:szCs w:val="18"/>
              </w:rPr>
            </w:pPr>
            <w:r w:rsidRPr="00DC6FE3">
              <w:rPr>
                <w:rFonts w:asciiTheme="minorHAnsi" w:hAnsiTheme="minorHAnsi"/>
                <w:b w:val="0"/>
                <w:sz w:val="18"/>
                <w:szCs w:val="18"/>
              </w:rPr>
              <w:t>Trabajo comunitario con niños y niñas en el marco del proyecto Félix y Susana, en alianza con Fundación Suramericana.</w:t>
            </w:r>
          </w:p>
        </w:tc>
        <w:tc>
          <w:tcPr>
            <w:tcW w:w="2942" w:type="dxa"/>
            <w:hideMark/>
          </w:tcPr>
          <w:p w:rsidR="00C7418E" w:rsidRPr="00DC6FE3" w:rsidRDefault="00C7418E" w:rsidP="00C7418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DC6FE3">
              <w:rPr>
                <w:rFonts w:asciiTheme="minorHAnsi" w:hAnsiTheme="minorHAnsi"/>
                <w:sz w:val="18"/>
                <w:szCs w:val="18"/>
              </w:rPr>
              <w:t>25 Estudiantes voluntarios de la Universidad.</w:t>
            </w:r>
          </w:p>
        </w:tc>
      </w:tr>
      <w:tr w:rsidR="00C7418E" w:rsidRPr="00DC6FE3" w:rsidTr="00DC6FE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6062" w:type="dxa"/>
            <w:hideMark/>
          </w:tcPr>
          <w:p w:rsidR="00C7418E" w:rsidRPr="00DC6FE3" w:rsidRDefault="00C7418E" w:rsidP="00C7418E">
            <w:pPr>
              <w:rPr>
                <w:rFonts w:asciiTheme="minorHAnsi" w:hAnsiTheme="minorHAnsi"/>
                <w:b w:val="0"/>
                <w:sz w:val="18"/>
                <w:szCs w:val="18"/>
              </w:rPr>
            </w:pPr>
            <w:r w:rsidRPr="00DC6FE3">
              <w:rPr>
                <w:rFonts w:asciiTheme="minorHAnsi" w:hAnsiTheme="minorHAnsi"/>
                <w:b w:val="0"/>
                <w:sz w:val="18"/>
                <w:szCs w:val="18"/>
              </w:rPr>
              <w:t>Proyecto de control social al Concejo de Pereira en el marco del proyecto "Sistematización de Veeduría Ciudadana a la Gestión Pública del Concejo de Pereira en el año 2012", aprobado por Colciencias.</w:t>
            </w:r>
          </w:p>
        </w:tc>
        <w:tc>
          <w:tcPr>
            <w:tcW w:w="2942" w:type="dxa"/>
            <w:hideMark/>
          </w:tcPr>
          <w:p w:rsidR="00C7418E" w:rsidRPr="00DC6FE3" w:rsidRDefault="00C7418E" w:rsidP="00C7418E">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DC6FE3">
              <w:rPr>
                <w:rFonts w:asciiTheme="minorHAnsi" w:hAnsiTheme="minorHAnsi"/>
                <w:sz w:val="18"/>
                <w:szCs w:val="18"/>
              </w:rPr>
              <w:t>15 Estudiantes de Servicio Social de la Universidad.</w:t>
            </w:r>
          </w:p>
        </w:tc>
      </w:tr>
      <w:tr w:rsidR="00C7418E" w:rsidRPr="00DC6FE3" w:rsidTr="00DC6FE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6062" w:type="dxa"/>
            <w:hideMark/>
          </w:tcPr>
          <w:p w:rsidR="00C7418E" w:rsidRPr="00DC6FE3" w:rsidRDefault="00C7418E" w:rsidP="00C7418E">
            <w:pPr>
              <w:rPr>
                <w:rFonts w:asciiTheme="minorHAnsi" w:hAnsiTheme="minorHAnsi"/>
                <w:b w:val="0"/>
                <w:sz w:val="18"/>
                <w:szCs w:val="18"/>
              </w:rPr>
            </w:pPr>
            <w:r w:rsidRPr="00DC6FE3">
              <w:rPr>
                <w:rFonts w:asciiTheme="minorHAnsi" w:hAnsiTheme="minorHAnsi"/>
                <w:b w:val="0"/>
                <w:sz w:val="18"/>
                <w:szCs w:val="18"/>
              </w:rPr>
              <w:t>Observación electoral y seguimiento a medios de comunicación a través de la alianza con la Misión de Observación Electoral.</w:t>
            </w:r>
          </w:p>
        </w:tc>
        <w:tc>
          <w:tcPr>
            <w:tcW w:w="2942" w:type="dxa"/>
            <w:hideMark/>
          </w:tcPr>
          <w:p w:rsidR="00C7418E" w:rsidRPr="00DC6FE3" w:rsidRDefault="00C7418E" w:rsidP="00C7418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DC6FE3">
              <w:rPr>
                <w:rFonts w:asciiTheme="minorHAnsi" w:hAnsiTheme="minorHAnsi"/>
                <w:sz w:val="18"/>
                <w:szCs w:val="18"/>
              </w:rPr>
              <w:t>30 Estudiantes de Servicio Social de la Universidad.</w:t>
            </w:r>
          </w:p>
        </w:tc>
      </w:tr>
      <w:tr w:rsidR="00C7418E" w:rsidRPr="00DC6FE3" w:rsidTr="00DC6FE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6062" w:type="dxa"/>
            <w:hideMark/>
          </w:tcPr>
          <w:p w:rsidR="00C7418E" w:rsidRPr="00DC6FE3" w:rsidRDefault="00C7418E" w:rsidP="00C7418E">
            <w:pPr>
              <w:rPr>
                <w:rFonts w:asciiTheme="minorHAnsi" w:hAnsiTheme="minorHAnsi"/>
                <w:b w:val="0"/>
                <w:sz w:val="18"/>
                <w:szCs w:val="18"/>
              </w:rPr>
            </w:pPr>
            <w:r w:rsidRPr="00DC6FE3">
              <w:rPr>
                <w:rFonts w:asciiTheme="minorHAnsi" w:hAnsiTheme="minorHAnsi"/>
                <w:b w:val="0"/>
                <w:sz w:val="18"/>
                <w:szCs w:val="18"/>
              </w:rPr>
              <w:t>Procesos de observación y participación en las políticas de Infancia del Municipio de Pereira.</w:t>
            </w:r>
          </w:p>
        </w:tc>
        <w:tc>
          <w:tcPr>
            <w:tcW w:w="2942" w:type="dxa"/>
            <w:hideMark/>
          </w:tcPr>
          <w:p w:rsidR="00C7418E" w:rsidRPr="00DC6FE3" w:rsidRDefault="00C7418E" w:rsidP="00C7418E">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DC6FE3">
              <w:rPr>
                <w:rFonts w:asciiTheme="minorHAnsi" w:hAnsiTheme="minorHAnsi"/>
                <w:sz w:val="18"/>
                <w:szCs w:val="18"/>
              </w:rPr>
              <w:t>8 Estudiantes de Servicio Social de la Universidad</w:t>
            </w:r>
          </w:p>
        </w:tc>
      </w:tr>
      <w:tr w:rsidR="00C7418E" w:rsidRPr="00DC6FE3" w:rsidTr="00DC6FE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6062" w:type="dxa"/>
            <w:hideMark/>
          </w:tcPr>
          <w:p w:rsidR="00C7418E" w:rsidRPr="00DC6FE3" w:rsidRDefault="00C7418E" w:rsidP="00C7418E">
            <w:pPr>
              <w:rPr>
                <w:rFonts w:asciiTheme="minorHAnsi" w:hAnsiTheme="minorHAnsi"/>
                <w:b w:val="0"/>
                <w:sz w:val="18"/>
                <w:szCs w:val="18"/>
              </w:rPr>
            </w:pPr>
            <w:r w:rsidRPr="00DC6FE3">
              <w:rPr>
                <w:rFonts w:asciiTheme="minorHAnsi" w:hAnsiTheme="minorHAnsi"/>
                <w:b w:val="0"/>
                <w:sz w:val="18"/>
                <w:szCs w:val="18"/>
              </w:rPr>
              <w:t>Intervención comunitaria, con la conformación de grupos en comunidades, autogestión de proyectos, promoción de voluntariado y de iniciativas alternativas para la transformación de realidades en sus contextos más próximos. (4 barrios de su entorno: Frailes, Villa Santana, Tokio, El bosque la Mina).</w:t>
            </w:r>
          </w:p>
        </w:tc>
        <w:tc>
          <w:tcPr>
            <w:tcW w:w="2942" w:type="dxa"/>
            <w:hideMark/>
          </w:tcPr>
          <w:p w:rsidR="00C7418E" w:rsidRPr="00DC6FE3" w:rsidRDefault="00C7418E" w:rsidP="00C7418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DC6FE3">
              <w:rPr>
                <w:rFonts w:asciiTheme="minorHAnsi" w:hAnsiTheme="minorHAnsi"/>
                <w:sz w:val="18"/>
                <w:szCs w:val="18"/>
              </w:rPr>
              <w:t>16 Estudiantes de Servicio Social de la Universidad.</w:t>
            </w:r>
          </w:p>
        </w:tc>
      </w:tr>
      <w:tr w:rsidR="00C7418E" w:rsidRPr="00DC6FE3" w:rsidTr="00DC6FE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6062" w:type="dxa"/>
            <w:hideMark/>
          </w:tcPr>
          <w:p w:rsidR="00C7418E" w:rsidRPr="00DC6FE3" w:rsidRDefault="00C7418E" w:rsidP="00C7418E">
            <w:pPr>
              <w:rPr>
                <w:rFonts w:asciiTheme="minorHAnsi" w:hAnsiTheme="minorHAnsi"/>
                <w:b w:val="0"/>
                <w:sz w:val="18"/>
                <w:szCs w:val="18"/>
              </w:rPr>
            </w:pPr>
            <w:r w:rsidRPr="00DC6FE3">
              <w:rPr>
                <w:rFonts w:asciiTheme="minorHAnsi" w:hAnsiTheme="minorHAnsi"/>
                <w:b w:val="0"/>
                <w:sz w:val="18"/>
                <w:szCs w:val="18"/>
              </w:rPr>
              <w:t>Programa de radio TRANSFONDO, realizado por estudiantes de Servicio Social</w:t>
            </w:r>
          </w:p>
        </w:tc>
        <w:tc>
          <w:tcPr>
            <w:tcW w:w="2942" w:type="dxa"/>
            <w:hideMark/>
          </w:tcPr>
          <w:p w:rsidR="00C7418E" w:rsidRPr="00DC6FE3" w:rsidRDefault="00C7418E" w:rsidP="00C7418E">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DC6FE3">
              <w:rPr>
                <w:rFonts w:asciiTheme="minorHAnsi" w:hAnsiTheme="minorHAnsi"/>
                <w:sz w:val="18"/>
                <w:szCs w:val="18"/>
              </w:rPr>
              <w:t>3 Estudiantes de Servicio Social de la Universidad</w:t>
            </w:r>
          </w:p>
        </w:tc>
      </w:tr>
      <w:tr w:rsidR="00C7418E" w:rsidRPr="00DC6FE3" w:rsidTr="00DC6FE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6062" w:type="dxa"/>
            <w:hideMark/>
          </w:tcPr>
          <w:p w:rsidR="00C7418E" w:rsidRPr="00DC6FE3" w:rsidRDefault="00C7418E" w:rsidP="00C7418E">
            <w:pPr>
              <w:rPr>
                <w:rFonts w:asciiTheme="minorHAnsi" w:hAnsiTheme="minorHAnsi"/>
                <w:b w:val="0"/>
                <w:sz w:val="18"/>
                <w:szCs w:val="18"/>
              </w:rPr>
            </w:pPr>
            <w:r w:rsidRPr="00DC6FE3">
              <w:rPr>
                <w:rFonts w:asciiTheme="minorHAnsi" w:hAnsiTheme="minorHAnsi"/>
                <w:b w:val="0"/>
                <w:sz w:val="18"/>
                <w:szCs w:val="18"/>
              </w:rPr>
              <w:t>Cátedra de ética y responsabilidad social</w:t>
            </w:r>
          </w:p>
        </w:tc>
        <w:tc>
          <w:tcPr>
            <w:tcW w:w="2942" w:type="dxa"/>
            <w:hideMark/>
          </w:tcPr>
          <w:p w:rsidR="00C7418E" w:rsidRPr="00DC6FE3" w:rsidRDefault="00C7418E" w:rsidP="00C7418E">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18"/>
                <w:szCs w:val="18"/>
              </w:rPr>
            </w:pPr>
            <w:r w:rsidRPr="00DC6FE3">
              <w:rPr>
                <w:rFonts w:asciiTheme="minorHAnsi" w:hAnsiTheme="minorHAnsi"/>
                <w:sz w:val="18"/>
                <w:szCs w:val="18"/>
              </w:rPr>
              <w:t>280 Estudiantes de Servicio Social de la Universidad</w:t>
            </w:r>
          </w:p>
        </w:tc>
      </w:tr>
      <w:tr w:rsidR="00C7418E" w:rsidRPr="00DC6FE3" w:rsidTr="00DC6FE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6062" w:type="dxa"/>
            <w:hideMark/>
          </w:tcPr>
          <w:p w:rsidR="00C7418E" w:rsidRPr="00DC6FE3" w:rsidRDefault="00C7418E" w:rsidP="00C7418E">
            <w:pPr>
              <w:rPr>
                <w:rFonts w:asciiTheme="minorHAnsi" w:hAnsiTheme="minorHAnsi"/>
                <w:b w:val="0"/>
                <w:sz w:val="18"/>
                <w:szCs w:val="18"/>
              </w:rPr>
            </w:pPr>
            <w:r w:rsidRPr="00DC6FE3">
              <w:rPr>
                <w:rFonts w:asciiTheme="minorHAnsi" w:hAnsiTheme="minorHAnsi"/>
                <w:b w:val="0"/>
                <w:sz w:val="18"/>
                <w:szCs w:val="18"/>
              </w:rPr>
              <w:t>Capacitación y formación  en las líneas de infancia, cultura y gestión ambiental</w:t>
            </w:r>
          </w:p>
        </w:tc>
        <w:tc>
          <w:tcPr>
            <w:tcW w:w="2942" w:type="dxa"/>
            <w:hideMark/>
          </w:tcPr>
          <w:p w:rsidR="00C7418E" w:rsidRPr="00DC6FE3" w:rsidRDefault="00C7418E" w:rsidP="00C7418E">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sz w:val="18"/>
                <w:szCs w:val="18"/>
              </w:rPr>
            </w:pPr>
            <w:r w:rsidRPr="00DC6FE3">
              <w:rPr>
                <w:rFonts w:asciiTheme="minorHAnsi" w:hAnsiTheme="minorHAnsi"/>
                <w:sz w:val="18"/>
                <w:szCs w:val="18"/>
              </w:rPr>
              <w:t>300 Estudiantes de Servicio Social de la Universidad</w:t>
            </w:r>
          </w:p>
        </w:tc>
      </w:tr>
    </w:tbl>
    <w:p w:rsidR="00C7418E" w:rsidRDefault="00DC6FE3" w:rsidP="00DC6FE3">
      <w:pPr>
        <w:jc w:val="center"/>
        <w:rPr>
          <w:b/>
        </w:rPr>
      </w:pPr>
      <w:r w:rsidRPr="0097471F">
        <w:rPr>
          <w:b/>
        </w:rPr>
        <w:t>Fuente: SIGOB</w:t>
      </w:r>
    </w:p>
    <w:p w:rsidR="0097471F" w:rsidRPr="0097471F" w:rsidRDefault="0097471F" w:rsidP="00DC6FE3">
      <w:pPr>
        <w:jc w:val="center"/>
        <w:rPr>
          <w:b/>
        </w:rPr>
      </w:pPr>
    </w:p>
    <w:p w:rsidR="00C7418E" w:rsidRPr="00DC6FE3" w:rsidRDefault="00CC2189" w:rsidP="00DC6FE3">
      <w:pPr>
        <w:pStyle w:val="Ttulo3"/>
      </w:pPr>
      <w:bookmarkStart w:id="126" w:name="_Toc354671346"/>
      <w:r w:rsidRPr="00DC6FE3">
        <w:rPr>
          <w:caps w:val="0"/>
        </w:rPr>
        <w:t>Vinculación Familiar</w:t>
      </w:r>
      <w:bookmarkEnd w:id="126"/>
    </w:p>
    <w:p w:rsidR="00C7418E" w:rsidRPr="00260CBC" w:rsidRDefault="00C7418E" w:rsidP="00C7418E"/>
    <w:p w:rsidR="00C7418E" w:rsidRPr="0033697D" w:rsidRDefault="00C7418E" w:rsidP="00C7418E">
      <w:r w:rsidRPr="0033697D">
        <w:t>Este componente tiene como objetivo primordial  acercar al padre a la universidad para que conozca el ambiente en el que desarrolla todas sus actividades de formación integral   su hijo, es un acercamiento que les permite  conocer el campus, los diferentes programas académicos y los apoyos socioeconómicos a los que pueden acceder los estudiantes. Les permite tener una visión más holística de la universidad.</w:t>
      </w:r>
    </w:p>
    <w:p w:rsidR="00C7418E" w:rsidRPr="00BA7A67" w:rsidRDefault="00C7418E" w:rsidP="00C7418E">
      <w:r w:rsidRPr="0033697D">
        <w:t xml:space="preserve">Como parte de estas actividades se convocan cada semestre a los padres con el fin de brindarles toda esta información, a través de la asociación de egresados y organizado por la Vicerrectoría de Responsabilidad Social y Bienestar Universitario; para la vigencia 2012 se contó con </w:t>
      </w:r>
      <w:r w:rsidRPr="00260CBC">
        <w:rPr>
          <w:b/>
        </w:rPr>
        <w:t>104</w:t>
      </w:r>
      <w:r w:rsidRPr="0033697D">
        <w:t xml:space="preserve"> padres vinculados al proyecto.</w:t>
      </w:r>
    </w:p>
    <w:p w:rsidR="00C7418E" w:rsidRDefault="00C7418E" w:rsidP="00C7418E">
      <w:pPr>
        <w:pStyle w:val="Default"/>
        <w:rPr>
          <w:rFonts w:asciiTheme="minorHAnsi" w:hAnsiTheme="minorHAnsi" w:cstheme="minorBidi"/>
          <w:color w:val="auto"/>
        </w:rPr>
      </w:pPr>
    </w:p>
    <w:p w:rsidR="00C7418E" w:rsidRDefault="00CC2189" w:rsidP="00DC6FE3">
      <w:pPr>
        <w:pStyle w:val="Ttulo3"/>
      </w:pPr>
      <w:bookmarkStart w:id="127" w:name="_Toc354671347"/>
      <w:r>
        <w:rPr>
          <w:caps w:val="0"/>
        </w:rPr>
        <w:lastRenderedPageBreak/>
        <w:t>Observatorio Social</w:t>
      </w:r>
      <w:bookmarkEnd w:id="127"/>
    </w:p>
    <w:p w:rsidR="00C7418E" w:rsidRPr="00A23FFD" w:rsidRDefault="00C7418E" w:rsidP="00C7418E">
      <w:pPr>
        <w:rPr>
          <w:sz w:val="24"/>
          <w:szCs w:val="24"/>
        </w:rPr>
      </w:pPr>
    </w:p>
    <w:p w:rsidR="00C7418E" w:rsidRPr="0097471F" w:rsidRDefault="00C7418E" w:rsidP="00C7418E">
      <w:r w:rsidRPr="0097471F">
        <w:t>El observatorio social es el encargado de desarrollar  labores de monitoreo, seguimiento, evaluación, investigación y sistematización de políticas, estrategias, programas, proyectos internos, externos y grupos poblacionales a través de  instrumentos  y herramientas que permitan la construcción de insumos pertinentes para la toma de decisiones.</w:t>
      </w:r>
    </w:p>
    <w:p w:rsidR="00C7418E" w:rsidRPr="0097471F" w:rsidRDefault="00C7418E" w:rsidP="00C7418E">
      <w:r w:rsidRPr="0097471F">
        <w:t xml:space="preserve">A través de la investigación social se identifican las necesidades de los estudiantes a partir de estudios de investigación, de igual forma se realizaron encuestas a los estudiantes nuevos con el fin de identificar los desertores tempranos  y el nivel de uso de los servicios de bienestar, al igual que el nivel  de satisfacción con la Vicerrectoría de Responsabilidad Social y Bienestar Universitario. </w:t>
      </w:r>
    </w:p>
    <w:p w:rsidR="00C7418E" w:rsidRPr="0097471F" w:rsidRDefault="00C7418E" w:rsidP="00C7418E">
      <w:r w:rsidRPr="0097471F">
        <w:t>Dentro de los resultados se destacan:</w:t>
      </w:r>
    </w:p>
    <w:p w:rsidR="00C7418E" w:rsidRPr="0097471F" w:rsidRDefault="00C7418E" w:rsidP="008475EC">
      <w:pPr>
        <w:pStyle w:val="Prrafodelista"/>
        <w:numPr>
          <w:ilvl w:val="0"/>
          <w:numId w:val="53"/>
        </w:numPr>
        <w:tabs>
          <w:tab w:val="left" w:pos="142"/>
          <w:tab w:val="left" w:pos="284"/>
        </w:tabs>
        <w:spacing w:after="200" w:line="276" w:lineRule="auto"/>
      </w:pPr>
      <w:r w:rsidRPr="0097471F">
        <w:t>Revisión y ajuste a los instrumentos para entrevista de ingreso y perfil de salud de estudiantes nuevos.</w:t>
      </w:r>
    </w:p>
    <w:p w:rsidR="00C7418E" w:rsidRPr="0097471F" w:rsidRDefault="00C7418E" w:rsidP="008475EC">
      <w:pPr>
        <w:pStyle w:val="Prrafodelista"/>
        <w:numPr>
          <w:ilvl w:val="0"/>
          <w:numId w:val="53"/>
        </w:numPr>
        <w:tabs>
          <w:tab w:val="left" w:pos="142"/>
          <w:tab w:val="left" w:pos="284"/>
        </w:tabs>
        <w:spacing w:after="200" w:line="276" w:lineRule="auto"/>
      </w:pPr>
      <w:r w:rsidRPr="0097471F">
        <w:t>La implementación y puesta en marcha de identificación de beneficiarios para el programa  de becas talento</w:t>
      </w:r>
    </w:p>
    <w:p w:rsidR="00C7418E" w:rsidRPr="0097471F" w:rsidRDefault="00C7418E" w:rsidP="008475EC">
      <w:pPr>
        <w:pStyle w:val="Prrafodelista"/>
        <w:numPr>
          <w:ilvl w:val="0"/>
          <w:numId w:val="53"/>
        </w:numPr>
        <w:tabs>
          <w:tab w:val="left" w:pos="142"/>
          <w:tab w:val="left" w:pos="284"/>
        </w:tabs>
        <w:spacing w:after="200" w:line="276" w:lineRule="auto"/>
      </w:pPr>
      <w:r w:rsidRPr="0097471F">
        <w:t>La implementación de diferentes herramientas para el seguimiento al objetivo de bienestar institucional del PDI, utilizando herramientas de la web 2.0.</w:t>
      </w:r>
    </w:p>
    <w:p w:rsidR="00C7418E" w:rsidRPr="0097471F" w:rsidRDefault="00C7418E" w:rsidP="008475EC">
      <w:pPr>
        <w:pStyle w:val="Prrafodelista"/>
        <w:numPr>
          <w:ilvl w:val="0"/>
          <w:numId w:val="53"/>
        </w:numPr>
        <w:tabs>
          <w:tab w:val="left" w:pos="142"/>
          <w:tab w:val="left" w:pos="284"/>
        </w:tabs>
        <w:spacing w:after="200" w:line="276" w:lineRule="auto"/>
      </w:pPr>
      <w:r w:rsidRPr="0097471F">
        <w:t>Articulación con el área de atención integral para establecer nuevos criterios para la obtención de los apoyos socioeconómicos.</w:t>
      </w:r>
    </w:p>
    <w:p w:rsidR="00C7418E" w:rsidRPr="0097471F" w:rsidRDefault="00C7418E" w:rsidP="008475EC">
      <w:pPr>
        <w:pStyle w:val="Prrafodelista"/>
        <w:numPr>
          <w:ilvl w:val="0"/>
          <w:numId w:val="53"/>
        </w:numPr>
        <w:tabs>
          <w:tab w:val="left" w:pos="142"/>
          <w:tab w:val="left" w:pos="284"/>
        </w:tabs>
        <w:spacing w:after="200" w:line="276" w:lineRule="auto"/>
      </w:pPr>
      <w:r w:rsidRPr="0097471F">
        <w:t>La estructuración de la propuesta de la red de observadores sociales y el diseño del manual del observador social.</w:t>
      </w:r>
    </w:p>
    <w:p w:rsidR="00C7418E" w:rsidRPr="0097471F" w:rsidRDefault="00C7418E" w:rsidP="008475EC">
      <w:pPr>
        <w:pStyle w:val="Prrafodelista"/>
        <w:numPr>
          <w:ilvl w:val="0"/>
          <w:numId w:val="53"/>
        </w:numPr>
        <w:tabs>
          <w:tab w:val="left" w:pos="142"/>
          <w:tab w:val="left" w:pos="284"/>
        </w:tabs>
        <w:spacing w:after="200" w:line="276" w:lineRule="auto"/>
      </w:pPr>
      <w:r w:rsidRPr="0097471F">
        <w:t>Formulación del Proyecto Centro Multipropósito en la Matriz del Marco Lógico para su inscripción en el Plan de Desarrollo Institucional de la Universidad Tecnológica de Pereira.</w:t>
      </w:r>
    </w:p>
    <w:p w:rsidR="00C7418E" w:rsidRPr="0097471F" w:rsidRDefault="00C7418E" w:rsidP="008475EC">
      <w:pPr>
        <w:pStyle w:val="Prrafodelista"/>
        <w:numPr>
          <w:ilvl w:val="0"/>
          <w:numId w:val="53"/>
        </w:numPr>
        <w:tabs>
          <w:tab w:val="left" w:pos="142"/>
          <w:tab w:val="left" w:pos="284"/>
        </w:tabs>
        <w:spacing w:after="200" w:line="276" w:lineRule="auto"/>
      </w:pPr>
      <w:r w:rsidRPr="0097471F">
        <w:t>Formulación del Proyecto Centro Multipropósito en la Metodología General Ajustada para su inscripción en el Banco de Proyectos del Departamento Nacional de Planeación.</w:t>
      </w:r>
    </w:p>
    <w:p w:rsidR="00C7418E" w:rsidRDefault="00CC2189" w:rsidP="00DC6FE3">
      <w:pPr>
        <w:pStyle w:val="Ttulo3"/>
      </w:pPr>
      <w:bookmarkStart w:id="128" w:name="_Toc354671348"/>
      <w:r>
        <w:rPr>
          <w:caps w:val="0"/>
        </w:rPr>
        <w:t>Gestión Estratégica</w:t>
      </w:r>
      <w:bookmarkEnd w:id="128"/>
    </w:p>
    <w:p w:rsidR="00C7418E" w:rsidRDefault="00C7418E" w:rsidP="00C7418E">
      <w:pPr>
        <w:rPr>
          <w:rFonts w:ascii="Albertus MT Lt" w:hAnsi="Albertus MT Lt"/>
          <w:b/>
        </w:rPr>
      </w:pPr>
    </w:p>
    <w:p w:rsidR="00C7418E" w:rsidRPr="0097471F" w:rsidRDefault="00C7418E" w:rsidP="00C7418E">
      <w:r w:rsidRPr="0097471F">
        <w:t>Desde la Vicerrectoría de Responsabilidad Social y Bienestar Universitario, se concibieron tres enfoques principales: el fortalecimiento de la responsabilidad social, la gestión de la comunicación e Información y la gestión logística, ejes que están construidos desde una visión de acercamiento, gestión y trabajo conjunto entre la Universidad, la Empresa y el Estado.</w:t>
      </w:r>
    </w:p>
    <w:p w:rsidR="00C7418E" w:rsidRPr="0097471F" w:rsidRDefault="00C7418E" w:rsidP="00C7418E">
      <w:r w:rsidRPr="0097471F">
        <w:t>La atención, comunicación e información se encuentra orientada hacia el cliente interno y externo, el fortalecimiento de la imagen y posicionamiento institucional en el medio;  así como el uso adecuado, direccionado y planeado de los recursos desde una visión administrativa y financiera bajo los lineamientos institucionales y desde una cultura del acompañamiento y trabajo en equipo, todo esto con el lema de Trabajamos con Responsabilidad Social para un Bienestar Institucional.</w:t>
      </w:r>
    </w:p>
    <w:p w:rsidR="00C7418E" w:rsidRDefault="00C7418E" w:rsidP="00C7418E">
      <w:r w:rsidRPr="0097471F">
        <w:lastRenderedPageBreak/>
        <w:t xml:space="preserve">El área de Gestión Estratégica reporta un resultado de </w:t>
      </w:r>
      <w:r w:rsidRPr="0097471F">
        <w:rPr>
          <w:b/>
        </w:rPr>
        <w:t>97,76%</w:t>
      </w:r>
      <w:r w:rsidRPr="0097471F">
        <w:t xml:space="preserve"> de los recursos gestionados en comparación con los asignados, es decir que de </w:t>
      </w:r>
      <w:r w:rsidRPr="0097471F">
        <w:rPr>
          <w:b/>
        </w:rPr>
        <w:t>$ 1.265.869.000</w:t>
      </w:r>
      <w:r w:rsidRPr="0097471F">
        <w:t xml:space="preserve">, se han gestionado hasta el momento </w:t>
      </w:r>
      <w:r w:rsidRPr="0097471F">
        <w:rPr>
          <w:b/>
        </w:rPr>
        <w:t>$1.237.480.013</w:t>
      </w:r>
      <w:r w:rsidRPr="0097471F">
        <w:t xml:space="preserve"> correspondientes a los siguientes proyectos y actividades: Banquete Plan Padrino, intereses de la nación, PAE Providencia, todos a la universidad y Risaralda Profesional.</w:t>
      </w:r>
    </w:p>
    <w:p w:rsidR="0097471F" w:rsidRDefault="0097471F" w:rsidP="0097471F">
      <w:pPr>
        <w:jc w:val="center"/>
        <w:rPr>
          <w:sz w:val="24"/>
          <w:szCs w:val="24"/>
        </w:rPr>
      </w:pPr>
      <w:r>
        <w:rPr>
          <w:b/>
          <w:color w:val="000000" w:themeColor="text1"/>
        </w:rPr>
        <w:t>Gestión de Recursos Responsabilidad Social 2011 – 2012</w:t>
      </w:r>
    </w:p>
    <w:p w:rsidR="0097471F" w:rsidRDefault="0097471F" w:rsidP="000512D0">
      <w:pPr>
        <w:jc w:val="center"/>
        <w:rPr>
          <w:sz w:val="24"/>
          <w:szCs w:val="24"/>
        </w:rPr>
      </w:pPr>
      <w:r>
        <w:rPr>
          <w:noProof/>
          <w:sz w:val="24"/>
          <w:szCs w:val="24"/>
          <w:lang w:val="es-CO" w:eastAsia="es-CO"/>
        </w:rPr>
        <w:drawing>
          <wp:inline distT="0" distB="0" distL="0" distR="0">
            <wp:extent cx="3672000" cy="1850400"/>
            <wp:effectExtent l="0" t="0" r="5080" b="0"/>
            <wp:docPr id="30" name="Gráfico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rsidR="0097471F" w:rsidRPr="0097471F" w:rsidRDefault="0097471F" w:rsidP="0097471F">
      <w:pPr>
        <w:jc w:val="center"/>
        <w:rPr>
          <w:b/>
          <w:sz w:val="24"/>
          <w:szCs w:val="24"/>
        </w:rPr>
      </w:pPr>
      <w:r w:rsidRPr="0097471F">
        <w:rPr>
          <w:b/>
          <w:sz w:val="24"/>
          <w:szCs w:val="24"/>
        </w:rPr>
        <w:t>Fuente: SIGOB</w:t>
      </w:r>
    </w:p>
    <w:p w:rsidR="00C7418E" w:rsidRPr="002C7AD7" w:rsidRDefault="00C7418E" w:rsidP="00C7418E">
      <w:r w:rsidRPr="002C7AD7">
        <w:t>Dentro de las actividades más importantes durante el 2012 por parte de gestión estratégica, se destacan:</w:t>
      </w:r>
    </w:p>
    <w:p w:rsidR="00C7418E" w:rsidRPr="002C7AD7" w:rsidRDefault="00C7418E" w:rsidP="008475EC">
      <w:pPr>
        <w:pStyle w:val="Prrafodelista"/>
        <w:numPr>
          <w:ilvl w:val="0"/>
          <w:numId w:val="54"/>
        </w:numPr>
        <w:spacing w:after="200" w:line="276" w:lineRule="auto"/>
      </w:pPr>
      <w:r w:rsidRPr="002C7AD7">
        <w:t>Conferencias que fortalecen la relación universidad, empresa  y estado: Sostenibilidad Empresarial Caso Ecopetrol por parte del  Doctor Javier Gutiérrez P. Presidente Ecopetrol S.A. y la conferencia Responsabilidad Social Corporativa en el ámbito de la Globalización realizada por el Dr. Nicanor Restrepo Santamaría, una alianza entre las Vicerrectorías De Investigaciones, Innovación y extensión y Responsabilidad Social Y Bienestar Universitario.</w:t>
      </w:r>
    </w:p>
    <w:p w:rsidR="00C7418E" w:rsidRPr="002C7AD7" w:rsidRDefault="00C7418E" w:rsidP="008475EC">
      <w:pPr>
        <w:pStyle w:val="Prrafodelista"/>
        <w:numPr>
          <w:ilvl w:val="0"/>
          <w:numId w:val="54"/>
        </w:numPr>
        <w:spacing w:after="200" w:line="276" w:lineRule="auto"/>
      </w:pPr>
      <w:r w:rsidRPr="002C7AD7">
        <w:t xml:space="preserve">A demás se logró la gestión de recursos a través de la firma de </w:t>
      </w:r>
      <w:r w:rsidRPr="002C7AD7">
        <w:rPr>
          <w:b/>
        </w:rPr>
        <w:t>15</w:t>
      </w:r>
      <w:r w:rsidRPr="002C7AD7">
        <w:t xml:space="preserve"> convenios con el sector público y privado, como estrategia para fortalecimiento d la Responsabilidad Social.</w:t>
      </w:r>
    </w:p>
    <w:p w:rsidR="00C7418E" w:rsidRPr="002C7AD7" w:rsidRDefault="00C7418E" w:rsidP="008475EC">
      <w:pPr>
        <w:pStyle w:val="Prrafodelista"/>
        <w:numPr>
          <w:ilvl w:val="0"/>
          <w:numId w:val="54"/>
        </w:numPr>
        <w:spacing w:after="200" w:line="276" w:lineRule="auto"/>
      </w:pPr>
      <w:r w:rsidRPr="002C7AD7">
        <w:t xml:space="preserve">Participación en diferentes eventos institucionales como Apertura XVII Convención Nacional de Egresados/Egresado Distinguido, Visita de Presidentes de los Gremios a nivel Nacional: </w:t>
      </w:r>
      <w:proofErr w:type="spellStart"/>
      <w:r w:rsidRPr="002C7AD7">
        <w:t>Andi</w:t>
      </w:r>
      <w:proofErr w:type="spellEnd"/>
      <w:r w:rsidRPr="002C7AD7">
        <w:t xml:space="preserve">, </w:t>
      </w:r>
      <w:proofErr w:type="spellStart"/>
      <w:r w:rsidRPr="002C7AD7">
        <w:t>Fenalco</w:t>
      </w:r>
      <w:proofErr w:type="spellEnd"/>
      <w:r w:rsidRPr="002C7AD7">
        <w:t xml:space="preserve">, </w:t>
      </w:r>
      <w:proofErr w:type="spellStart"/>
      <w:r w:rsidRPr="002C7AD7">
        <w:t>Fedepalma</w:t>
      </w:r>
      <w:proofErr w:type="spellEnd"/>
      <w:r w:rsidRPr="002C7AD7">
        <w:t xml:space="preserve"> y Federación Nacional  De Biocombustible cuyo objetivo era la Organización y fortalecimiento de las relaciones públicas con los diferentes entornos de la región.</w:t>
      </w:r>
    </w:p>
    <w:p w:rsidR="00C7418E" w:rsidRPr="002C7AD7" w:rsidRDefault="00C7418E" w:rsidP="00C7418E">
      <w:r w:rsidRPr="002C7AD7">
        <w:t>Se destaca el aumento de la gestión de recursos de este Objetivo Institucional, como se puede apreciar en la siguiente gráfica.</w:t>
      </w:r>
    </w:p>
    <w:p w:rsidR="00DC6FE3" w:rsidRDefault="00DC6FE3" w:rsidP="00C7418E">
      <w:pPr>
        <w:rPr>
          <w:sz w:val="24"/>
          <w:szCs w:val="24"/>
        </w:rPr>
      </w:pPr>
    </w:p>
    <w:p w:rsidR="00445D57" w:rsidRDefault="00445D57" w:rsidP="00C7418E">
      <w:pPr>
        <w:spacing w:after="200" w:line="276" w:lineRule="auto"/>
        <w:rPr>
          <w:rFonts w:asciiTheme="minorHAnsi" w:hAnsiTheme="minorHAnsi" w:cs="Arial"/>
        </w:rPr>
      </w:pPr>
    </w:p>
    <w:p w:rsidR="007249A1" w:rsidRDefault="007249A1" w:rsidP="00CB2130">
      <w:pPr>
        <w:spacing w:after="200" w:line="276" w:lineRule="auto"/>
        <w:rPr>
          <w:rFonts w:asciiTheme="minorHAnsi" w:hAnsiTheme="minorHAnsi" w:cs="Arial"/>
        </w:rPr>
      </w:pPr>
    </w:p>
    <w:p w:rsidR="007249A1" w:rsidRDefault="007249A1" w:rsidP="00CB2130">
      <w:pPr>
        <w:spacing w:after="200" w:line="276" w:lineRule="auto"/>
        <w:rPr>
          <w:rFonts w:asciiTheme="minorHAnsi" w:hAnsiTheme="minorHAnsi" w:cs="Arial"/>
        </w:rPr>
      </w:pPr>
    </w:p>
    <w:p w:rsidR="007249A1" w:rsidRDefault="007249A1">
      <w:pPr>
        <w:spacing w:after="200" w:line="276" w:lineRule="auto"/>
        <w:jc w:val="left"/>
        <w:rPr>
          <w:rFonts w:asciiTheme="minorHAnsi" w:hAnsiTheme="minorHAnsi" w:cs="Arial"/>
        </w:rPr>
      </w:pPr>
      <w:r>
        <w:rPr>
          <w:rFonts w:asciiTheme="minorHAnsi" w:hAnsiTheme="minorHAnsi" w:cs="Arial"/>
        </w:rPr>
        <w:lastRenderedPageBreak/>
        <w:br w:type="page"/>
      </w:r>
    </w:p>
    <w:p w:rsidR="00B963FC" w:rsidRPr="00535E30" w:rsidRDefault="00535E30" w:rsidP="00C0346D">
      <w:pPr>
        <w:pStyle w:val="Ttulo2"/>
        <w:numPr>
          <w:ilvl w:val="1"/>
          <w:numId w:val="21"/>
        </w:numPr>
        <w:spacing w:line="276" w:lineRule="auto"/>
      </w:pPr>
      <w:bookmarkStart w:id="129" w:name="_Toc304826940"/>
      <w:bookmarkStart w:id="130" w:name="_Toc347392846"/>
      <w:bookmarkStart w:id="131" w:name="_Toc354671349"/>
      <w:r w:rsidRPr="00535E30">
        <w:rPr>
          <w:caps w:val="0"/>
        </w:rPr>
        <w:lastRenderedPageBreak/>
        <w:t>INVESTIGACIONES, INNOVACIÓN Y EXTENSIÓN</w:t>
      </w:r>
      <w:bookmarkEnd w:id="129"/>
      <w:bookmarkEnd w:id="130"/>
      <w:bookmarkEnd w:id="131"/>
    </w:p>
    <w:p w:rsidR="00B963FC" w:rsidRPr="00535E30" w:rsidRDefault="00B963FC" w:rsidP="00F80905">
      <w:pPr>
        <w:spacing w:after="0" w:line="276" w:lineRule="auto"/>
        <w:rPr>
          <w:rFonts w:asciiTheme="minorHAnsi" w:hAnsiTheme="minorHAnsi" w:cs="Arial"/>
        </w:rPr>
      </w:pPr>
    </w:p>
    <w:p w:rsidR="00EB2E1D" w:rsidRPr="00EB2E1D" w:rsidRDefault="00EB2E1D" w:rsidP="00EB2E1D">
      <w:pPr>
        <w:spacing w:after="0"/>
        <w:rPr>
          <w:szCs w:val="20"/>
        </w:rPr>
      </w:pPr>
      <w:r w:rsidRPr="00EB2E1D">
        <w:t>La Universidad a través de este objetivo institucional, se incorpora en la búsqueda permanente del conocimiento y su expansión en los diferentes ámbitos de las ciencias (las ciencias naturales, exactas, sociales y humanas), lo cual le permitirá ser más visible y pertinente en el ámbito regional, nacional e internacional. Igualmente, a través de la innovación, la Universidad es un soporte fundamental para contribuir con la generación de propuestas basadas en el conocimiento y el aporte de soluciones prácticas a la sociedad y al sector productivo en particular, y que se reflejen en el crecimiento económico, distribución equitativa del ingreso, elevación de la calidad de vida, la armonía con el medio ambiente, la democracia efectiva y la protección del patrimonio cultural.</w:t>
      </w:r>
    </w:p>
    <w:p w:rsidR="00EB2E1D" w:rsidRPr="00EB2E1D" w:rsidRDefault="00EB2E1D" w:rsidP="00EB2E1D">
      <w:pPr>
        <w:spacing w:after="0"/>
        <w:rPr>
          <w:szCs w:val="20"/>
        </w:rPr>
      </w:pPr>
    </w:p>
    <w:p w:rsidR="00EB2E1D" w:rsidRPr="00EB2E1D" w:rsidRDefault="00EB2E1D" w:rsidP="00EB2E1D">
      <w:pPr>
        <w:autoSpaceDE w:val="0"/>
        <w:autoSpaceDN w:val="0"/>
        <w:adjustRightInd w:val="0"/>
        <w:spacing w:after="0"/>
      </w:pPr>
      <w:r w:rsidRPr="00EB2E1D">
        <w:t xml:space="preserve">En este sentido, el objetivo Institucional de Investigaciones, Innovación y extensión; mide sus resultados en el nivel de propósito mediante los siguientes indicadores: </w:t>
      </w:r>
    </w:p>
    <w:p w:rsidR="00EB2E1D" w:rsidRPr="00EB2E1D" w:rsidRDefault="00EB2E1D" w:rsidP="00EB2E1D">
      <w:pPr>
        <w:autoSpaceDE w:val="0"/>
        <w:autoSpaceDN w:val="0"/>
        <w:adjustRightInd w:val="0"/>
        <w:spacing w:after="0"/>
      </w:pPr>
    </w:p>
    <w:p w:rsidR="00EB2E1D" w:rsidRPr="00EB2E1D" w:rsidRDefault="00EB2E1D" w:rsidP="00C0346D">
      <w:pPr>
        <w:pStyle w:val="Prrafodelista"/>
        <w:numPr>
          <w:ilvl w:val="0"/>
          <w:numId w:val="24"/>
        </w:numPr>
        <w:autoSpaceDE w:val="0"/>
        <w:autoSpaceDN w:val="0"/>
        <w:adjustRightInd w:val="0"/>
        <w:spacing w:after="68"/>
        <w:rPr>
          <w:rFonts w:ascii="Calibri" w:hAnsi="Calibri"/>
        </w:rPr>
      </w:pPr>
      <w:r w:rsidRPr="00EB2E1D">
        <w:rPr>
          <w:rFonts w:ascii="Calibri" w:hAnsi="Calibri"/>
        </w:rPr>
        <w:t xml:space="preserve">Porcentaje de patentes en trámite o aprobadas que hayan sido comercializadas. </w:t>
      </w:r>
    </w:p>
    <w:p w:rsidR="00EB2E1D" w:rsidRPr="00EB2E1D" w:rsidRDefault="00EB2E1D" w:rsidP="00C0346D">
      <w:pPr>
        <w:pStyle w:val="Prrafodelista"/>
        <w:numPr>
          <w:ilvl w:val="0"/>
          <w:numId w:val="24"/>
        </w:numPr>
        <w:autoSpaceDE w:val="0"/>
        <w:autoSpaceDN w:val="0"/>
        <w:adjustRightInd w:val="0"/>
        <w:spacing w:after="68"/>
        <w:rPr>
          <w:rFonts w:ascii="Calibri" w:hAnsi="Calibri"/>
        </w:rPr>
      </w:pPr>
      <w:r w:rsidRPr="00EB2E1D">
        <w:rPr>
          <w:rFonts w:ascii="Calibri" w:hAnsi="Calibri"/>
        </w:rPr>
        <w:t xml:space="preserve">Número de artículos publicados en los índex internacionales. </w:t>
      </w:r>
    </w:p>
    <w:p w:rsidR="00EB2E1D" w:rsidRPr="00EB2E1D" w:rsidRDefault="00EB2E1D" w:rsidP="00C0346D">
      <w:pPr>
        <w:pStyle w:val="Prrafodelista"/>
        <w:numPr>
          <w:ilvl w:val="0"/>
          <w:numId w:val="24"/>
        </w:numPr>
        <w:autoSpaceDE w:val="0"/>
        <w:autoSpaceDN w:val="0"/>
        <w:adjustRightInd w:val="0"/>
        <w:spacing w:after="68"/>
        <w:rPr>
          <w:rFonts w:ascii="Calibri" w:hAnsi="Calibri"/>
        </w:rPr>
      </w:pPr>
      <w:r w:rsidRPr="00EB2E1D">
        <w:rPr>
          <w:rFonts w:ascii="Calibri" w:hAnsi="Calibri"/>
        </w:rPr>
        <w:t xml:space="preserve">Porcentaje de proyectos de investigación apropiados por la sociedad. </w:t>
      </w:r>
    </w:p>
    <w:p w:rsidR="00EB2E1D" w:rsidRPr="00EB2E1D" w:rsidRDefault="00EB2E1D" w:rsidP="00C0346D">
      <w:pPr>
        <w:pStyle w:val="Prrafodelista"/>
        <w:numPr>
          <w:ilvl w:val="0"/>
          <w:numId w:val="24"/>
        </w:numPr>
        <w:autoSpaceDE w:val="0"/>
        <w:autoSpaceDN w:val="0"/>
        <w:adjustRightInd w:val="0"/>
        <w:spacing w:after="68"/>
        <w:rPr>
          <w:rFonts w:ascii="Calibri" w:hAnsi="Calibri"/>
        </w:rPr>
      </w:pPr>
      <w:r w:rsidRPr="00EB2E1D">
        <w:rPr>
          <w:rFonts w:ascii="Calibri" w:hAnsi="Calibri"/>
        </w:rPr>
        <w:t xml:space="preserve">Porcentaje de software y libros que hayan sido comercializados. </w:t>
      </w:r>
    </w:p>
    <w:p w:rsidR="00EB2E1D" w:rsidRPr="00F9773C" w:rsidRDefault="00EB2E1D" w:rsidP="00EB2E1D">
      <w:pPr>
        <w:autoSpaceDE w:val="0"/>
        <w:autoSpaceDN w:val="0"/>
        <w:adjustRightInd w:val="0"/>
        <w:spacing w:after="0"/>
        <w:rPr>
          <w:rFonts w:cs="Calibri"/>
          <w:color w:val="000000"/>
          <w:sz w:val="24"/>
          <w:szCs w:val="24"/>
        </w:rPr>
      </w:pPr>
    </w:p>
    <w:p w:rsidR="00EB2E1D" w:rsidRDefault="00EB2E1D" w:rsidP="00117745">
      <w:pPr>
        <w:pStyle w:val="Ttulo3"/>
        <w:rPr>
          <w:szCs w:val="20"/>
        </w:rPr>
      </w:pPr>
      <w:bookmarkStart w:id="132" w:name="_Toc354671350"/>
      <w:r w:rsidRPr="00F9773C">
        <w:t>Porcentaje de Patentes en Trámite o aprobadas que hayan sido comercializadas</w:t>
      </w:r>
      <w:bookmarkEnd w:id="132"/>
    </w:p>
    <w:p w:rsidR="00EB2E1D" w:rsidRDefault="00EB2E1D" w:rsidP="00EB2E1D">
      <w:pPr>
        <w:spacing w:after="0"/>
        <w:rPr>
          <w:szCs w:val="20"/>
        </w:rPr>
      </w:pPr>
    </w:p>
    <w:p w:rsidR="00EB2E1D" w:rsidRDefault="00EB2E1D" w:rsidP="00EB2E1D">
      <w:pPr>
        <w:spacing w:after="0"/>
      </w:pPr>
      <w:r w:rsidRPr="00EB2E1D">
        <w:t>Este resultado cuantifica la comercialización de patentes y diseños industriales en trámite o aprobados que hayan sido comercializados, busca medir el grado de comercialización de las innovaciones susceptibles de ser patentadas y registradas. Entendiendo una patente como los inventos o innovaciones desarrolladas por la Universidad concretadas a través de la venta, licenciamiento u otra forma de aprovechamiento.</w:t>
      </w:r>
    </w:p>
    <w:p w:rsidR="009E4114" w:rsidRDefault="009E4114" w:rsidP="00EB2E1D">
      <w:pPr>
        <w:spacing w:after="0"/>
      </w:pPr>
    </w:p>
    <w:p w:rsidR="009E4114" w:rsidRPr="0069072F" w:rsidRDefault="009E4114" w:rsidP="009E4114">
      <w:pPr>
        <w:pStyle w:val="Epgrafe"/>
        <w:keepNext/>
        <w:spacing w:line="276" w:lineRule="auto"/>
        <w:rPr>
          <w:color w:val="000000" w:themeColor="text1"/>
        </w:rPr>
      </w:pPr>
      <w:r w:rsidRPr="0069072F">
        <w:rPr>
          <w:color w:val="000000" w:themeColor="text1"/>
        </w:rPr>
        <w:t xml:space="preserve">Resultados </w:t>
      </w:r>
      <w:r>
        <w:rPr>
          <w:color w:val="000000" w:themeColor="text1"/>
        </w:rPr>
        <w:t>–</w:t>
      </w:r>
      <w:r w:rsidRPr="0069072F">
        <w:rPr>
          <w:color w:val="000000" w:themeColor="text1"/>
        </w:rPr>
        <w:t xml:space="preserve"> Metas</w:t>
      </w:r>
      <w:r>
        <w:rPr>
          <w:color w:val="000000" w:themeColor="text1"/>
        </w:rPr>
        <w:t xml:space="preserve"> %</w:t>
      </w:r>
      <w:r w:rsidRPr="0069072F">
        <w:rPr>
          <w:color w:val="000000" w:themeColor="text1"/>
        </w:rPr>
        <w:t xml:space="preserve"> </w:t>
      </w:r>
      <w:r>
        <w:rPr>
          <w:color w:val="000000" w:themeColor="text1"/>
        </w:rPr>
        <w:t>Patentes comercializadas</w:t>
      </w:r>
      <w:r w:rsidRPr="0069072F">
        <w:rPr>
          <w:color w:val="000000" w:themeColor="text1"/>
        </w:rPr>
        <w:t xml:space="preserve"> para el año 2012.</w:t>
      </w:r>
    </w:p>
    <w:p w:rsidR="009E4114" w:rsidRPr="0069072F" w:rsidRDefault="009E4114" w:rsidP="009E4114">
      <w:pPr>
        <w:spacing w:after="0"/>
        <w:jc w:val="center"/>
      </w:pPr>
      <w:r w:rsidRPr="0069072F">
        <w:rPr>
          <w:noProof/>
          <w:lang w:val="es-CO" w:eastAsia="es-CO"/>
        </w:rPr>
        <w:drawing>
          <wp:inline distT="0" distB="0" distL="0" distR="0">
            <wp:extent cx="4772025" cy="1743075"/>
            <wp:effectExtent l="0" t="0" r="0" b="0"/>
            <wp:docPr id="5" name="1 Gráfico"/>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rsidR="009E4114" w:rsidRDefault="009E4114" w:rsidP="009E4114">
      <w:pPr>
        <w:jc w:val="center"/>
        <w:rPr>
          <w:b/>
          <w:i/>
          <w:sz w:val="20"/>
        </w:rPr>
      </w:pPr>
      <w:r w:rsidRPr="0069072F">
        <w:rPr>
          <w:b/>
          <w:i/>
          <w:sz w:val="20"/>
        </w:rPr>
        <w:t>Fuente: SIGOB</w:t>
      </w:r>
    </w:p>
    <w:p w:rsidR="00EB2E1D" w:rsidRPr="00EB2E1D" w:rsidRDefault="00EB2E1D" w:rsidP="00EB2E1D">
      <w:pPr>
        <w:spacing w:after="0"/>
      </w:pPr>
    </w:p>
    <w:p w:rsidR="007B5F7F" w:rsidRPr="00273397" w:rsidRDefault="007B5F7F" w:rsidP="007B5F7F">
      <w:pPr>
        <w:spacing w:after="0" w:line="276" w:lineRule="auto"/>
        <w:rPr>
          <w:rFonts w:asciiTheme="minorHAnsi" w:hAnsiTheme="minorHAnsi"/>
        </w:rPr>
      </w:pPr>
      <w:r w:rsidRPr="00273397">
        <w:rPr>
          <w:rFonts w:asciiTheme="minorHAnsi" w:hAnsiTheme="minorHAnsi"/>
          <w:szCs w:val="20"/>
        </w:rPr>
        <w:lastRenderedPageBreak/>
        <w:t>De un total de 10 patentes con las que cuenta la UTP (5 aprobadas y 5 en trámite), una de ellas</w:t>
      </w:r>
      <w:r w:rsidRPr="00273397">
        <w:rPr>
          <w:rFonts w:asciiTheme="minorHAnsi" w:hAnsiTheme="minorHAnsi"/>
          <w:b/>
          <w:color w:val="FF0000"/>
          <w:szCs w:val="20"/>
        </w:rPr>
        <w:t xml:space="preserve"> </w:t>
      </w:r>
      <w:r w:rsidRPr="00273397">
        <w:rPr>
          <w:rFonts w:asciiTheme="minorHAnsi" w:hAnsiTheme="minorHAnsi"/>
          <w:szCs w:val="20"/>
        </w:rPr>
        <w:t xml:space="preserve">fue comercializada durante el año 2012: “Selección y Propagación In Vitro de Mora de Castilla”. Esta patente </w:t>
      </w:r>
      <w:r w:rsidRPr="00273397">
        <w:rPr>
          <w:rFonts w:asciiTheme="minorHAnsi" w:hAnsiTheme="minorHAnsi"/>
        </w:rPr>
        <w:t xml:space="preserve">consiste en un método de propagación masiva in vitro de la especie frutal </w:t>
      </w:r>
      <w:proofErr w:type="spellStart"/>
      <w:r w:rsidRPr="00273397">
        <w:rPr>
          <w:rStyle w:val="nfasis"/>
          <w:rFonts w:asciiTheme="minorHAnsi" w:hAnsiTheme="minorHAnsi"/>
        </w:rPr>
        <w:t>Rubus</w:t>
      </w:r>
      <w:proofErr w:type="spellEnd"/>
      <w:r w:rsidRPr="00273397">
        <w:rPr>
          <w:rStyle w:val="nfasis"/>
          <w:rFonts w:asciiTheme="minorHAnsi" w:hAnsiTheme="minorHAnsi"/>
        </w:rPr>
        <w:t xml:space="preserve"> </w:t>
      </w:r>
      <w:proofErr w:type="spellStart"/>
      <w:r w:rsidRPr="00273397">
        <w:rPr>
          <w:rStyle w:val="nfasis"/>
          <w:rFonts w:asciiTheme="minorHAnsi" w:hAnsiTheme="minorHAnsi"/>
        </w:rPr>
        <w:t>glaucus</w:t>
      </w:r>
      <w:proofErr w:type="spellEnd"/>
      <w:r w:rsidRPr="00273397">
        <w:rPr>
          <w:rFonts w:asciiTheme="minorHAnsi" w:hAnsiTheme="minorHAnsi"/>
        </w:rPr>
        <w:t xml:space="preserve">. </w:t>
      </w:r>
    </w:p>
    <w:p w:rsidR="007B5F7F" w:rsidRPr="00273397" w:rsidRDefault="007B5F7F" w:rsidP="007B5F7F">
      <w:pPr>
        <w:spacing w:after="0" w:line="276" w:lineRule="auto"/>
        <w:rPr>
          <w:rFonts w:asciiTheme="minorHAnsi" w:hAnsiTheme="minorHAnsi"/>
        </w:rPr>
      </w:pPr>
    </w:p>
    <w:p w:rsidR="007B5F7F" w:rsidRPr="00273397" w:rsidRDefault="007B5F7F" w:rsidP="007B5F7F">
      <w:pPr>
        <w:spacing w:after="0" w:line="276" w:lineRule="auto"/>
        <w:rPr>
          <w:rFonts w:asciiTheme="minorHAnsi" w:hAnsiTheme="minorHAnsi"/>
        </w:rPr>
      </w:pPr>
      <w:r w:rsidRPr="00273397">
        <w:rPr>
          <w:rFonts w:asciiTheme="minorHAnsi" w:hAnsiTheme="minorHAnsi"/>
        </w:rPr>
        <w:t>El problema concreto que resolvió la patente fue la necesidad de obtención de cultivos de mora de castilla a gran escala</w:t>
      </w:r>
      <w:r w:rsidRPr="00273397">
        <w:rPr>
          <w:rFonts w:asciiTheme="minorHAnsi" w:hAnsiTheme="minorHAnsi"/>
          <w:b/>
        </w:rPr>
        <w:t>,</w:t>
      </w:r>
      <w:r w:rsidRPr="00273397">
        <w:rPr>
          <w:rFonts w:asciiTheme="minorHAnsi" w:hAnsiTheme="minorHAnsi"/>
        </w:rPr>
        <w:t xml:space="preserve"> por medio de la propagación in vitro de yemas. Se prevé que este tipo de desarrollos tecnológicos aporten a la productividad agrícola de la región cafetera colombiana y contribuyan con los esperados productos de la UTP a la Red de Nodos, en especial el de Biotecnología.</w:t>
      </w:r>
    </w:p>
    <w:p w:rsidR="007B5F7F" w:rsidRPr="00273397" w:rsidRDefault="007B5F7F" w:rsidP="007B5F7F">
      <w:pPr>
        <w:spacing w:after="0" w:line="276" w:lineRule="auto"/>
        <w:rPr>
          <w:rFonts w:asciiTheme="minorHAnsi" w:hAnsiTheme="minorHAnsi"/>
        </w:rPr>
      </w:pPr>
    </w:p>
    <w:p w:rsidR="007B5F7F" w:rsidRPr="00273397" w:rsidRDefault="007B5F7F" w:rsidP="007B5F7F">
      <w:pPr>
        <w:spacing w:line="276" w:lineRule="auto"/>
        <w:rPr>
          <w:rFonts w:asciiTheme="minorHAnsi" w:hAnsiTheme="minorHAnsi"/>
        </w:rPr>
      </w:pPr>
      <w:r w:rsidRPr="00273397">
        <w:rPr>
          <w:rFonts w:asciiTheme="minorHAnsi" w:hAnsiTheme="minorHAnsi"/>
        </w:rPr>
        <w:t>A continuación se registran las patentes generadas desde la Universidad:</w:t>
      </w:r>
    </w:p>
    <w:p w:rsidR="009E4114" w:rsidRDefault="009E4114" w:rsidP="009E4114"/>
    <w:p w:rsidR="009E4114" w:rsidRPr="009128C2" w:rsidRDefault="009E4114" w:rsidP="009E4114">
      <w:pPr>
        <w:pStyle w:val="Epgrafe"/>
        <w:rPr>
          <w:color w:val="000000" w:themeColor="text1"/>
        </w:rPr>
      </w:pPr>
      <w:r w:rsidRPr="009128C2">
        <w:rPr>
          <w:color w:val="000000" w:themeColor="text1"/>
        </w:rPr>
        <w:t>Patentes Nacionales Registradas en la Superintenden</w:t>
      </w:r>
      <w:r>
        <w:rPr>
          <w:color w:val="000000" w:themeColor="text1"/>
        </w:rPr>
        <w:t>cia de Industria y Comercio 2012</w:t>
      </w:r>
      <w:r w:rsidRPr="009128C2">
        <w:rPr>
          <w:color w:val="000000" w:themeColor="text1"/>
        </w:rPr>
        <w:t>.</w:t>
      </w:r>
    </w:p>
    <w:tbl>
      <w:tblPr>
        <w:tblStyle w:val="Cuadrculaclara-nfasis1"/>
        <w:tblW w:w="8990" w:type="dxa"/>
        <w:tblLook w:val="04A0" w:firstRow="1" w:lastRow="0" w:firstColumn="1" w:lastColumn="0" w:noHBand="0" w:noVBand="1"/>
      </w:tblPr>
      <w:tblGrid>
        <w:gridCol w:w="5637"/>
        <w:gridCol w:w="1227"/>
        <w:gridCol w:w="2126"/>
      </w:tblGrid>
      <w:tr w:rsidR="009E4114" w:rsidRPr="004B1F4D" w:rsidTr="004B1F4D">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637" w:type="dxa"/>
            <w:noWrap/>
            <w:hideMark/>
          </w:tcPr>
          <w:p w:rsidR="009E4114" w:rsidRPr="004B1F4D" w:rsidRDefault="009E4114" w:rsidP="004B1F4D">
            <w:pPr>
              <w:pStyle w:val="Sinespaciado"/>
              <w:jc w:val="center"/>
              <w:rPr>
                <w:sz w:val="18"/>
                <w:szCs w:val="18"/>
                <w:lang w:eastAsia="es-ES"/>
              </w:rPr>
            </w:pPr>
            <w:r w:rsidRPr="004B1F4D">
              <w:rPr>
                <w:sz w:val="18"/>
                <w:szCs w:val="18"/>
                <w:lang w:eastAsia="es-ES"/>
              </w:rPr>
              <w:t>Patente</w:t>
            </w:r>
          </w:p>
        </w:tc>
        <w:tc>
          <w:tcPr>
            <w:tcW w:w="1227" w:type="dxa"/>
            <w:noWrap/>
            <w:hideMark/>
          </w:tcPr>
          <w:p w:rsidR="009E4114" w:rsidRPr="004B1F4D" w:rsidRDefault="009E4114" w:rsidP="004B1F4D">
            <w:pPr>
              <w:pStyle w:val="Sinespaciado"/>
              <w:jc w:val="center"/>
              <w:cnfStyle w:val="100000000000" w:firstRow="1" w:lastRow="0" w:firstColumn="0" w:lastColumn="0" w:oddVBand="0" w:evenVBand="0" w:oddHBand="0" w:evenHBand="0" w:firstRowFirstColumn="0" w:firstRowLastColumn="0" w:lastRowFirstColumn="0" w:lastRowLastColumn="0"/>
              <w:rPr>
                <w:sz w:val="18"/>
                <w:szCs w:val="18"/>
                <w:lang w:eastAsia="es-ES"/>
              </w:rPr>
            </w:pPr>
            <w:r w:rsidRPr="004B1F4D">
              <w:rPr>
                <w:sz w:val="18"/>
                <w:szCs w:val="18"/>
                <w:lang w:eastAsia="es-ES"/>
              </w:rPr>
              <w:t>Estado de la Patente</w:t>
            </w:r>
          </w:p>
        </w:tc>
        <w:tc>
          <w:tcPr>
            <w:tcW w:w="2126" w:type="dxa"/>
            <w:noWrap/>
            <w:hideMark/>
          </w:tcPr>
          <w:p w:rsidR="009E4114" w:rsidRPr="004B1F4D" w:rsidRDefault="009E4114" w:rsidP="004B1F4D">
            <w:pPr>
              <w:pStyle w:val="Sinespaciado"/>
              <w:jc w:val="center"/>
              <w:cnfStyle w:val="100000000000" w:firstRow="1" w:lastRow="0" w:firstColumn="0" w:lastColumn="0" w:oddVBand="0" w:evenVBand="0" w:oddHBand="0" w:evenHBand="0" w:firstRowFirstColumn="0" w:firstRowLastColumn="0" w:lastRowFirstColumn="0" w:lastRowLastColumn="0"/>
              <w:rPr>
                <w:sz w:val="18"/>
                <w:szCs w:val="18"/>
                <w:lang w:eastAsia="es-ES"/>
              </w:rPr>
            </w:pPr>
            <w:r w:rsidRPr="004B1F4D">
              <w:rPr>
                <w:sz w:val="18"/>
                <w:szCs w:val="18"/>
                <w:lang w:eastAsia="es-ES"/>
              </w:rPr>
              <w:t>País</w:t>
            </w:r>
          </w:p>
        </w:tc>
      </w:tr>
      <w:tr w:rsidR="009E4114" w:rsidRPr="004B1F4D" w:rsidTr="004B1F4D">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637" w:type="dxa"/>
            <w:noWrap/>
            <w:hideMark/>
          </w:tcPr>
          <w:p w:rsidR="009E4114" w:rsidRPr="004B1F4D" w:rsidRDefault="009E4114" w:rsidP="004B1F4D">
            <w:pPr>
              <w:pStyle w:val="Sinespaciado"/>
              <w:rPr>
                <w:b w:val="0"/>
                <w:color w:val="000000"/>
                <w:sz w:val="18"/>
                <w:szCs w:val="18"/>
                <w:lang w:eastAsia="es-ES"/>
              </w:rPr>
            </w:pPr>
            <w:r w:rsidRPr="004B1F4D">
              <w:rPr>
                <w:b w:val="0"/>
                <w:color w:val="000000"/>
                <w:sz w:val="18"/>
                <w:szCs w:val="18"/>
                <w:lang w:eastAsia="es-ES"/>
              </w:rPr>
              <w:t>Mesa para linóleo y estampado</w:t>
            </w:r>
          </w:p>
        </w:tc>
        <w:tc>
          <w:tcPr>
            <w:tcW w:w="1227" w:type="dxa"/>
            <w:noWrap/>
            <w:hideMark/>
          </w:tcPr>
          <w:p w:rsidR="009E4114" w:rsidRPr="004B1F4D" w:rsidRDefault="009E4114" w:rsidP="004B1F4D">
            <w:pPr>
              <w:pStyle w:val="Sinespaciado"/>
              <w:cnfStyle w:val="000000100000" w:firstRow="0" w:lastRow="0" w:firstColumn="0" w:lastColumn="0" w:oddVBand="0" w:evenVBand="0" w:oddHBand="1" w:evenHBand="0" w:firstRowFirstColumn="0" w:firstRowLastColumn="0" w:lastRowFirstColumn="0" w:lastRowLastColumn="0"/>
              <w:rPr>
                <w:color w:val="000000"/>
                <w:sz w:val="18"/>
                <w:szCs w:val="18"/>
                <w:lang w:eastAsia="es-ES"/>
              </w:rPr>
            </w:pPr>
            <w:r w:rsidRPr="004B1F4D">
              <w:rPr>
                <w:color w:val="000000"/>
                <w:sz w:val="18"/>
                <w:szCs w:val="18"/>
                <w:lang w:eastAsia="es-ES"/>
              </w:rPr>
              <w:t>Aprobada</w:t>
            </w:r>
          </w:p>
        </w:tc>
        <w:tc>
          <w:tcPr>
            <w:tcW w:w="2126" w:type="dxa"/>
            <w:noWrap/>
            <w:hideMark/>
          </w:tcPr>
          <w:p w:rsidR="009E4114" w:rsidRPr="004B1F4D" w:rsidRDefault="009E4114" w:rsidP="004B1F4D">
            <w:pPr>
              <w:pStyle w:val="Sinespaciado"/>
              <w:cnfStyle w:val="000000100000" w:firstRow="0" w:lastRow="0" w:firstColumn="0" w:lastColumn="0" w:oddVBand="0" w:evenVBand="0" w:oddHBand="1" w:evenHBand="0" w:firstRowFirstColumn="0" w:firstRowLastColumn="0" w:lastRowFirstColumn="0" w:lastRowLastColumn="0"/>
              <w:rPr>
                <w:color w:val="000000"/>
                <w:sz w:val="18"/>
                <w:szCs w:val="18"/>
                <w:lang w:eastAsia="es-ES"/>
              </w:rPr>
            </w:pPr>
            <w:r w:rsidRPr="004B1F4D">
              <w:rPr>
                <w:color w:val="000000"/>
                <w:sz w:val="18"/>
                <w:szCs w:val="18"/>
                <w:lang w:eastAsia="es-ES"/>
              </w:rPr>
              <w:t>Colombia</w:t>
            </w:r>
          </w:p>
        </w:tc>
      </w:tr>
      <w:tr w:rsidR="009E4114" w:rsidRPr="004B1F4D" w:rsidTr="004B1F4D">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637" w:type="dxa"/>
            <w:noWrap/>
            <w:hideMark/>
          </w:tcPr>
          <w:p w:rsidR="009E4114" w:rsidRPr="004B1F4D" w:rsidRDefault="009E4114" w:rsidP="004B1F4D">
            <w:pPr>
              <w:pStyle w:val="Sinespaciado"/>
              <w:rPr>
                <w:b w:val="0"/>
                <w:color w:val="000000"/>
                <w:sz w:val="18"/>
                <w:szCs w:val="18"/>
                <w:lang w:eastAsia="es-ES"/>
              </w:rPr>
            </w:pPr>
            <w:r w:rsidRPr="004B1F4D">
              <w:rPr>
                <w:b w:val="0"/>
                <w:color w:val="000000"/>
                <w:sz w:val="18"/>
                <w:szCs w:val="18"/>
                <w:lang w:eastAsia="es-ES"/>
              </w:rPr>
              <w:t>Proceso y obtención de aceite de gusano quinto instar para uso cosmético</w:t>
            </w:r>
          </w:p>
        </w:tc>
        <w:tc>
          <w:tcPr>
            <w:tcW w:w="1227" w:type="dxa"/>
            <w:noWrap/>
            <w:hideMark/>
          </w:tcPr>
          <w:p w:rsidR="009E4114" w:rsidRPr="004B1F4D" w:rsidRDefault="009E4114" w:rsidP="004B1F4D">
            <w:pPr>
              <w:pStyle w:val="Sinespaciado"/>
              <w:cnfStyle w:val="000000010000" w:firstRow="0" w:lastRow="0" w:firstColumn="0" w:lastColumn="0" w:oddVBand="0" w:evenVBand="0" w:oddHBand="0" w:evenHBand="1" w:firstRowFirstColumn="0" w:firstRowLastColumn="0" w:lastRowFirstColumn="0" w:lastRowLastColumn="0"/>
              <w:rPr>
                <w:color w:val="000000"/>
                <w:sz w:val="18"/>
                <w:szCs w:val="18"/>
                <w:lang w:eastAsia="es-ES"/>
              </w:rPr>
            </w:pPr>
            <w:r w:rsidRPr="004B1F4D">
              <w:rPr>
                <w:color w:val="000000"/>
                <w:sz w:val="18"/>
                <w:szCs w:val="18"/>
                <w:lang w:eastAsia="es-ES"/>
              </w:rPr>
              <w:t>Aprobada</w:t>
            </w:r>
          </w:p>
        </w:tc>
        <w:tc>
          <w:tcPr>
            <w:tcW w:w="2126" w:type="dxa"/>
            <w:noWrap/>
            <w:hideMark/>
          </w:tcPr>
          <w:p w:rsidR="009E4114" w:rsidRPr="004B1F4D" w:rsidRDefault="009E4114" w:rsidP="004B1F4D">
            <w:pPr>
              <w:pStyle w:val="Sinespaciado"/>
              <w:cnfStyle w:val="000000010000" w:firstRow="0" w:lastRow="0" w:firstColumn="0" w:lastColumn="0" w:oddVBand="0" w:evenVBand="0" w:oddHBand="0" w:evenHBand="1" w:firstRowFirstColumn="0" w:firstRowLastColumn="0" w:lastRowFirstColumn="0" w:lastRowLastColumn="0"/>
              <w:rPr>
                <w:color w:val="000000"/>
                <w:sz w:val="18"/>
                <w:szCs w:val="18"/>
                <w:lang w:eastAsia="es-ES"/>
              </w:rPr>
            </w:pPr>
            <w:r w:rsidRPr="004B1F4D">
              <w:rPr>
                <w:color w:val="000000"/>
                <w:sz w:val="18"/>
                <w:szCs w:val="18"/>
                <w:lang w:eastAsia="es-ES"/>
              </w:rPr>
              <w:t>Colombia</w:t>
            </w:r>
          </w:p>
        </w:tc>
      </w:tr>
      <w:tr w:rsidR="009E4114" w:rsidRPr="004B1F4D" w:rsidTr="004B1F4D">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637" w:type="dxa"/>
            <w:noWrap/>
            <w:hideMark/>
          </w:tcPr>
          <w:p w:rsidR="009E4114" w:rsidRPr="004B1F4D" w:rsidRDefault="009E4114" w:rsidP="004B1F4D">
            <w:pPr>
              <w:pStyle w:val="Sinespaciado"/>
              <w:rPr>
                <w:b w:val="0"/>
                <w:color w:val="000000"/>
                <w:sz w:val="18"/>
                <w:szCs w:val="18"/>
                <w:lang w:eastAsia="es-ES"/>
              </w:rPr>
            </w:pPr>
            <w:r w:rsidRPr="004B1F4D">
              <w:rPr>
                <w:b w:val="0"/>
                <w:color w:val="000000"/>
                <w:sz w:val="18"/>
                <w:szCs w:val="18"/>
                <w:lang w:eastAsia="es-ES"/>
              </w:rPr>
              <w:t>Proceso y obtención de aceite estabilizado de crisálida fresca para uso cosmético</w:t>
            </w:r>
          </w:p>
        </w:tc>
        <w:tc>
          <w:tcPr>
            <w:tcW w:w="1227" w:type="dxa"/>
            <w:noWrap/>
            <w:hideMark/>
          </w:tcPr>
          <w:p w:rsidR="009E4114" w:rsidRPr="004B1F4D" w:rsidRDefault="009E4114" w:rsidP="004B1F4D">
            <w:pPr>
              <w:pStyle w:val="Sinespaciado"/>
              <w:cnfStyle w:val="000000100000" w:firstRow="0" w:lastRow="0" w:firstColumn="0" w:lastColumn="0" w:oddVBand="0" w:evenVBand="0" w:oddHBand="1" w:evenHBand="0" w:firstRowFirstColumn="0" w:firstRowLastColumn="0" w:lastRowFirstColumn="0" w:lastRowLastColumn="0"/>
              <w:rPr>
                <w:color w:val="000000"/>
                <w:sz w:val="18"/>
                <w:szCs w:val="18"/>
                <w:lang w:eastAsia="es-ES"/>
              </w:rPr>
            </w:pPr>
            <w:r w:rsidRPr="004B1F4D">
              <w:rPr>
                <w:color w:val="000000"/>
                <w:sz w:val="18"/>
                <w:szCs w:val="18"/>
                <w:lang w:eastAsia="es-ES"/>
              </w:rPr>
              <w:t>Aprobada</w:t>
            </w:r>
          </w:p>
        </w:tc>
        <w:tc>
          <w:tcPr>
            <w:tcW w:w="2126" w:type="dxa"/>
            <w:noWrap/>
            <w:hideMark/>
          </w:tcPr>
          <w:p w:rsidR="009E4114" w:rsidRPr="004B1F4D" w:rsidRDefault="009E4114" w:rsidP="004B1F4D">
            <w:pPr>
              <w:pStyle w:val="Sinespaciado"/>
              <w:cnfStyle w:val="000000100000" w:firstRow="0" w:lastRow="0" w:firstColumn="0" w:lastColumn="0" w:oddVBand="0" w:evenVBand="0" w:oddHBand="1" w:evenHBand="0" w:firstRowFirstColumn="0" w:firstRowLastColumn="0" w:lastRowFirstColumn="0" w:lastRowLastColumn="0"/>
              <w:rPr>
                <w:color w:val="000000"/>
                <w:sz w:val="18"/>
                <w:szCs w:val="18"/>
                <w:lang w:eastAsia="es-ES"/>
              </w:rPr>
            </w:pPr>
            <w:r w:rsidRPr="004B1F4D">
              <w:rPr>
                <w:color w:val="000000"/>
                <w:sz w:val="18"/>
                <w:szCs w:val="18"/>
                <w:lang w:eastAsia="es-ES"/>
              </w:rPr>
              <w:t>Colombia</w:t>
            </w:r>
          </w:p>
        </w:tc>
      </w:tr>
      <w:tr w:rsidR="009E4114" w:rsidRPr="004B1F4D" w:rsidTr="004B1F4D">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637" w:type="dxa"/>
            <w:noWrap/>
            <w:hideMark/>
          </w:tcPr>
          <w:p w:rsidR="009E4114" w:rsidRPr="004B1F4D" w:rsidRDefault="009E4114" w:rsidP="004B1F4D">
            <w:pPr>
              <w:pStyle w:val="Sinespaciado"/>
              <w:rPr>
                <w:b w:val="0"/>
                <w:color w:val="000000"/>
                <w:sz w:val="18"/>
                <w:szCs w:val="18"/>
                <w:lang w:eastAsia="es-ES"/>
              </w:rPr>
            </w:pPr>
            <w:r w:rsidRPr="004B1F4D">
              <w:rPr>
                <w:b w:val="0"/>
                <w:color w:val="000000"/>
                <w:sz w:val="18"/>
                <w:szCs w:val="18"/>
                <w:lang w:eastAsia="es-ES"/>
              </w:rPr>
              <w:t>Selección propagación y caracterización genética de mora de castilla</w:t>
            </w:r>
          </w:p>
        </w:tc>
        <w:tc>
          <w:tcPr>
            <w:tcW w:w="1227" w:type="dxa"/>
            <w:noWrap/>
            <w:hideMark/>
          </w:tcPr>
          <w:p w:rsidR="009E4114" w:rsidRPr="004B1F4D" w:rsidRDefault="009E4114" w:rsidP="004B1F4D">
            <w:pPr>
              <w:pStyle w:val="Sinespaciado"/>
              <w:cnfStyle w:val="000000010000" w:firstRow="0" w:lastRow="0" w:firstColumn="0" w:lastColumn="0" w:oddVBand="0" w:evenVBand="0" w:oddHBand="0" w:evenHBand="1" w:firstRowFirstColumn="0" w:firstRowLastColumn="0" w:lastRowFirstColumn="0" w:lastRowLastColumn="0"/>
              <w:rPr>
                <w:color w:val="000000"/>
                <w:sz w:val="18"/>
                <w:szCs w:val="18"/>
                <w:lang w:eastAsia="es-ES"/>
              </w:rPr>
            </w:pPr>
            <w:r w:rsidRPr="004B1F4D">
              <w:rPr>
                <w:color w:val="000000"/>
                <w:sz w:val="18"/>
                <w:szCs w:val="18"/>
                <w:lang w:eastAsia="es-ES"/>
              </w:rPr>
              <w:t>Aprobada</w:t>
            </w:r>
          </w:p>
        </w:tc>
        <w:tc>
          <w:tcPr>
            <w:tcW w:w="2126" w:type="dxa"/>
            <w:noWrap/>
            <w:hideMark/>
          </w:tcPr>
          <w:p w:rsidR="009E4114" w:rsidRPr="004B1F4D" w:rsidRDefault="009E4114" w:rsidP="004B1F4D">
            <w:pPr>
              <w:pStyle w:val="Sinespaciado"/>
              <w:cnfStyle w:val="000000010000" w:firstRow="0" w:lastRow="0" w:firstColumn="0" w:lastColumn="0" w:oddVBand="0" w:evenVBand="0" w:oddHBand="0" w:evenHBand="1" w:firstRowFirstColumn="0" w:firstRowLastColumn="0" w:lastRowFirstColumn="0" w:lastRowLastColumn="0"/>
              <w:rPr>
                <w:color w:val="000000"/>
                <w:sz w:val="18"/>
                <w:szCs w:val="18"/>
                <w:lang w:eastAsia="es-ES"/>
              </w:rPr>
            </w:pPr>
            <w:r w:rsidRPr="004B1F4D">
              <w:rPr>
                <w:color w:val="000000"/>
                <w:sz w:val="18"/>
                <w:szCs w:val="18"/>
                <w:lang w:eastAsia="es-ES"/>
              </w:rPr>
              <w:t>Colombia</w:t>
            </w:r>
          </w:p>
        </w:tc>
      </w:tr>
      <w:tr w:rsidR="009E4114" w:rsidRPr="004B1F4D" w:rsidTr="004B1F4D">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637" w:type="dxa"/>
            <w:noWrap/>
            <w:hideMark/>
          </w:tcPr>
          <w:p w:rsidR="009E4114" w:rsidRPr="004B1F4D" w:rsidRDefault="009E4114" w:rsidP="004B1F4D">
            <w:pPr>
              <w:pStyle w:val="Sinespaciado"/>
              <w:rPr>
                <w:b w:val="0"/>
                <w:color w:val="000000"/>
                <w:sz w:val="18"/>
                <w:szCs w:val="18"/>
                <w:lang w:eastAsia="es-ES"/>
              </w:rPr>
            </w:pPr>
            <w:proofErr w:type="spellStart"/>
            <w:r w:rsidRPr="004B1F4D">
              <w:rPr>
                <w:b w:val="0"/>
                <w:color w:val="000000"/>
                <w:sz w:val="18"/>
                <w:szCs w:val="18"/>
                <w:lang w:eastAsia="es-ES"/>
              </w:rPr>
              <w:t>Balotera</w:t>
            </w:r>
            <w:proofErr w:type="spellEnd"/>
            <w:r w:rsidRPr="004B1F4D">
              <w:rPr>
                <w:b w:val="0"/>
                <w:color w:val="000000"/>
                <w:sz w:val="18"/>
                <w:szCs w:val="18"/>
                <w:lang w:eastAsia="es-ES"/>
              </w:rPr>
              <w:t xml:space="preserve"> electro neumática con controlador programable y mando remoto</w:t>
            </w:r>
          </w:p>
        </w:tc>
        <w:tc>
          <w:tcPr>
            <w:tcW w:w="1227" w:type="dxa"/>
            <w:noWrap/>
            <w:hideMark/>
          </w:tcPr>
          <w:p w:rsidR="009E4114" w:rsidRPr="004B1F4D" w:rsidRDefault="009E4114" w:rsidP="004B1F4D">
            <w:pPr>
              <w:pStyle w:val="Sinespaciado"/>
              <w:cnfStyle w:val="000000100000" w:firstRow="0" w:lastRow="0" w:firstColumn="0" w:lastColumn="0" w:oddVBand="0" w:evenVBand="0" w:oddHBand="1" w:evenHBand="0" w:firstRowFirstColumn="0" w:firstRowLastColumn="0" w:lastRowFirstColumn="0" w:lastRowLastColumn="0"/>
              <w:rPr>
                <w:color w:val="000000"/>
                <w:sz w:val="18"/>
                <w:szCs w:val="18"/>
                <w:lang w:eastAsia="es-ES"/>
              </w:rPr>
            </w:pPr>
            <w:r w:rsidRPr="004B1F4D">
              <w:rPr>
                <w:color w:val="000000"/>
                <w:sz w:val="18"/>
                <w:szCs w:val="18"/>
                <w:lang w:eastAsia="es-ES"/>
              </w:rPr>
              <w:t>Aprobada</w:t>
            </w:r>
          </w:p>
        </w:tc>
        <w:tc>
          <w:tcPr>
            <w:tcW w:w="2126" w:type="dxa"/>
            <w:noWrap/>
            <w:hideMark/>
          </w:tcPr>
          <w:p w:rsidR="009E4114" w:rsidRPr="004B1F4D" w:rsidRDefault="009E4114" w:rsidP="004B1F4D">
            <w:pPr>
              <w:pStyle w:val="Sinespaciado"/>
              <w:cnfStyle w:val="000000100000" w:firstRow="0" w:lastRow="0" w:firstColumn="0" w:lastColumn="0" w:oddVBand="0" w:evenVBand="0" w:oddHBand="1" w:evenHBand="0" w:firstRowFirstColumn="0" w:firstRowLastColumn="0" w:lastRowFirstColumn="0" w:lastRowLastColumn="0"/>
              <w:rPr>
                <w:color w:val="000000"/>
                <w:sz w:val="18"/>
                <w:szCs w:val="18"/>
                <w:lang w:eastAsia="es-ES"/>
              </w:rPr>
            </w:pPr>
            <w:r w:rsidRPr="004B1F4D">
              <w:rPr>
                <w:color w:val="000000"/>
                <w:sz w:val="18"/>
                <w:szCs w:val="18"/>
                <w:lang w:eastAsia="es-ES"/>
              </w:rPr>
              <w:t>Colombia</w:t>
            </w:r>
          </w:p>
        </w:tc>
      </w:tr>
      <w:tr w:rsidR="009E4114" w:rsidRPr="004B1F4D" w:rsidTr="004B1F4D">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637" w:type="dxa"/>
            <w:noWrap/>
            <w:hideMark/>
          </w:tcPr>
          <w:p w:rsidR="009E4114" w:rsidRPr="004B1F4D" w:rsidRDefault="009E4114" w:rsidP="004B1F4D">
            <w:pPr>
              <w:pStyle w:val="Sinespaciado"/>
              <w:rPr>
                <w:b w:val="0"/>
                <w:color w:val="000000"/>
                <w:sz w:val="18"/>
                <w:szCs w:val="18"/>
                <w:lang w:eastAsia="es-ES"/>
              </w:rPr>
            </w:pPr>
            <w:r w:rsidRPr="004B1F4D">
              <w:rPr>
                <w:b w:val="0"/>
                <w:color w:val="000000"/>
                <w:sz w:val="18"/>
                <w:szCs w:val="18"/>
                <w:lang w:eastAsia="es-ES"/>
              </w:rPr>
              <w:t>Proceso de Fabricación de Materiales de Construcción a partir de residuos celulósicos</w:t>
            </w:r>
          </w:p>
        </w:tc>
        <w:tc>
          <w:tcPr>
            <w:tcW w:w="1227" w:type="dxa"/>
            <w:noWrap/>
            <w:hideMark/>
          </w:tcPr>
          <w:p w:rsidR="009E4114" w:rsidRPr="004B1F4D" w:rsidRDefault="009E4114" w:rsidP="004B1F4D">
            <w:pPr>
              <w:pStyle w:val="Sinespaciado"/>
              <w:cnfStyle w:val="000000010000" w:firstRow="0" w:lastRow="0" w:firstColumn="0" w:lastColumn="0" w:oddVBand="0" w:evenVBand="0" w:oddHBand="0" w:evenHBand="1" w:firstRowFirstColumn="0" w:firstRowLastColumn="0" w:lastRowFirstColumn="0" w:lastRowLastColumn="0"/>
              <w:rPr>
                <w:color w:val="000000"/>
                <w:sz w:val="18"/>
                <w:szCs w:val="18"/>
                <w:lang w:eastAsia="es-ES"/>
              </w:rPr>
            </w:pPr>
            <w:r w:rsidRPr="004B1F4D">
              <w:rPr>
                <w:color w:val="000000"/>
                <w:sz w:val="18"/>
                <w:szCs w:val="18"/>
                <w:lang w:eastAsia="es-ES"/>
              </w:rPr>
              <w:t>En proceso</w:t>
            </w:r>
          </w:p>
        </w:tc>
        <w:tc>
          <w:tcPr>
            <w:tcW w:w="2126" w:type="dxa"/>
            <w:noWrap/>
            <w:hideMark/>
          </w:tcPr>
          <w:p w:rsidR="009E4114" w:rsidRPr="004B1F4D" w:rsidRDefault="009E4114" w:rsidP="004B1F4D">
            <w:pPr>
              <w:pStyle w:val="Sinespaciado"/>
              <w:cnfStyle w:val="000000010000" w:firstRow="0" w:lastRow="0" w:firstColumn="0" w:lastColumn="0" w:oddVBand="0" w:evenVBand="0" w:oddHBand="0" w:evenHBand="1" w:firstRowFirstColumn="0" w:firstRowLastColumn="0" w:lastRowFirstColumn="0" w:lastRowLastColumn="0"/>
              <w:rPr>
                <w:color w:val="000000"/>
                <w:sz w:val="18"/>
                <w:szCs w:val="18"/>
                <w:lang w:eastAsia="es-ES"/>
              </w:rPr>
            </w:pPr>
            <w:r w:rsidRPr="004B1F4D">
              <w:rPr>
                <w:color w:val="000000"/>
                <w:sz w:val="18"/>
                <w:szCs w:val="18"/>
                <w:lang w:eastAsia="es-ES"/>
              </w:rPr>
              <w:t>Colombia, Argentina, Bolivia y Uruguay</w:t>
            </w:r>
          </w:p>
        </w:tc>
      </w:tr>
      <w:tr w:rsidR="009E4114" w:rsidRPr="004B1F4D" w:rsidTr="004B1F4D">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637" w:type="dxa"/>
            <w:noWrap/>
            <w:hideMark/>
          </w:tcPr>
          <w:p w:rsidR="009E4114" w:rsidRPr="004B1F4D" w:rsidRDefault="009E4114" w:rsidP="004B1F4D">
            <w:pPr>
              <w:pStyle w:val="Sinespaciado"/>
              <w:rPr>
                <w:b w:val="0"/>
                <w:color w:val="000000"/>
                <w:sz w:val="18"/>
                <w:szCs w:val="18"/>
                <w:lang w:eastAsia="es-ES"/>
              </w:rPr>
            </w:pPr>
            <w:r w:rsidRPr="004B1F4D">
              <w:rPr>
                <w:b w:val="0"/>
                <w:color w:val="000000"/>
                <w:sz w:val="18"/>
                <w:szCs w:val="18"/>
                <w:lang w:eastAsia="es-ES"/>
              </w:rPr>
              <w:t xml:space="preserve">Propagación in vitro de Heliconia </w:t>
            </w:r>
            <w:proofErr w:type="spellStart"/>
            <w:r w:rsidRPr="004B1F4D">
              <w:rPr>
                <w:b w:val="0"/>
                <w:color w:val="000000"/>
                <w:sz w:val="18"/>
                <w:szCs w:val="18"/>
                <w:lang w:eastAsia="es-ES"/>
              </w:rPr>
              <w:t>bihai</w:t>
            </w:r>
            <w:proofErr w:type="spellEnd"/>
            <w:r w:rsidRPr="004B1F4D">
              <w:rPr>
                <w:b w:val="0"/>
                <w:color w:val="000000"/>
                <w:sz w:val="18"/>
                <w:szCs w:val="18"/>
                <w:lang w:eastAsia="es-ES"/>
              </w:rPr>
              <w:t xml:space="preserve"> (L) cv. </w:t>
            </w:r>
            <w:proofErr w:type="spellStart"/>
            <w:r w:rsidRPr="004B1F4D">
              <w:rPr>
                <w:b w:val="0"/>
                <w:color w:val="000000"/>
                <w:sz w:val="18"/>
                <w:szCs w:val="18"/>
                <w:lang w:eastAsia="es-ES"/>
              </w:rPr>
              <w:t>Lobster</w:t>
            </w:r>
            <w:proofErr w:type="spellEnd"/>
            <w:r w:rsidRPr="004B1F4D">
              <w:rPr>
                <w:b w:val="0"/>
                <w:color w:val="000000"/>
                <w:sz w:val="18"/>
                <w:szCs w:val="18"/>
                <w:lang w:eastAsia="es-ES"/>
              </w:rPr>
              <w:t xml:space="preserve"> Salmón y Heliconia </w:t>
            </w:r>
            <w:proofErr w:type="spellStart"/>
            <w:r w:rsidRPr="004B1F4D">
              <w:rPr>
                <w:b w:val="0"/>
                <w:color w:val="000000"/>
                <w:sz w:val="18"/>
                <w:szCs w:val="18"/>
                <w:lang w:eastAsia="es-ES"/>
              </w:rPr>
              <w:t>orthotricha</w:t>
            </w:r>
            <w:proofErr w:type="spellEnd"/>
            <w:r w:rsidRPr="004B1F4D">
              <w:rPr>
                <w:b w:val="0"/>
                <w:color w:val="000000"/>
                <w:sz w:val="18"/>
                <w:szCs w:val="18"/>
                <w:lang w:eastAsia="es-ES"/>
              </w:rPr>
              <w:t xml:space="preserve"> cv. Arco iris</w:t>
            </w:r>
          </w:p>
        </w:tc>
        <w:tc>
          <w:tcPr>
            <w:tcW w:w="1227" w:type="dxa"/>
            <w:noWrap/>
            <w:hideMark/>
          </w:tcPr>
          <w:p w:rsidR="009E4114" w:rsidRPr="004B1F4D" w:rsidRDefault="009E4114" w:rsidP="004B1F4D">
            <w:pPr>
              <w:pStyle w:val="Sinespaciado"/>
              <w:cnfStyle w:val="000000100000" w:firstRow="0" w:lastRow="0" w:firstColumn="0" w:lastColumn="0" w:oddVBand="0" w:evenVBand="0" w:oddHBand="1" w:evenHBand="0" w:firstRowFirstColumn="0" w:firstRowLastColumn="0" w:lastRowFirstColumn="0" w:lastRowLastColumn="0"/>
              <w:rPr>
                <w:color w:val="000000"/>
                <w:sz w:val="18"/>
                <w:szCs w:val="18"/>
                <w:lang w:eastAsia="es-ES"/>
              </w:rPr>
            </w:pPr>
            <w:r w:rsidRPr="004B1F4D">
              <w:rPr>
                <w:color w:val="000000"/>
                <w:sz w:val="18"/>
                <w:szCs w:val="18"/>
                <w:lang w:eastAsia="es-ES"/>
              </w:rPr>
              <w:t>En proceso</w:t>
            </w:r>
          </w:p>
        </w:tc>
        <w:tc>
          <w:tcPr>
            <w:tcW w:w="2126" w:type="dxa"/>
            <w:noWrap/>
            <w:hideMark/>
          </w:tcPr>
          <w:p w:rsidR="009E4114" w:rsidRPr="004B1F4D" w:rsidRDefault="009E4114" w:rsidP="004B1F4D">
            <w:pPr>
              <w:pStyle w:val="Sinespaciado"/>
              <w:cnfStyle w:val="000000100000" w:firstRow="0" w:lastRow="0" w:firstColumn="0" w:lastColumn="0" w:oddVBand="0" w:evenVBand="0" w:oddHBand="1" w:evenHBand="0" w:firstRowFirstColumn="0" w:firstRowLastColumn="0" w:lastRowFirstColumn="0" w:lastRowLastColumn="0"/>
              <w:rPr>
                <w:color w:val="000000"/>
                <w:sz w:val="18"/>
                <w:szCs w:val="18"/>
                <w:lang w:eastAsia="es-ES"/>
              </w:rPr>
            </w:pPr>
            <w:r w:rsidRPr="004B1F4D">
              <w:rPr>
                <w:color w:val="000000"/>
                <w:sz w:val="18"/>
                <w:szCs w:val="18"/>
                <w:lang w:eastAsia="es-ES"/>
              </w:rPr>
              <w:t>Colombia</w:t>
            </w:r>
          </w:p>
        </w:tc>
      </w:tr>
      <w:tr w:rsidR="009E4114" w:rsidRPr="004B1F4D" w:rsidTr="004B1F4D">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637" w:type="dxa"/>
            <w:noWrap/>
            <w:hideMark/>
          </w:tcPr>
          <w:p w:rsidR="009E4114" w:rsidRPr="004B1F4D" w:rsidRDefault="009E4114" w:rsidP="004B1F4D">
            <w:pPr>
              <w:pStyle w:val="Sinespaciado"/>
              <w:rPr>
                <w:b w:val="0"/>
                <w:color w:val="000000"/>
                <w:sz w:val="18"/>
                <w:szCs w:val="18"/>
                <w:lang w:eastAsia="es-ES"/>
              </w:rPr>
            </w:pPr>
            <w:r w:rsidRPr="004B1F4D">
              <w:rPr>
                <w:b w:val="0"/>
                <w:color w:val="000000"/>
                <w:sz w:val="18"/>
                <w:szCs w:val="18"/>
                <w:lang w:eastAsia="es-ES"/>
              </w:rPr>
              <w:t xml:space="preserve">Equipo para medir la madurez de los </w:t>
            </w:r>
            <w:proofErr w:type="spellStart"/>
            <w:r w:rsidRPr="004B1F4D">
              <w:rPr>
                <w:b w:val="0"/>
                <w:color w:val="000000"/>
                <w:sz w:val="18"/>
                <w:szCs w:val="18"/>
                <w:lang w:eastAsia="es-ES"/>
              </w:rPr>
              <w:t>culmos</w:t>
            </w:r>
            <w:proofErr w:type="spellEnd"/>
            <w:r w:rsidRPr="004B1F4D">
              <w:rPr>
                <w:b w:val="0"/>
                <w:color w:val="000000"/>
                <w:sz w:val="18"/>
                <w:szCs w:val="18"/>
                <w:lang w:eastAsia="es-ES"/>
              </w:rPr>
              <w:t xml:space="preserve"> de guadua</w:t>
            </w:r>
          </w:p>
        </w:tc>
        <w:tc>
          <w:tcPr>
            <w:tcW w:w="1227" w:type="dxa"/>
            <w:noWrap/>
            <w:hideMark/>
          </w:tcPr>
          <w:p w:rsidR="009E4114" w:rsidRPr="004B1F4D" w:rsidRDefault="009E4114" w:rsidP="004B1F4D">
            <w:pPr>
              <w:pStyle w:val="Sinespaciado"/>
              <w:cnfStyle w:val="000000010000" w:firstRow="0" w:lastRow="0" w:firstColumn="0" w:lastColumn="0" w:oddVBand="0" w:evenVBand="0" w:oddHBand="0" w:evenHBand="1" w:firstRowFirstColumn="0" w:firstRowLastColumn="0" w:lastRowFirstColumn="0" w:lastRowLastColumn="0"/>
              <w:rPr>
                <w:color w:val="000000"/>
                <w:sz w:val="18"/>
                <w:szCs w:val="18"/>
                <w:lang w:eastAsia="es-ES"/>
              </w:rPr>
            </w:pPr>
            <w:r w:rsidRPr="004B1F4D">
              <w:rPr>
                <w:color w:val="000000"/>
                <w:sz w:val="18"/>
                <w:szCs w:val="18"/>
                <w:lang w:eastAsia="es-ES"/>
              </w:rPr>
              <w:t>En proceso</w:t>
            </w:r>
          </w:p>
        </w:tc>
        <w:tc>
          <w:tcPr>
            <w:tcW w:w="2126" w:type="dxa"/>
            <w:noWrap/>
            <w:hideMark/>
          </w:tcPr>
          <w:p w:rsidR="009E4114" w:rsidRPr="004B1F4D" w:rsidRDefault="009E4114" w:rsidP="004B1F4D">
            <w:pPr>
              <w:pStyle w:val="Sinespaciado"/>
              <w:cnfStyle w:val="000000010000" w:firstRow="0" w:lastRow="0" w:firstColumn="0" w:lastColumn="0" w:oddVBand="0" w:evenVBand="0" w:oddHBand="0" w:evenHBand="1" w:firstRowFirstColumn="0" w:firstRowLastColumn="0" w:lastRowFirstColumn="0" w:lastRowLastColumn="0"/>
              <w:rPr>
                <w:color w:val="000000"/>
                <w:sz w:val="18"/>
                <w:szCs w:val="18"/>
                <w:lang w:eastAsia="es-ES"/>
              </w:rPr>
            </w:pPr>
            <w:r w:rsidRPr="004B1F4D">
              <w:rPr>
                <w:color w:val="000000"/>
                <w:sz w:val="18"/>
                <w:szCs w:val="18"/>
                <w:lang w:eastAsia="es-ES"/>
              </w:rPr>
              <w:t>Colombia</w:t>
            </w:r>
          </w:p>
        </w:tc>
      </w:tr>
      <w:tr w:rsidR="009E4114" w:rsidRPr="004B1F4D" w:rsidTr="004B1F4D">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637" w:type="dxa"/>
            <w:noWrap/>
          </w:tcPr>
          <w:p w:rsidR="009E4114" w:rsidRPr="004B1F4D" w:rsidRDefault="009E4114" w:rsidP="004B1F4D">
            <w:pPr>
              <w:pStyle w:val="Sinespaciado"/>
              <w:rPr>
                <w:b w:val="0"/>
                <w:color w:val="000000"/>
                <w:sz w:val="18"/>
                <w:szCs w:val="18"/>
                <w:lang w:eastAsia="es-ES"/>
              </w:rPr>
            </w:pPr>
            <w:r w:rsidRPr="004B1F4D">
              <w:rPr>
                <w:b w:val="0"/>
                <w:color w:val="000000"/>
                <w:sz w:val="18"/>
                <w:szCs w:val="18"/>
                <w:lang w:eastAsia="es-ES"/>
              </w:rPr>
              <w:t>Proceso de Micro propagación de Mora de Castilla</w:t>
            </w:r>
          </w:p>
        </w:tc>
        <w:tc>
          <w:tcPr>
            <w:tcW w:w="1227" w:type="dxa"/>
            <w:noWrap/>
          </w:tcPr>
          <w:p w:rsidR="009E4114" w:rsidRPr="004B1F4D" w:rsidRDefault="009E4114" w:rsidP="004B1F4D">
            <w:pPr>
              <w:pStyle w:val="Sinespaciado"/>
              <w:cnfStyle w:val="000000100000" w:firstRow="0" w:lastRow="0" w:firstColumn="0" w:lastColumn="0" w:oddVBand="0" w:evenVBand="0" w:oddHBand="1" w:evenHBand="0" w:firstRowFirstColumn="0" w:firstRowLastColumn="0" w:lastRowFirstColumn="0" w:lastRowLastColumn="0"/>
              <w:rPr>
                <w:color w:val="000000"/>
                <w:sz w:val="18"/>
                <w:szCs w:val="18"/>
                <w:lang w:eastAsia="es-ES"/>
              </w:rPr>
            </w:pPr>
            <w:r w:rsidRPr="004B1F4D">
              <w:rPr>
                <w:color w:val="000000"/>
                <w:sz w:val="18"/>
                <w:szCs w:val="18"/>
                <w:lang w:eastAsia="es-ES"/>
              </w:rPr>
              <w:t>En proceso</w:t>
            </w:r>
          </w:p>
        </w:tc>
        <w:tc>
          <w:tcPr>
            <w:tcW w:w="2126" w:type="dxa"/>
            <w:noWrap/>
          </w:tcPr>
          <w:p w:rsidR="009E4114" w:rsidRPr="004B1F4D" w:rsidRDefault="009E4114" w:rsidP="004B1F4D">
            <w:pPr>
              <w:pStyle w:val="Sinespaciado"/>
              <w:cnfStyle w:val="000000100000" w:firstRow="0" w:lastRow="0" w:firstColumn="0" w:lastColumn="0" w:oddVBand="0" w:evenVBand="0" w:oddHBand="1" w:evenHBand="0" w:firstRowFirstColumn="0" w:firstRowLastColumn="0" w:lastRowFirstColumn="0" w:lastRowLastColumn="0"/>
              <w:rPr>
                <w:color w:val="000000"/>
                <w:sz w:val="18"/>
                <w:szCs w:val="18"/>
                <w:lang w:eastAsia="es-ES"/>
              </w:rPr>
            </w:pPr>
            <w:r w:rsidRPr="004B1F4D">
              <w:rPr>
                <w:color w:val="000000"/>
                <w:sz w:val="18"/>
                <w:szCs w:val="18"/>
                <w:lang w:eastAsia="es-ES"/>
              </w:rPr>
              <w:t>Colombia</w:t>
            </w:r>
          </w:p>
        </w:tc>
      </w:tr>
      <w:tr w:rsidR="009E4114" w:rsidRPr="004B1F4D" w:rsidTr="004B1F4D">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637" w:type="dxa"/>
            <w:noWrap/>
          </w:tcPr>
          <w:p w:rsidR="009E4114" w:rsidRPr="004B1F4D" w:rsidRDefault="009E4114" w:rsidP="004B1F4D">
            <w:pPr>
              <w:pStyle w:val="Sinespaciado"/>
              <w:rPr>
                <w:b w:val="0"/>
                <w:color w:val="000000"/>
                <w:sz w:val="18"/>
                <w:szCs w:val="18"/>
                <w:lang w:eastAsia="es-ES"/>
              </w:rPr>
            </w:pPr>
            <w:r w:rsidRPr="004B1F4D">
              <w:rPr>
                <w:b w:val="0"/>
                <w:color w:val="000000"/>
                <w:sz w:val="18"/>
                <w:szCs w:val="18"/>
                <w:lang w:eastAsia="es-ES"/>
              </w:rPr>
              <w:t>Máquina para pulido de superficies en acero Inoxidable</w:t>
            </w:r>
          </w:p>
        </w:tc>
        <w:tc>
          <w:tcPr>
            <w:tcW w:w="1227" w:type="dxa"/>
            <w:noWrap/>
          </w:tcPr>
          <w:p w:rsidR="009E4114" w:rsidRPr="004B1F4D" w:rsidRDefault="009E4114" w:rsidP="004B1F4D">
            <w:pPr>
              <w:pStyle w:val="Sinespaciado"/>
              <w:cnfStyle w:val="000000010000" w:firstRow="0" w:lastRow="0" w:firstColumn="0" w:lastColumn="0" w:oddVBand="0" w:evenVBand="0" w:oddHBand="0" w:evenHBand="1" w:firstRowFirstColumn="0" w:firstRowLastColumn="0" w:lastRowFirstColumn="0" w:lastRowLastColumn="0"/>
              <w:rPr>
                <w:color w:val="000000"/>
                <w:sz w:val="18"/>
                <w:szCs w:val="18"/>
                <w:lang w:eastAsia="es-ES"/>
              </w:rPr>
            </w:pPr>
            <w:r w:rsidRPr="004B1F4D">
              <w:rPr>
                <w:color w:val="000000"/>
                <w:sz w:val="18"/>
                <w:szCs w:val="18"/>
                <w:lang w:eastAsia="es-ES"/>
              </w:rPr>
              <w:t>En proceso</w:t>
            </w:r>
          </w:p>
        </w:tc>
        <w:tc>
          <w:tcPr>
            <w:tcW w:w="2126" w:type="dxa"/>
            <w:noWrap/>
          </w:tcPr>
          <w:p w:rsidR="009E4114" w:rsidRPr="004B1F4D" w:rsidRDefault="009E4114" w:rsidP="004B1F4D">
            <w:pPr>
              <w:pStyle w:val="Sinespaciado"/>
              <w:cnfStyle w:val="000000010000" w:firstRow="0" w:lastRow="0" w:firstColumn="0" w:lastColumn="0" w:oddVBand="0" w:evenVBand="0" w:oddHBand="0" w:evenHBand="1" w:firstRowFirstColumn="0" w:firstRowLastColumn="0" w:lastRowFirstColumn="0" w:lastRowLastColumn="0"/>
              <w:rPr>
                <w:color w:val="000000"/>
                <w:sz w:val="18"/>
                <w:szCs w:val="18"/>
                <w:lang w:eastAsia="es-ES"/>
              </w:rPr>
            </w:pPr>
            <w:r w:rsidRPr="004B1F4D">
              <w:rPr>
                <w:color w:val="000000"/>
                <w:sz w:val="18"/>
                <w:szCs w:val="18"/>
                <w:lang w:eastAsia="es-ES"/>
              </w:rPr>
              <w:t>Colombia</w:t>
            </w:r>
          </w:p>
        </w:tc>
      </w:tr>
    </w:tbl>
    <w:p w:rsidR="009E4114" w:rsidRPr="002C7AD7" w:rsidRDefault="009E4114" w:rsidP="009E4114">
      <w:pPr>
        <w:spacing w:before="240" w:after="0"/>
        <w:jc w:val="center"/>
        <w:rPr>
          <w:b/>
          <w:sz w:val="20"/>
        </w:rPr>
      </w:pPr>
      <w:r w:rsidRPr="002C7AD7">
        <w:rPr>
          <w:b/>
          <w:sz w:val="20"/>
        </w:rPr>
        <w:t>Fuente: Vicerrectoría de Investigación, Innovación y Extensión.</w:t>
      </w:r>
    </w:p>
    <w:p w:rsidR="002C7AD7" w:rsidRDefault="002C7AD7" w:rsidP="009E4114"/>
    <w:p w:rsidR="00EB2E1D" w:rsidRPr="002C7AD7" w:rsidRDefault="00EB2E1D" w:rsidP="009E4114">
      <w:pPr>
        <w:rPr>
          <w:rFonts w:cs="Calibri"/>
          <w:color w:val="000000"/>
        </w:rPr>
      </w:pPr>
      <w:r w:rsidRPr="002C7AD7">
        <w:t xml:space="preserve">Durante el periodo de ejecución del Plan de Desarrollo Institucional 2009 - 2012, este indicador presentó </w:t>
      </w:r>
      <w:r w:rsidR="009E4114" w:rsidRPr="002C7AD7">
        <w:t xml:space="preserve">los </w:t>
      </w:r>
      <w:r w:rsidRPr="002C7AD7">
        <w:rPr>
          <w:rFonts w:cs="Calibri"/>
          <w:color w:val="000000"/>
        </w:rPr>
        <w:t xml:space="preserve">resultados </w:t>
      </w:r>
      <w:r w:rsidR="009E4114" w:rsidRPr="002C7AD7">
        <w:rPr>
          <w:rFonts w:cs="Calibri"/>
          <w:color w:val="000000"/>
        </w:rPr>
        <w:t xml:space="preserve">que </w:t>
      </w:r>
      <w:r w:rsidRPr="002C7AD7">
        <w:rPr>
          <w:rFonts w:cs="Calibri"/>
          <w:color w:val="000000"/>
        </w:rPr>
        <w:t xml:space="preserve">se resumen </w:t>
      </w:r>
      <w:r w:rsidR="009E4114" w:rsidRPr="002C7AD7">
        <w:rPr>
          <w:rFonts w:cs="Calibri"/>
          <w:color w:val="000000"/>
        </w:rPr>
        <w:t>a continuación</w:t>
      </w:r>
      <w:r w:rsidRPr="002C7AD7">
        <w:rPr>
          <w:rFonts w:cs="Calibri"/>
          <w:color w:val="000000"/>
        </w:rPr>
        <w:t>:</w:t>
      </w:r>
    </w:p>
    <w:tbl>
      <w:tblPr>
        <w:tblStyle w:val="Cuadrculaclara-nfasis1"/>
        <w:tblW w:w="0" w:type="auto"/>
        <w:tblLook w:val="04A0" w:firstRow="1" w:lastRow="0" w:firstColumn="1" w:lastColumn="0" w:noHBand="0" w:noVBand="1"/>
      </w:tblPr>
      <w:tblGrid>
        <w:gridCol w:w="1242"/>
        <w:gridCol w:w="7736"/>
      </w:tblGrid>
      <w:tr w:rsidR="00EB2E1D" w:rsidRPr="004B1F4D" w:rsidTr="007249A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242" w:type="dxa"/>
          </w:tcPr>
          <w:p w:rsidR="00EB2E1D" w:rsidRPr="004B1F4D" w:rsidRDefault="00EB2E1D" w:rsidP="004B1F4D">
            <w:pPr>
              <w:pStyle w:val="Sinespaciado"/>
              <w:jc w:val="center"/>
              <w:rPr>
                <w:b w:val="0"/>
                <w:sz w:val="18"/>
                <w:szCs w:val="18"/>
              </w:rPr>
            </w:pPr>
            <w:r w:rsidRPr="004B1F4D">
              <w:rPr>
                <w:sz w:val="18"/>
                <w:szCs w:val="18"/>
              </w:rPr>
              <w:t>Año</w:t>
            </w:r>
          </w:p>
        </w:tc>
        <w:tc>
          <w:tcPr>
            <w:tcW w:w="7736" w:type="dxa"/>
          </w:tcPr>
          <w:p w:rsidR="00EB2E1D" w:rsidRPr="004B1F4D" w:rsidRDefault="00EB2E1D" w:rsidP="004B1F4D">
            <w:pPr>
              <w:pStyle w:val="Sinespaciado"/>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4B1F4D">
              <w:rPr>
                <w:sz w:val="18"/>
                <w:szCs w:val="18"/>
              </w:rPr>
              <w:t>Resultados</w:t>
            </w:r>
          </w:p>
        </w:tc>
      </w:tr>
      <w:tr w:rsidR="00EB2E1D" w:rsidRPr="004B1F4D" w:rsidTr="004B1F4D">
        <w:trPr>
          <w:cnfStyle w:val="000000100000" w:firstRow="0" w:lastRow="0" w:firstColumn="0" w:lastColumn="0" w:oddVBand="0" w:evenVBand="0" w:oddHBand="1" w:evenHBand="0" w:firstRowFirstColumn="0" w:firstRowLastColumn="0" w:lastRowFirstColumn="0" w:lastRowLastColumn="0"/>
          <w:trHeight w:val="35"/>
        </w:trPr>
        <w:tc>
          <w:tcPr>
            <w:cnfStyle w:val="001000000000" w:firstRow="0" w:lastRow="0" w:firstColumn="1" w:lastColumn="0" w:oddVBand="0" w:evenVBand="0" w:oddHBand="0" w:evenHBand="0" w:firstRowFirstColumn="0" w:firstRowLastColumn="0" w:lastRowFirstColumn="0" w:lastRowLastColumn="0"/>
            <w:tcW w:w="1242" w:type="dxa"/>
            <w:vAlign w:val="center"/>
          </w:tcPr>
          <w:p w:rsidR="00EB2E1D" w:rsidRPr="004B1F4D" w:rsidRDefault="00EB2E1D" w:rsidP="004B1F4D">
            <w:pPr>
              <w:pStyle w:val="Sinespaciado"/>
              <w:jc w:val="center"/>
              <w:rPr>
                <w:b w:val="0"/>
                <w:sz w:val="18"/>
                <w:szCs w:val="18"/>
              </w:rPr>
            </w:pPr>
            <w:r w:rsidRPr="004B1F4D">
              <w:rPr>
                <w:sz w:val="18"/>
                <w:szCs w:val="18"/>
              </w:rPr>
              <w:t>2009</w:t>
            </w:r>
          </w:p>
        </w:tc>
        <w:tc>
          <w:tcPr>
            <w:tcW w:w="7736" w:type="dxa"/>
            <w:vMerge w:val="restart"/>
          </w:tcPr>
          <w:p w:rsidR="00EB2E1D" w:rsidRPr="004B1F4D" w:rsidRDefault="00EB2E1D" w:rsidP="004B1F4D">
            <w:pPr>
              <w:pStyle w:val="Sinespaciado"/>
              <w:cnfStyle w:val="000000100000" w:firstRow="0" w:lastRow="0" w:firstColumn="0" w:lastColumn="0" w:oddVBand="0" w:evenVBand="0" w:oddHBand="1" w:evenHBand="0" w:firstRowFirstColumn="0" w:firstRowLastColumn="0" w:lastRowFirstColumn="0" w:lastRowLastColumn="0"/>
              <w:rPr>
                <w:sz w:val="18"/>
                <w:szCs w:val="18"/>
              </w:rPr>
            </w:pPr>
            <w:r w:rsidRPr="004B1F4D">
              <w:rPr>
                <w:sz w:val="18"/>
                <w:szCs w:val="18"/>
              </w:rPr>
              <w:t>No se registraron patentes comercializadas, sin embargo para estos años se trabajó en el diseño de la política de propiedad intelectual para la Universidad.</w:t>
            </w:r>
          </w:p>
        </w:tc>
      </w:tr>
      <w:tr w:rsidR="00EB2E1D" w:rsidRPr="004B1F4D" w:rsidTr="004B1F4D">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vAlign w:val="center"/>
          </w:tcPr>
          <w:p w:rsidR="00EB2E1D" w:rsidRPr="004B1F4D" w:rsidRDefault="00EB2E1D" w:rsidP="004B1F4D">
            <w:pPr>
              <w:pStyle w:val="Sinespaciado"/>
              <w:jc w:val="center"/>
              <w:rPr>
                <w:b w:val="0"/>
                <w:sz w:val="18"/>
                <w:szCs w:val="18"/>
              </w:rPr>
            </w:pPr>
            <w:r w:rsidRPr="004B1F4D">
              <w:rPr>
                <w:sz w:val="18"/>
                <w:szCs w:val="18"/>
              </w:rPr>
              <w:t>2010</w:t>
            </w:r>
          </w:p>
        </w:tc>
        <w:tc>
          <w:tcPr>
            <w:tcW w:w="7736" w:type="dxa"/>
            <w:vMerge/>
          </w:tcPr>
          <w:p w:rsidR="00EB2E1D" w:rsidRPr="004B1F4D" w:rsidRDefault="00EB2E1D" w:rsidP="004B1F4D">
            <w:pPr>
              <w:pStyle w:val="Sinespaciado"/>
              <w:cnfStyle w:val="000000010000" w:firstRow="0" w:lastRow="0" w:firstColumn="0" w:lastColumn="0" w:oddVBand="0" w:evenVBand="0" w:oddHBand="0" w:evenHBand="1" w:firstRowFirstColumn="0" w:firstRowLastColumn="0" w:lastRowFirstColumn="0" w:lastRowLastColumn="0"/>
              <w:rPr>
                <w:sz w:val="18"/>
                <w:szCs w:val="18"/>
              </w:rPr>
            </w:pPr>
          </w:p>
        </w:tc>
      </w:tr>
      <w:tr w:rsidR="00EB2E1D" w:rsidRPr="004B1F4D" w:rsidTr="004B1F4D">
        <w:trPr>
          <w:cnfStyle w:val="000000100000" w:firstRow="0" w:lastRow="0" w:firstColumn="0" w:lastColumn="0" w:oddVBand="0" w:evenVBand="0" w:oddHBand="1" w:evenHBand="0" w:firstRowFirstColumn="0" w:firstRowLastColumn="0" w:lastRowFirstColumn="0" w:lastRowLastColumn="0"/>
          <w:trHeight w:val="242"/>
        </w:trPr>
        <w:tc>
          <w:tcPr>
            <w:cnfStyle w:val="001000000000" w:firstRow="0" w:lastRow="0" w:firstColumn="1" w:lastColumn="0" w:oddVBand="0" w:evenVBand="0" w:oddHBand="0" w:evenHBand="0" w:firstRowFirstColumn="0" w:firstRowLastColumn="0" w:lastRowFirstColumn="0" w:lastRowLastColumn="0"/>
            <w:tcW w:w="1242" w:type="dxa"/>
            <w:vAlign w:val="center"/>
          </w:tcPr>
          <w:p w:rsidR="00EB2E1D" w:rsidRPr="004B1F4D" w:rsidRDefault="00EB2E1D" w:rsidP="004B1F4D">
            <w:pPr>
              <w:pStyle w:val="Sinespaciado"/>
              <w:jc w:val="center"/>
              <w:rPr>
                <w:b w:val="0"/>
                <w:sz w:val="18"/>
                <w:szCs w:val="18"/>
              </w:rPr>
            </w:pPr>
            <w:r w:rsidRPr="004B1F4D">
              <w:rPr>
                <w:sz w:val="18"/>
                <w:szCs w:val="18"/>
              </w:rPr>
              <w:t>2011</w:t>
            </w:r>
          </w:p>
        </w:tc>
        <w:tc>
          <w:tcPr>
            <w:tcW w:w="7736" w:type="dxa"/>
          </w:tcPr>
          <w:p w:rsidR="00EB2E1D" w:rsidRPr="004B1F4D" w:rsidRDefault="00EB2E1D" w:rsidP="004B1F4D">
            <w:pPr>
              <w:pStyle w:val="Sinespaciado"/>
              <w:cnfStyle w:val="000000100000" w:firstRow="0" w:lastRow="0" w:firstColumn="0" w:lastColumn="0" w:oddVBand="0" w:evenVBand="0" w:oddHBand="1" w:evenHBand="0" w:firstRowFirstColumn="0" w:firstRowLastColumn="0" w:lastRowFirstColumn="0" w:lastRowLastColumn="0"/>
              <w:rPr>
                <w:sz w:val="18"/>
                <w:szCs w:val="18"/>
              </w:rPr>
            </w:pPr>
            <w:r w:rsidRPr="004B1F4D">
              <w:rPr>
                <w:sz w:val="18"/>
                <w:szCs w:val="18"/>
              </w:rPr>
              <w:t xml:space="preserve">De las 5 patentes aprobadas, 3 son de invención (Vigencia de 20 años) y 2 son  modelos de utilidad (vigencia de 10 años), de las cuales 2 han iniciado procesos de comercialización: Proceso para la Fabricación de Materiales de Construcción a partir de Residuos Celulósicos y Proceso y obtención de aceite estabilizado de crisálida fresca para uso cosmético. </w:t>
            </w:r>
          </w:p>
        </w:tc>
      </w:tr>
      <w:tr w:rsidR="00EB2E1D" w:rsidRPr="004B1F4D" w:rsidTr="004B1F4D">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vAlign w:val="center"/>
          </w:tcPr>
          <w:p w:rsidR="00EB2E1D" w:rsidRPr="004B1F4D" w:rsidRDefault="00EB2E1D" w:rsidP="004B1F4D">
            <w:pPr>
              <w:pStyle w:val="Sinespaciado"/>
              <w:jc w:val="center"/>
              <w:rPr>
                <w:b w:val="0"/>
                <w:sz w:val="18"/>
                <w:szCs w:val="18"/>
              </w:rPr>
            </w:pPr>
            <w:r w:rsidRPr="004B1F4D">
              <w:rPr>
                <w:sz w:val="18"/>
                <w:szCs w:val="18"/>
              </w:rPr>
              <w:t>2012</w:t>
            </w:r>
          </w:p>
        </w:tc>
        <w:tc>
          <w:tcPr>
            <w:tcW w:w="7736" w:type="dxa"/>
          </w:tcPr>
          <w:p w:rsidR="00EB2E1D" w:rsidRPr="004B1F4D" w:rsidRDefault="00EB2E1D" w:rsidP="004B1F4D">
            <w:pPr>
              <w:pStyle w:val="Sinespaciado"/>
              <w:cnfStyle w:val="000000010000" w:firstRow="0" w:lastRow="0" w:firstColumn="0" w:lastColumn="0" w:oddVBand="0" w:evenVBand="0" w:oddHBand="0" w:evenHBand="1" w:firstRowFirstColumn="0" w:firstRowLastColumn="0" w:lastRowFirstColumn="0" w:lastRowLastColumn="0"/>
              <w:rPr>
                <w:sz w:val="18"/>
                <w:szCs w:val="18"/>
              </w:rPr>
            </w:pPr>
            <w:r w:rsidRPr="004B1F4D">
              <w:rPr>
                <w:sz w:val="18"/>
                <w:szCs w:val="18"/>
              </w:rPr>
              <w:t>Para este año, de 10 patentes con las que cuenta la Universidad, se ha  avanzado en la comercialización de 3 patentes (acumulado) dentro de las cuales se encuentran: *Proceso para la Fabricación de Materiales de Construcción a partir de Residuos Celulósicos</w:t>
            </w:r>
          </w:p>
          <w:p w:rsidR="00EB2E1D" w:rsidRPr="004B1F4D" w:rsidRDefault="00EB2E1D" w:rsidP="004B1F4D">
            <w:pPr>
              <w:pStyle w:val="Sinespaciado"/>
              <w:cnfStyle w:val="000000010000" w:firstRow="0" w:lastRow="0" w:firstColumn="0" w:lastColumn="0" w:oddVBand="0" w:evenVBand="0" w:oddHBand="0" w:evenHBand="1" w:firstRowFirstColumn="0" w:firstRowLastColumn="0" w:lastRowFirstColumn="0" w:lastRowLastColumn="0"/>
              <w:rPr>
                <w:sz w:val="18"/>
                <w:szCs w:val="18"/>
              </w:rPr>
            </w:pPr>
            <w:r w:rsidRPr="004B1F4D">
              <w:rPr>
                <w:sz w:val="18"/>
                <w:szCs w:val="18"/>
              </w:rPr>
              <w:t>*</w:t>
            </w:r>
            <w:proofErr w:type="spellStart"/>
            <w:r w:rsidRPr="004B1F4D">
              <w:rPr>
                <w:sz w:val="18"/>
                <w:szCs w:val="18"/>
              </w:rPr>
              <w:t>Balotera</w:t>
            </w:r>
            <w:proofErr w:type="spellEnd"/>
            <w:r w:rsidRPr="004B1F4D">
              <w:rPr>
                <w:sz w:val="18"/>
                <w:szCs w:val="18"/>
              </w:rPr>
              <w:t xml:space="preserve"> electro neumática con controlador programable y mando remoto *Selección propagación y </w:t>
            </w:r>
            <w:r w:rsidRPr="004B1F4D">
              <w:rPr>
                <w:sz w:val="18"/>
                <w:szCs w:val="18"/>
              </w:rPr>
              <w:lastRenderedPageBreak/>
              <w:t>caracterización genética de mora de castilla</w:t>
            </w:r>
          </w:p>
        </w:tc>
      </w:tr>
    </w:tbl>
    <w:p w:rsidR="00EB2E1D" w:rsidRDefault="00EB2E1D" w:rsidP="00EB2E1D">
      <w:pPr>
        <w:autoSpaceDE w:val="0"/>
        <w:autoSpaceDN w:val="0"/>
        <w:adjustRightInd w:val="0"/>
        <w:spacing w:after="0"/>
        <w:rPr>
          <w:rFonts w:cs="Calibri"/>
          <w:color w:val="000000"/>
          <w:sz w:val="24"/>
          <w:szCs w:val="24"/>
        </w:rPr>
      </w:pPr>
    </w:p>
    <w:p w:rsidR="00EB2E1D" w:rsidRPr="000E722B" w:rsidRDefault="00EB2E1D" w:rsidP="00EB2E1D">
      <w:pPr>
        <w:autoSpaceDE w:val="0"/>
        <w:autoSpaceDN w:val="0"/>
        <w:adjustRightInd w:val="0"/>
        <w:spacing w:after="0"/>
        <w:rPr>
          <w:rFonts w:cs="Calibri"/>
          <w:color w:val="000000"/>
          <w:sz w:val="24"/>
          <w:szCs w:val="24"/>
        </w:rPr>
      </w:pPr>
    </w:p>
    <w:p w:rsidR="00EB2E1D" w:rsidRDefault="00EB2E1D" w:rsidP="00117745">
      <w:pPr>
        <w:pStyle w:val="Ttulo3"/>
      </w:pPr>
      <w:bookmarkStart w:id="133" w:name="_Toc354671351"/>
      <w:r w:rsidRPr="00EB2E1D">
        <w:t>Número de artículos publicados en los índex internacionales</w:t>
      </w:r>
      <w:bookmarkEnd w:id="133"/>
    </w:p>
    <w:p w:rsidR="00117745" w:rsidRPr="00117745" w:rsidRDefault="00117745" w:rsidP="00117745"/>
    <w:p w:rsidR="00EB2E1D" w:rsidRPr="00EB2E1D" w:rsidRDefault="00EB2E1D" w:rsidP="00EB2E1D">
      <w:r w:rsidRPr="00EB2E1D">
        <w:t>Las revistas indexadas A1 y A2 son aquellas clasificadas dentro de índices o bases bibliográficas internacionalmente establecidos, según criterios rigurosos de cuidado editorial, de evaluación por pares, de calidad científica de lo publicado, de circulación y accesibilidad y de visibilidad demostrada. El indicador mide la publicación de artículos en este tipo de revistas en los últimos dos años.</w:t>
      </w:r>
    </w:p>
    <w:p w:rsidR="00EB2E1D" w:rsidRPr="00EB2E1D" w:rsidRDefault="00EB2E1D" w:rsidP="00EB2E1D">
      <w:r w:rsidRPr="00EB2E1D">
        <w:t xml:space="preserve">Entre los años 2011 y 2012, la Universidad ha logrado publicar 76 artículos en los </w:t>
      </w:r>
      <w:proofErr w:type="spellStart"/>
      <w:r w:rsidRPr="00EB2E1D">
        <w:t>Index</w:t>
      </w:r>
      <w:proofErr w:type="spellEnd"/>
      <w:r w:rsidRPr="00EB2E1D">
        <w:t xml:space="preserve"> internacionales, cinco artículos por encima de la meta propuesta, la cual estaba establecida en 71 artículos. 42 artículos fueron en categoría A1 y 34 fueron en categoría A2.</w:t>
      </w:r>
    </w:p>
    <w:p w:rsidR="00EB2E1D" w:rsidRPr="00EB2E1D" w:rsidRDefault="00EB2E1D" w:rsidP="00EB2E1D">
      <w:pPr>
        <w:pStyle w:val="Epgrafe"/>
        <w:keepNext/>
        <w:spacing w:line="276" w:lineRule="auto"/>
        <w:rPr>
          <w:color w:val="000000" w:themeColor="text1"/>
        </w:rPr>
      </w:pPr>
      <w:r w:rsidRPr="00EB2E1D">
        <w:rPr>
          <w:color w:val="000000" w:themeColor="text1"/>
        </w:rPr>
        <w:t xml:space="preserve">Resultados – Número de Artículos publicados en </w:t>
      </w:r>
      <w:proofErr w:type="spellStart"/>
      <w:r w:rsidRPr="00EB2E1D">
        <w:rPr>
          <w:color w:val="000000" w:themeColor="text1"/>
        </w:rPr>
        <w:t>Index</w:t>
      </w:r>
      <w:proofErr w:type="spellEnd"/>
      <w:r w:rsidRPr="00EB2E1D">
        <w:rPr>
          <w:color w:val="000000" w:themeColor="text1"/>
        </w:rPr>
        <w:t xml:space="preserve"> internacionales para el año 2012.</w:t>
      </w:r>
    </w:p>
    <w:p w:rsidR="00EB2E1D" w:rsidRDefault="00EB2E1D" w:rsidP="00EB2E1D">
      <w:pPr>
        <w:jc w:val="center"/>
        <w:rPr>
          <w:lang w:bidi="en-US"/>
        </w:rPr>
      </w:pPr>
      <w:r w:rsidRPr="00EB2E1D">
        <w:rPr>
          <w:noProof/>
          <w:lang w:val="es-CO" w:eastAsia="es-CO"/>
        </w:rPr>
        <w:drawing>
          <wp:inline distT="0" distB="0" distL="0" distR="0">
            <wp:extent cx="4772025" cy="1743075"/>
            <wp:effectExtent l="0" t="0" r="0" b="0"/>
            <wp:docPr id="14" name="1 Gráfico"/>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rsidR="00EB2E1D" w:rsidRDefault="00EB2E1D" w:rsidP="00EB2E1D">
      <w:pPr>
        <w:jc w:val="center"/>
        <w:rPr>
          <w:b/>
          <w:i/>
          <w:sz w:val="20"/>
        </w:rPr>
      </w:pPr>
      <w:r w:rsidRPr="0069072F">
        <w:rPr>
          <w:b/>
          <w:i/>
          <w:sz w:val="20"/>
        </w:rPr>
        <w:t>Fuente: SIGOB</w:t>
      </w:r>
    </w:p>
    <w:p w:rsidR="00EB2E1D" w:rsidRPr="00EB2E1D" w:rsidRDefault="00EB2E1D" w:rsidP="00EB2E1D">
      <w:pPr>
        <w:jc w:val="center"/>
        <w:rPr>
          <w:lang w:bidi="en-US"/>
        </w:rPr>
      </w:pPr>
    </w:p>
    <w:p w:rsidR="00EB2E1D" w:rsidRDefault="00EB2E1D" w:rsidP="00EB2E1D">
      <w:r w:rsidRPr="00EB2E1D">
        <w:t>A continuación se hace un recuento de los principales resultados de este indicador durante los años 2009 - 2012:</w:t>
      </w:r>
    </w:p>
    <w:tbl>
      <w:tblPr>
        <w:tblStyle w:val="Cuadrculaclara-nfasis1"/>
        <w:tblW w:w="0" w:type="auto"/>
        <w:tblLook w:val="04A0" w:firstRow="1" w:lastRow="0" w:firstColumn="1" w:lastColumn="0" w:noHBand="0" w:noVBand="1"/>
      </w:tblPr>
      <w:tblGrid>
        <w:gridCol w:w="1242"/>
        <w:gridCol w:w="7736"/>
      </w:tblGrid>
      <w:tr w:rsidR="00EB2E1D" w:rsidRPr="009E4114" w:rsidTr="004B1F4D">
        <w:trPr>
          <w:cnfStyle w:val="100000000000" w:firstRow="1" w:lastRow="0" w:firstColumn="0" w:lastColumn="0" w:oddVBand="0" w:evenVBand="0" w:oddHBand="0" w:evenHBand="0" w:firstRowFirstColumn="0" w:firstRowLastColumn="0" w:lastRowFirstColumn="0" w:lastRowLastColumn="0"/>
          <w:trHeight w:val="20"/>
          <w:tblHeader/>
        </w:trPr>
        <w:tc>
          <w:tcPr>
            <w:cnfStyle w:val="001000000000" w:firstRow="0" w:lastRow="0" w:firstColumn="1" w:lastColumn="0" w:oddVBand="0" w:evenVBand="0" w:oddHBand="0" w:evenHBand="0" w:firstRowFirstColumn="0" w:firstRowLastColumn="0" w:lastRowFirstColumn="0" w:lastRowLastColumn="0"/>
            <w:tcW w:w="1242" w:type="dxa"/>
          </w:tcPr>
          <w:p w:rsidR="00EB2E1D" w:rsidRPr="004B1F4D" w:rsidRDefault="00EB2E1D" w:rsidP="004B1F4D">
            <w:pPr>
              <w:pStyle w:val="Sinespaciado"/>
              <w:jc w:val="center"/>
              <w:rPr>
                <w:b w:val="0"/>
                <w:sz w:val="18"/>
                <w:szCs w:val="18"/>
              </w:rPr>
            </w:pPr>
            <w:r w:rsidRPr="004B1F4D">
              <w:rPr>
                <w:sz w:val="18"/>
                <w:szCs w:val="18"/>
              </w:rPr>
              <w:t>Año</w:t>
            </w:r>
          </w:p>
        </w:tc>
        <w:tc>
          <w:tcPr>
            <w:tcW w:w="7736" w:type="dxa"/>
          </w:tcPr>
          <w:p w:rsidR="00EB2E1D" w:rsidRPr="004B1F4D" w:rsidRDefault="00EB2E1D" w:rsidP="004B1F4D">
            <w:pPr>
              <w:pStyle w:val="Sinespaciado"/>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4B1F4D">
              <w:rPr>
                <w:sz w:val="18"/>
                <w:szCs w:val="18"/>
              </w:rPr>
              <w:t>Resultados</w:t>
            </w:r>
          </w:p>
        </w:tc>
      </w:tr>
      <w:tr w:rsidR="00EB2E1D" w:rsidRPr="009E4114" w:rsidTr="004B1F4D">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42" w:type="dxa"/>
            <w:vAlign w:val="center"/>
          </w:tcPr>
          <w:p w:rsidR="00EB2E1D" w:rsidRPr="009E4114" w:rsidRDefault="00EB2E1D" w:rsidP="00EB2E1D">
            <w:pPr>
              <w:autoSpaceDE w:val="0"/>
              <w:autoSpaceDN w:val="0"/>
              <w:adjustRightInd w:val="0"/>
              <w:jc w:val="center"/>
              <w:rPr>
                <w:rFonts w:cs="Calibri"/>
                <w:b w:val="0"/>
                <w:color w:val="000000"/>
                <w:sz w:val="18"/>
                <w:szCs w:val="18"/>
              </w:rPr>
            </w:pPr>
            <w:r w:rsidRPr="009E4114">
              <w:rPr>
                <w:rFonts w:cs="Calibri"/>
                <w:color w:val="000000"/>
                <w:sz w:val="18"/>
                <w:szCs w:val="18"/>
              </w:rPr>
              <w:t>2009</w:t>
            </w:r>
          </w:p>
        </w:tc>
        <w:tc>
          <w:tcPr>
            <w:tcW w:w="7736" w:type="dxa"/>
          </w:tcPr>
          <w:p w:rsidR="00EB2E1D" w:rsidRPr="004B1F4D" w:rsidRDefault="00EB2E1D" w:rsidP="004B1F4D">
            <w:pPr>
              <w:pStyle w:val="Sinespaciado"/>
              <w:cnfStyle w:val="000000100000" w:firstRow="0" w:lastRow="0" w:firstColumn="0" w:lastColumn="0" w:oddVBand="0" w:evenVBand="0" w:oddHBand="1" w:evenHBand="0" w:firstRowFirstColumn="0" w:firstRowLastColumn="0" w:lastRowFirstColumn="0" w:lastRowLastColumn="0"/>
              <w:rPr>
                <w:sz w:val="18"/>
                <w:szCs w:val="18"/>
              </w:rPr>
            </w:pPr>
            <w:r w:rsidRPr="004B1F4D">
              <w:rPr>
                <w:sz w:val="18"/>
                <w:szCs w:val="18"/>
              </w:rPr>
              <w:t xml:space="preserve">El incremento fue de 26 publicaciones en revistas A1 y A2, de las cuales 12 fueron A1 y 14 A2. Estas publicaciones se dieron entre los años 2008 y 2009. Las facultades que aportaron en este tipo de publicaciones fueron: Ciencias básicas, Tecnologías, Ciencias Ambientales e Ingenierías. </w:t>
            </w:r>
          </w:p>
        </w:tc>
      </w:tr>
      <w:tr w:rsidR="00EB2E1D" w:rsidRPr="009E4114" w:rsidTr="004B1F4D">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42" w:type="dxa"/>
            <w:vAlign w:val="center"/>
          </w:tcPr>
          <w:p w:rsidR="00EB2E1D" w:rsidRPr="009E4114" w:rsidRDefault="00EB2E1D" w:rsidP="00EB2E1D">
            <w:pPr>
              <w:autoSpaceDE w:val="0"/>
              <w:autoSpaceDN w:val="0"/>
              <w:adjustRightInd w:val="0"/>
              <w:jc w:val="center"/>
              <w:rPr>
                <w:rFonts w:cs="Calibri"/>
                <w:b w:val="0"/>
                <w:color w:val="000000"/>
                <w:sz w:val="18"/>
                <w:szCs w:val="18"/>
              </w:rPr>
            </w:pPr>
            <w:r w:rsidRPr="009E4114">
              <w:rPr>
                <w:rFonts w:cs="Calibri"/>
                <w:color w:val="000000"/>
                <w:sz w:val="18"/>
                <w:szCs w:val="18"/>
              </w:rPr>
              <w:t>2010</w:t>
            </w:r>
          </w:p>
        </w:tc>
        <w:tc>
          <w:tcPr>
            <w:tcW w:w="7736" w:type="dxa"/>
          </w:tcPr>
          <w:p w:rsidR="00EB2E1D" w:rsidRPr="004B1F4D" w:rsidRDefault="00EB2E1D" w:rsidP="004B1F4D">
            <w:pPr>
              <w:pStyle w:val="Sinespaciado"/>
              <w:cnfStyle w:val="000000010000" w:firstRow="0" w:lastRow="0" w:firstColumn="0" w:lastColumn="0" w:oddVBand="0" w:evenVBand="0" w:oddHBand="0" w:evenHBand="1" w:firstRowFirstColumn="0" w:firstRowLastColumn="0" w:lastRowFirstColumn="0" w:lastRowLastColumn="0"/>
              <w:rPr>
                <w:sz w:val="18"/>
                <w:szCs w:val="18"/>
              </w:rPr>
            </w:pPr>
            <w:r w:rsidRPr="004B1F4D">
              <w:rPr>
                <w:sz w:val="18"/>
                <w:szCs w:val="18"/>
              </w:rPr>
              <w:t>Durante el año 2009 y 2010, las publicaciones en este tipo de revistas se incrementó en 51 publicaciones, 33 fueron en revistas A1 y 18 en A2. Aumentó la participación de otras facultades en la publicación dentro de este tipo de revistas: Ciencias de la Salud, Ciencias de la Educación y Bellas Artes y Humanidades.</w:t>
            </w:r>
          </w:p>
        </w:tc>
      </w:tr>
      <w:tr w:rsidR="00EB2E1D" w:rsidRPr="009E4114" w:rsidTr="004B1F4D">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42" w:type="dxa"/>
            <w:vAlign w:val="center"/>
          </w:tcPr>
          <w:p w:rsidR="00EB2E1D" w:rsidRPr="009E4114" w:rsidRDefault="00EB2E1D" w:rsidP="00EB2E1D">
            <w:pPr>
              <w:autoSpaceDE w:val="0"/>
              <w:autoSpaceDN w:val="0"/>
              <w:adjustRightInd w:val="0"/>
              <w:jc w:val="center"/>
              <w:rPr>
                <w:rFonts w:cs="Calibri"/>
                <w:b w:val="0"/>
                <w:color w:val="000000"/>
                <w:sz w:val="18"/>
                <w:szCs w:val="18"/>
              </w:rPr>
            </w:pPr>
            <w:r w:rsidRPr="009E4114">
              <w:rPr>
                <w:rFonts w:cs="Calibri"/>
                <w:color w:val="000000"/>
                <w:sz w:val="18"/>
                <w:szCs w:val="18"/>
              </w:rPr>
              <w:t>2011</w:t>
            </w:r>
          </w:p>
        </w:tc>
        <w:tc>
          <w:tcPr>
            <w:tcW w:w="7736" w:type="dxa"/>
          </w:tcPr>
          <w:p w:rsidR="00EB2E1D" w:rsidRPr="004B1F4D" w:rsidRDefault="00EB2E1D" w:rsidP="004B1F4D">
            <w:pPr>
              <w:pStyle w:val="Sinespaciado"/>
              <w:cnfStyle w:val="000000100000" w:firstRow="0" w:lastRow="0" w:firstColumn="0" w:lastColumn="0" w:oddVBand="0" w:evenVBand="0" w:oddHBand="1" w:evenHBand="0" w:firstRowFirstColumn="0" w:firstRowLastColumn="0" w:lastRowFirstColumn="0" w:lastRowLastColumn="0"/>
              <w:rPr>
                <w:sz w:val="18"/>
                <w:szCs w:val="18"/>
              </w:rPr>
            </w:pPr>
            <w:r w:rsidRPr="004B1F4D">
              <w:rPr>
                <w:sz w:val="18"/>
                <w:szCs w:val="18"/>
              </w:rPr>
              <w:t xml:space="preserve">Para este período se cambió la forma de medir el indicador a un valor absoluto, y se registraron </w:t>
            </w:r>
            <w:r w:rsidRPr="004B1F4D">
              <w:rPr>
                <w:bCs/>
                <w:sz w:val="18"/>
                <w:szCs w:val="18"/>
              </w:rPr>
              <w:t xml:space="preserve">58 </w:t>
            </w:r>
            <w:r w:rsidRPr="004B1F4D">
              <w:rPr>
                <w:sz w:val="18"/>
                <w:szCs w:val="18"/>
              </w:rPr>
              <w:t xml:space="preserve">artículos publicados en los Índex internacionales, con lo cual se cumplió en un </w:t>
            </w:r>
            <w:r w:rsidRPr="004B1F4D">
              <w:rPr>
                <w:bCs/>
                <w:sz w:val="18"/>
                <w:szCs w:val="18"/>
              </w:rPr>
              <w:t>95%</w:t>
            </w:r>
            <w:r w:rsidRPr="004B1F4D">
              <w:rPr>
                <w:b/>
                <w:bCs/>
                <w:sz w:val="18"/>
                <w:szCs w:val="18"/>
              </w:rPr>
              <w:t xml:space="preserve"> </w:t>
            </w:r>
            <w:r w:rsidRPr="004B1F4D">
              <w:rPr>
                <w:sz w:val="18"/>
                <w:szCs w:val="18"/>
              </w:rPr>
              <w:t>la meta establecida para la vigencia, teniendo en cuenta que la meta establecida era de 61 artículos publicados.</w:t>
            </w:r>
          </w:p>
        </w:tc>
      </w:tr>
      <w:tr w:rsidR="00EB2E1D" w:rsidRPr="009E4114" w:rsidTr="004B1F4D">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42" w:type="dxa"/>
            <w:vAlign w:val="center"/>
          </w:tcPr>
          <w:p w:rsidR="00EB2E1D" w:rsidRPr="009E4114" w:rsidRDefault="00EB2E1D" w:rsidP="00EB2E1D">
            <w:pPr>
              <w:autoSpaceDE w:val="0"/>
              <w:autoSpaceDN w:val="0"/>
              <w:adjustRightInd w:val="0"/>
              <w:jc w:val="center"/>
              <w:rPr>
                <w:rFonts w:cs="Calibri"/>
                <w:b w:val="0"/>
                <w:color w:val="000000"/>
                <w:sz w:val="18"/>
                <w:szCs w:val="18"/>
              </w:rPr>
            </w:pPr>
            <w:r w:rsidRPr="009E4114">
              <w:rPr>
                <w:rFonts w:cs="Calibri"/>
                <w:color w:val="000000"/>
                <w:sz w:val="18"/>
                <w:szCs w:val="18"/>
              </w:rPr>
              <w:t>2012</w:t>
            </w:r>
          </w:p>
        </w:tc>
        <w:tc>
          <w:tcPr>
            <w:tcW w:w="7736" w:type="dxa"/>
          </w:tcPr>
          <w:p w:rsidR="00EB2E1D" w:rsidRPr="004B1F4D" w:rsidRDefault="00EB2E1D" w:rsidP="004B1F4D">
            <w:pPr>
              <w:pStyle w:val="Sinespaciado"/>
              <w:cnfStyle w:val="000000010000" w:firstRow="0" w:lastRow="0" w:firstColumn="0" w:lastColumn="0" w:oddVBand="0" w:evenVBand="0" w:oddHBand="0" w:evenHBand="1" w:firstRowFirstColumn="0" w:firstRowLastColumn="0" w:lastRowFirstColumn="0" w:lastRowLastColumn="0"/>
              <w:rPr>
                <w:sz w:val="18"/>
                <w:szCs w:val="18"/>
              </w:rPr>
            </w:pPr>
            <w:r w:rsidRPr="004B1F4D">
              <w:rPr>
                <w:sz w:val="18"/>
                <w:szCs w:val="18"/>
              </w:rPr>
              <w:t>La publicación en los índex internacionales continuó su incremento lográndose un total de 76 artículos,  18 artículos más que en el 2010.</w:t>
            </w:r>
          </w:p>
        </w:tc>
      </w:tr>
    </w:tbl>
    <w:p w:rsidR="00EB2E1D" w:rsidRDefault="00EB2E1D" w:rsidP="00EB2E1D">
      <w:pPr>
        <w:rPr>
          <w:b/>
          <w:color w:val="000000" w:themeColor="text1"/>
        </w:rPr>
      </w:pPr>
    </w:p>
    <w:p w:rsidR="00EB2E1D" w:rsidRDefault="00EB2E1D" w:rsidP="00117745">
      <w:pPr>
        <w:pStyle w:val="Ttulo3"/>
      </w:pPr>
      <w:bookmarkStart w:id="134" w:name="_Toc354671352"/>
      <w:r w:rsidRPr="00EB2E1D">
        <w:lastRenderedPageBreak/>
        <w:t>Porcentaje de proyectos de investigación apropiados por la sociedad</w:t>
      </w:r>
      <w:bookmarkEnd w:id="134"/>
      <w:r w:rsidRPr="00EB2E1D">
        <w:t xml:space="preserve"> </w:t>
      </w:r>
    </w:p>
    <w:p w:rsidR="00117745" w:rsidRPr="00117745" w:rsidRDefault="00117745" w:rsidP="00117745"/>
    <w:p w:rsidR="00EB2E1D" w:rsidRDefault="00EB2E1D" w:rsidP="00117745">
      <w:r w:rsidRPr="00EB2E1D">
        <w:t>Son aquellos proyectos realizados desde la universidad y que aportan a la solución de problemas y necesidades a nivel tecnológico, pedagógico, social, ambiental y cultural. Con esto se busca fortalecer la gestión y transferencia del conocimiento.</w:t>
      </w:r>
      <w:r>
        <w:t xml:space="preserve"> </w:t>
      </w:r>
    </w:p>
    <w:p w:rsidR="007249A1" w:rsidRDefault="007249A1" w:rsidP="00EB2E1D">
      <w:pPr>
        <w:rPr>
          <w:b/>
        </w:rPr>
      </w:pPr>
    </w:p>
    <w:p w:rsidR="00EB2E1D" w:rsidRPr="004244AF" w:rsidRDefault="00EB2E1D" w:rsidP="00EB2E1D">
      <w:pPr>
        <w:pStyle w:val="Epgrafe"/>
        <w:keepNext/>
        <w:spacing w:line="276" w:lineRule="auto"/>
        <w:rPr>
          <w:color w:val="000000" w:themeColor="text1"/>
        </w:rPr>
      </w:pPr>
      <w:r w:rsidRPr="00A93A1F">
        <w:rPr>
          <w:color w:val="000000" w:themeColor="text1"/>
        </w:rPr>
        <w:t xml:space="preserve">Resultados – </w:t>
      </w:r>
      <w:r>
        <w:rPr>
          <w:color w:val="000000" w:themeColor="text1"/>
        </w:rPr>
        <w:t>Porcentaje de proyectos apropiados por la sociedad</w:t>
      </w:r>
      <w:r w:rsidRPr="00A93A1F">
        <w:rPr>
          <w:color w:val="000000" w:themeColor="text1"/>
        </w:rPr>
        <w:t xml:space="preserve"> para el año 2012.</w:t>
      </w:r>
    </w:p>
    <w:p w:rsidR="00EB2E1D" w:rsidRDefault="00EB2E1D" w:rsidP="00EB2E1D">
      <w:pPr>
        <w:jc w:val="center"/>
        <w:rPr>
          <w:noProof/>
          <w:lang w:eastAsia="es-CO"/>
        </w:rPr>
      </w:pPr>
      <w:r w:rsidRPr="0069072F">
        <w:rPr>
          <w:noProof/>
          <w:lang w:val="es-CO" w:eastAsia="es-CO"/>
        </w:rPr>
        <w:drawing>
          <wp:inline distT="0" distB="0" distL="0" distR="0">
            <wp:extent cx="4772025" cy="1743075"/>
            <wp:effectExtent l="0" t="0" r="0" b="0"/>
            <wp:docPr id="8" name="1 Gráfico"/>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r>
        <w:rPr>
          <w:noProof/>
          <w:lang w:eastAsia="es-CO"/>
        </w:rPr>
        <w:br w:type="textWrapping" w:clear="all"/>
      </w:r>
    </w:p>
    <w:p w:rsidR="00EB2E1D" w:rsidRDefault="00EB2E1D" w:rsidP="00EB2E1D">
      <w:pPr>
        <w:jc w:val="center"/>
        <w:rPr>
          <w:b/>
          <w:i/>
          <w:sz w:val="20"/>
        </w:rPr>
      </w:pPr>
      <w:r w:rsidRPr="0069072F">
        <w:rPr>
          <w:b/>
          <w:i/>
          <w:sz w:val="20"/>
        </w:rPr>
        <w:t>Fuente: SIGOB</w:t>
      </w:r>
    </w:p>
    <w:p w:rsidR="00EB2E1D" w:rsidRDefault="00EB2E1D" w:rsidP="00EB2E1D">
      <w:r w:rsidRPr="00EB2E1D">
        <w:t xml:space="preserve">De </w:t>
      </w:r>
      <w:r w:rsidRPr="00704DD2">
        <w:rPr>
          <w:b/>
        </w:rPr>
        <w:t>285</w:t>
      </w:r>
      <w:r w:rsidRPr="00EB2E1D">
        <w:t xml:space="preserve"> proyectos concluidos en el período comprendido entre el año 2007 y 2011, </w:t>
      </w:r>
      <w:r w:rsidRPr="00704DD2">
        <w:rPr>
          <w:b/>
        </w:rPr>
        <w:t>51</w:t>
      </w:r>
      <w:r w:rsidRPr="00EB2E1D">
        <w:t xml:space="preserve"> han sido apropiados por la sociedad (equivalente al </w:t>
      </w:r>
      <w:r w:rsidRPr="00704DD2">
        <w:rPr>
          <w:b/>
        </w:rPr>
        <w:t>17,89%</w:t>
      </w:r>
      <w:r w:rsidRPr="00EB2E1D">
        <w:t xml:space="preserve"> de proyectos), obteniéndose un cumplimiento del </w:t>
      </w:r>
      <w:r w:rsidRPr="00704DD2">
        <w:rPr>
          <w:b/>
        </w:rPr>
        <w:t>81.32%</w:t>
      </w:r>
      <w:r w:rsidRPr="00EB2E1D">
        <w:t xml:space="preserve"> con respecto a la meta.  Se ilustra el número de proyectos apropiados por la sociedad de acuerdo con el sector impactado:</w:t>
      </w:r>
    </w:p>
    <w:p w:rsidR="00EB2E1D" w:rsidRDefault="00EB2E1D" w:rsidP="00EB2E1D"/>
    <w:p w:rsidR="00EB2E1D" w:rsidRDefault="00EB2E1D" w:rsidP="00EB2E1D">
      <w:pPr>
        <w:pStyle w:val="Epgrafe"/>
        <w:keepNext/>
        <w:rPr>
          <w:color w:val="000000" w:themeColor="text1"/>
        </w:rPr>
      </w:pPr>
      <w:r w:rsidRPr="00A57B6F">
        <w:rPr>
          <w:color w:val="000000" w:themeColor="text1"/>
        </w:rPr>
        <w:t>Proporción de proye</w:t>
      </w:r>
      <w:r>
        <w:rPr>
          <w:color w:val="000000" w:themeColor="text1"/>
        </w:rPr>
        <w:t>ctos por sector para el año 2012</w:t>
      </w:r>
      <w:r w:rsidRPr="00A57B6F">
        <w:rPr>
          <w:color w:val="000000" w:themeColor="text1"/>
        </w:rPr>
        <w:t>.</w:t>
      </w:r>
    </w:p>
    <w:p w:rsidR="00EB2E1D" w:rsidRPr="004D4639" w:rsidRDefault="00EB2E1D" w:rsidP="00EB2E1D">
      <w:pPr>
        <w:spacing w:after="0"/>
        <w:rPr>
          <w:b/>
          <w:sz w:val="24"/>
          <w:szCs w:val="24"/>
        </w:rPr>
      </w:pPr>
      <w:r w:rsidRPr="00D054BF">
        <w:rPr>
          <w:b/>
          <w:noProof/>
          <w:sz w:val="24"/>
          <w:szCs w:val="24"/>
          <w:lang w:val="es-CO" w:eastAsia="es-CO"/>
        </w:rPr>
        <w:drawing>
          <wp:inline distT="0" distB="0" distL="0" distR="0">
            <wp:extent cx="5610225" cy="2000250"/>
            <wp:effectExtent l="0" t="0" r="0" b="0"/>
            <wp:docPr id="4" name="Gráfico 4"/>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rsidR="00EB2E1D" w:rsidRDefault="00EB2E1D" w:rsidP="009E4114">
      <w:pPr>
        <w:jc w:val="center"/>
      </w:pPr>
      <w:r w:rsidRPr="00AC25C5">
        <w:rPr>
          <w:b/>
          <w:i/>
          <w:sz w:val="20"/>
        </w:rPr>
        <w:t>Fuente: Vicerrectoría de Investigación, Innovación y Extensión</w:t>
      </w:r>
    </w:p>
    <w:p w:rsidR="00EB2E1D" w:rsidRDefault="00EB2E1D" w:rsidP="00EB2E1D"/>
    <w:p w:rsidR="00EB2E1D" w:rsidRDefault="00EB2E1D" w:rsidP="00EB2E1D">
      <w:r w:rsidRPr="00987B0B">
        <w:t>Se presentan los  resultados durante los años 2009 - 2012:</w:t>
      </w:r>
    </w:p>
    <w:tbl>
      <w:tblPr>
        <w:tblStyle w:val="Cuadrculaclara-nfasis1"/>
        <w:tblW w:w="0" w:type="auto"/>
        <w:tblLook w:val="04A0" w:firstRow="1" w:lastRow="0" w:firstColumn="1" w:lastColumn="0" w:noHBand="0" w:noVBand="1"/>
      </w:tblPr>
      <w:tblGrid>
        <w:gridCol w:w="1242"/>
        <w:gridCol w:w="7736"/>
      </w:tblGrid>
      <w:tr w:rsidR="00EB2E1D" w:rsidRPr="00117745" w:rsidTr="007249A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242" w:type="dxa"/>
          </w:tcPr>
          <w:p w:rsidR="00EB2E1D" w:rsidRPr="00117745" w:rsidRDefault="00EB2E1D" w:rsidP="00117745">
            <w:pPr>
              <w:pStyle w:val="Sinespaciado"/>
              <w:jc w:val="center"/>
              <w:rPr>
                <w:b w:val="0"/>
                <w:sz w:val="18"/>
                <w:szCs w:val="18"/>
              </w:rPr>
            </w:pPr>
            <w:r w:rsidRPr="00117745">
              <w:rPr>
                <w:sz w:val="18"/>
                <w:szCs w:val="18"/>
              </w:rPr>
              <w:lastRenderedPageBreak/>
              <w:t>Año</w:t>
            </w:r>
          </w:p>
        </w:tc>
        <w:tc>
          <w:tcPr>
            <w:tcW w:w="7736" w:type="dxa"/>
          </w:tcPr>
          <w:p w:rsidR="00EB2E1D" w:rsidRPr="00117745" w:rsidRDefault="00EB2E1D" w:rsidP="00117745">
            <w:pPr>
              <w:pStyle w:val="Sinespaciado"/>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117745">
              <w:rPr>
                <w:sz w:val="18"/>
                <w:szCs w:val="18"/>
              </w:rPr>
              <w:t>Resultados</w:t>
            </w:r>
          </w:p>
        </w:tc>
      </w:tr>
      <w:tr w:rsidR="00EB2E1D" w:rsidRPr="00117745" w:rsidTr="005D624C">
        <w:trPr>
          <w:cnfStyle w:val="000000100000" w:firstRow="0" w:lastRow="0" w:firstColumn="0" w:lastColumn="0" w:oddVBand="0" w:evenVBand="0" w:oddHBand="1" w:evenHBand="0" w:firstRowFirstColumn="0" w:firstRowLastColumn="0" w:lastRowFirstColumn="0" w:lastRowLastColumn="0"/>
          <w:trHeight w:val="414"/>
        </w:trPr>
        <w:tc>
          <w:tcPr>
            <w:cnfStyle w:val="001000000000" w:firstRow="0" w:lastRow="0" w:firstColumn="1" w:lastColumn="0" w:oddVBand="0" w:evenVBand="0" w:oddHBand="0" w:evenHBand="0" w:firstRowFirstColumn="0" w:firstRowLastColumn="0" w:lastRowFirstColumn="0" w:lastRowLastColumn="0"/>
            <w:tcW w:w="1242" w:type="dxa"/>
            <w:vAlign w:val="center"/>
          </w:tcPr>
          <w:p w:rsidR="00EB2E1D" w:rsidRPr="00117745" w:rsidRDefault="00EB2E1D" w:rsidP="005D624C">
            <w:pPr>
              <w:autoSpaceDE w:val="0"/>
              <w:autoSpaceDN w:val="0"/>
              <w:adjustRightInd w:val="0"/>
              <w:jc w:val="center"/>
              <w:rPr>
                <w:rFonts w:cs="Calibri"/>
                <w:b w:val="0"/>
                <w:color w:val="000000"/>
                <w:sz w:val="18"/>
                <w:szCs w:val="18"/>
              </w:rPr>
            </w:pPr>
            <w:r w:rsidRPr="00117745">
              <w:rPr>
                <w:rFonts w:cs="Calibri"/>
                <w:color w:val="000000"/>
                <w:sz w:val="18"/>
                <w:szCs w:val="18"/>
              </w:rPr>
              <w:t>2009</w:t>
            </w:r>
          </w:p>
        </w:tc>
        <w:tc>
          <w:tcPr>
            <w:tcW w:w="7736" w:type="dxa"/>
          </w:tcPr>
          <w:p w:rsidR="00EB2E1D" w:rsidRPr="00117745" w:rsidRDefault="00EB2E1D" w:rsidP="00117745">
            <w:pPr>
              <w:pStyle w:val="Sinespaciado"/>
              <w:cnfStyle w:val="000000100000" w:firstRow="0" w:lastRow="0" w:firstColumn="0" w:lastColumn="0" w:oddVBand="0" w:evenVBand="0" w:oddHBand="1" w:evenHBand="0" w:firstRowFirstColumn="0" w:firstRowLastColumn="0" w:lastRowFirstColumn="0" w:lastRowLastColumn="0"/>
              <w:rPr>
                <w:rFonts w:cs="Calibri"/>
                <w:sz w:val="18"/>
                <w:szCs w:val="18"/>
              </w:rPr>
            </w:pPr>
            <w:r w:rsidRPr="00117745">
              <w:rPr>
                <w:sz w:val="18"/>
                <w:szCs w:val="18"/>
              </w:rPr>
              <w:t xml:space="preserve">34 Proyectos fueron apropiados por la sociedad, equivalente a un 17% del total de proyectos realizados. 5 de ellos a nivel tecnológico, 6 proyectos a nivel pedagógico, 9 proyectos a nivel social, 10 Proyectos a nivel ambiental y 4 Proyectos a nivel cultural. </w:t>
            </w:r>
          </w:p>
        </w:tc>
      </w:tr>
      <w:tr w:rsidR="00EB2E1D" w:rsidRPr="00117745" w:rsidTr="005D624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vAlign w:val="center"/>
          </w:tcPr>
          <w:p w:rsidR="00EB2E1D" w:rsidRPr="00117745" w:rsidRDefault="00EB2E1D" w:rsidP="005D624C">
            <w:pPr>
              <w:autoSpaceDE w:val="0"/>
              <w:autoSpaceDN w:val="0"/>
              <w:adjustRightInd w:val="0"/>
              <w:jc w:val="center"/>
              <w:rPr>
                <w:rFonts w:cs="Calibri"/>
                <w:b w:val="0"/>
                <w:color w:val="000000"/>
                <w:sz w:val="18"/>
                <w:szCs w:val="18"/>
              </w:rPr>
            </w:pPr>
            <w:r w:rsidRPr="00117745">
              <w:rPr>
                <w:rFonts w:cs="Calibri"/>
                <w:color w:val="000000"/>
                <w:sz w:val="18"/>
                <w:szCs w:val="18"/>
              </w:rPr>
              <w:t>2010</w:t>
            </w:r>
          </w:p>
        </w:tc>
        <w:tc>
          <w:tcPr>
            <w:tcW w:w="7736" w:type="dxa"/>
          </w:tcPr>
          <w:p w:rsidR="00EB2E1D" w:rsidRPr="00117745" w:rsidRDefault="00EB2E1D" w:rsidP="00117745">
            <w:pPr>
              <w:pStyle w:val="Sinespaciado"/>
              <w:cnfStyle w:val="000000010000" w:firstRow="0" w:lastRow="0" w:firstColumn="0" w:lastColumn="0" w:oddVBand="0" w:evenVBand="0" w:oddHBand="0" w:evenHBand="1" w:firstRowFirstColumn="0" w:firstRowLastColumn="0" w:lastRowFirstColumn="0" w:lastRowLastColumn="0"/>
              <w:rPr>
                <w:sz w:val="18"/>
                <w:szCs w:val="18"/>
              </w:rPr>
            </w:pPr>
            <w:r w:rsidRPr="00117745">
              <w:rPr>
                <w:sz w:val="18"/>
                <w:szCs w:val="18"/>
              </w:rPr>
              <w:t>De los proyectos de investigación que solucionan problemas y necesidades a nivel tecnológico, pedagógico, social, ambiental y cultural el 18% fueron apropiados, equivalentes a 44 proyectos.</w:t>
            </w:r>
          </w:p>
        </w:tc>
      </w:tr>
      <w:tr w:rsidR="00EB2E1D" w:rsidRPr="00117745" w:rsidTr="005D624C">
        <w:trPr>
          <w:cnfStyle w:val="000000100000" w:firstRow="0" w:lastRow="0" w:firstColumn="0" w:lastColumn="0" w:oddVBand="0" w:evenVBand="0" w:oddHBand="1" w:evenHBand="0" w:firstRowFirstColumn="0" w:firstRowLastColumn="0" w:lastRowFirstColumn="0" w:lastRowLastColumn="0"/>
          <w:trHeight w:val="242"/>
        </w:trPr>
        <w:tc>
          <w:tcPr>
            <w:cnfStyle w:val="001000000000" w:firstRow="0" w:lastRow="0" w:firstColumn="1" w:lastColumn="0" w:oddVBand="0" w:evenVBand="0" w:oddHBand="0" w:evenHBand="0" w:firstRowFirstColumn="0" w:firstRowLastColumn="0" w:lastRowFirstColumn="0" w:lastRowLastColumn="0"/>
            <w:tcW w:w="1242" w:type="dxa"/>
            <w:vAlign w:val="center"/>
          </w:tcPr>
          <w:p w:rsidR="00EB2E1D" w:rsidRPr="00117745" w:rsidRDefault="00EB2E1D" w:rsidP="005D624C">
            <w:pPr>
              <w:autoSpaceDE w:val="0"/>
              <w:autoSpaceDN w:val="0"/>
              <w:adjustRightInd w:val="0"/>
              <w:jc w:val="center"/>
              <w:rPr>
                <w:rFonts w:cs="Calibri"/>
                <w:b w:val="0"/>
                <w:color w:val="000000"/>
                <w:sz w:val="18"/>
                <w:szCs w:val="18"/>
              </w:rPr>
            </w:pPr>
            <w:r w:rsidRPr="00117745">
              <w:rPr>
                <w:rFonts w:cs="Calibri"/>
                <w:color w:val="000000"/>
                <w:sz w:val="18"/>
                <w:szCs w:val="18"/>
              </w:rPr>
              <w:t>2011</w:t>
            </w:r>
          </w:p>
        </w:tc>
        <w:tc>
          <w:tcPr>
            <w:tcW w:w="7736" w:type="dxa"/>
          </w:tcPr>
          <w:p w:rsidR="00EB2E1D" w:rsidRPr="00117745" w:rsidRDefault="00EB2E1D" w:rsidP="00117745">
            <w:pPr>
              <w:pStyle w:val="Sinespaciado"/>
              <w:cnfStyle w:val="000000100000" w:firstRow="0" w:lastRow="0" w:firstColumn="0" w:lastColumn="0" w:oddVBand="0" w:evenVBand="0" w:oddHBand="1" w:evenHBand="0" w:firstRowFirstColumn="0" w:firstRowLastColumn="0" w:lastRowFirstColumn="0" w:lastRowLastColumn="0"/>
              <w:rPr>
                <w:rFonts w:cs="Calibri"/>
                <w:sz w:val="18"/>
                <w:szCs w:val="18"/>
              </w:rPr>
            </w:pPr>
            <w:r w:rsidRPr="00117745">
              <w:rPr>
                <w:sz w:val="18"/>
                <w:szCs w:val="18"/>
              </w:rPr>
              <w:t xml:space="preserve">De un total de 159 proyectos concluidos, 32 han sido apropiados por la sociedad </w:t>
            </w:r>
            <w:r w:rsidRPr="00117745">
              <w:rPr>
                <w:rFonts w:cs="Calibri"/>
                <w:b/>
                <w:bCs/>
                <w:sz w:val="18"/>
                <w:szCs w:val="18"/>
              </w:rPr>
              <w:t xml:space="preserve">(20,13%). </w:t>
            </w:r>
            <w:r w:rsidRPr="00117745">
              <w:rPr>
                <w:rFonts w:cs="Calibri"/>
                <w:sz w:val="18"/>
                <w:szCs w:val="18"/>
              </w:rPr>
              <w:t>Seis de ellos brindaron soluciones a nivel ambiental, 3 a nivel cultural, 2 a nivel pedagógico, 12 a nivel social y 17 a nivel tecnológico.</w:t>
            </w:r>
          </w:p>
        </w:tc>
      </w:tr>
      <w:tr w:rsidR="00EB2E1D" w:rsidRPr="00117745" w:rsidTr="005D624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vAlign w:val="center"/>
          </w:tcPr>
          <w:p w:rsidR="00EB2E1D" w:rsidRPr="00117745" w:rsidRDefault="00EB2E1D" w:rsidP="005D624C">
            <w:pPr>
              <w:autoSpaceDE w:val="0"/>
              <w:autoSpaceDN w:val="0"/>
              <w:adjustRightInd w:val="0"/>
              <w:jc w:val="center"/>
              <w:rPr>
                <w:rFonts w:cs="Calibri"/>
                <w:b w:val="0"/>
                <w:color w:val="000000"/>
                <w:sz w:val="18"/>
                <w:szCs w:val="18"/>
              </w:rPr>
            </w:pPr>
            <w:r w:rsidRPr="00117745">
              <w:rPr>
                <w:rFonts w:cs="Calibri"/>
                <w:color w:val="000000"/>
                <w:sz w:val="18"/>
                <w:szCs w:val="18"/>
              </w:rPr>
              <w:t>2012</w:t>
            </w:r>
          </w:p>
        </w:tc>
        <w:tc>
          <w:tcPr>
            <w:tcW w:w="7736" w:type="dxa"/>
          </w:tcPr>
          <w:p w:rsidR="00EB2E1D" w:rsidRPr="00117745" w:rsidRDefault="00EB2E1D" w:rsidP="00117745">
            <w:pPr>
              <w:pStyle w:val="Sinespaciado"/>
              <w:cnfStyle w:val="000000010000" w:firstRow="0" w:lastRow="0" w:firstColumn="0" w:lastColumn="0" w:oddVBand="0" w:evenVBand="0" w:oddHBand="0" w:evenHBand="1" w:firstRowFirstColumn="0" w:firstRowLastColumn="0" w:lastRowFirstColumn="0" w:lastRowLastColumn="0"/>
              <w:rPr>
                <w:sz w:val="18"/>
                <w:szCs w:val="18"/>
              </w:rPr>
            </w:pPr>
            <w:r w:rsidRPr="00117745">
              <w:rPr>
                <w:sz w:val="18"/>
                <w:szCs w:val="18"/>
              </w:rPr>
              <w:t xml:space="preserve">Para el año 2012,  de 285  proyectos concluidos en el período comprendido entre el año 2007 y 2011, 51 han sido apropiados por la sociedad (equivalente al 17,89% de proyectos apropiados), obteniéndose un cumplimiento del 81.32% con respecto a la meta.  </w:t>
            </w:r>
          </w:p>
        </w:tc>
      </w:tr>
    </w:tbl>
    <w:p w:rsidR="00EB2E1D" w:rsidRDefault="00EB2E1D" w:rsidP="00EB2E1D"/>
    <w:p w:rsidR="00EB2E1D" w:rsidRPr="006905FF" w:rsidRDefault="00EB2E1D" w:rsidP="00117745">
      <w:pPr>
        <w:pStyle w:val="Ttulo3"/>
      </w:pPr>
      <w:bookmarkStart w:id="135" w:name="_Toc354671353"/>
      <w:r w:rsidRPr="006905FF">
        <w:t>Porcentaje de software y libros que hayan sido comercializados.</w:t>
      </w:r>
      <w:bookmarkEnd w:id="135"/>
      <w:r w:rsidRPr="006905FF">
        <w:t xml:space="preserve"> </w:t>
      </w:r>
    </w:p>
    <w:p w:rsidR="00EB2E1D" w:rsidRDefault="00EB2E1D" w:rsidP="00EB2E1D"/>
    <w:p w:rsidR="00EB2E1D" w:rsidRDefault="00EB2E1D" w:rsidP="00117745">
      <w:r w:rsidRPr="006D544D">
        <w:t>Para la Universidad, los desarrollos en materia de Licencias de Software y de Producción Académica de libros son elementos clave para la generación de soluciones e impactos dentro y fuera de la Universidad. En este sentido, la UTP realiza seguimiento a un indicador que permita determinar la comercialización de los mismos, el cual  contempla la comercialización de estos productos en los dos últimos años.</w:t>
      </w:r>
    </w:p>
    <w:p w:rsidR="006D544D" w:rsidRDefault="006D544D" w:rsidP="00EB2E1D"/>
    <w:p w:rsidR="00EB2E1D" w:rsidRPr="00242B3A" w:rsidRDefault="00EB2E1D" w:rsidP="006D544D">
      <w:pPr>
        <w:jc w:val="center"/>
        <w:rPr>
          <w:b/>
        </w:rPr>
      </w:pPr>
      <w:r w:rsidRPr="009F10C6">
        <w:rPr>
          <w:b/>
          <w:color w:val="000000" w:themeColor="text1"/>
        </w:rPr>
        <w:t>Resultados – Porcentaje de software y libros comercializados para el año 2012.</w:t>
      </w:r>
    </w:p>
    <w:p w:rsidR="00EB2E1D" w:rsidRDefault="00EB2E1D" w:rsidP="006D544D">
      <w:pPr>
        <w:jc w:val="center"/>
      </w:pPr>
      <w:r w:rsidRPr="0069072F">
        <w:rPr>
          <w:noProof/>
          <w:lang w:val="es-CO" w:eastAsia="es-CO"/>
        </w:rPr>
        <w:drawing>
          <wp:inline distT="0" distB="0" distL="0" distR="0">
            <wp:extent cx="4772025" cy="1743075"/>
            <wp:effectExtent l="0" t="0" r="0" b="0"/>
            <wp:docPr id="11" name="1 Gráfico"/>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rsidR="006D544D" w:rsidRDefault="006D544D" w:rsidP="006D544D">
      <w:pPr>
        <w:jc w:val="center"/>
        <w:rPr>
          <w:b/>
          <w:i/>
          <w:sz w:val="20"/>
        </w:rPr>
      </w:pPr>
      <w:r w:rsidRPr="0069072F">
        <w:rPr>
          <w:b/>
          <w:i/>
          <w:sz w:val="20"/>
        </w:rPr>
        <w:t>Fuente: SIGOB</w:t>
      </w:r>
    </w:p>
    <w:p w:rsidR="006D544D" w:rsidRDefault="006D544D" w:rsidP="006D544D">
      <w:pPr>
        <w:jc w:val="center"/>
      </w:pPr>
    </w:p>
    <w:p w:rsidR="00EB2E1D" w:rsidRDefault="00EB2E1D" w:rsidP="00EB2E1D">
      <w:r>
        <w:t>Se hace un recuento de los  resultados durante los años 2009 - 2012:</w:t>
      </w:r>
    </w:p>
    <w:tbl>
      <w:tblPr>
        <w:tblStyle w:val="Cuadrculaclara-nfasis1"/>
        <w:tblW w:w="0" w:type="auto"/>
        <w:tblLook w:val="04A0" w:firstRow="1" w:lastRow="0" w:firstColumn="1" w:lastColumn="0" w:noHBand="0" w:noVBand="1"/>
      </w:tblPr>
      <w:tblGrid>
        <w:gridCol w:w="1242"/>
        <w:gridCol w:w="7736"/>
      </w:tblGrid>
      <w:tr w:rsidR="00EB2E1D" w:rsidRPr="00117745" w:rsidTr="00987B0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242" w:type="dxa"/>
          </w:tcPr>
          <w:p w:rsidR="00EB2E1D" w:rsidRPr="00117745" w:rsidRDefault="00EB2E1D" w:rsidP="00117745">
            <w:pPr>
              <w:pStyle w:val="Sinespaciado"/>
              <w:jc w:val="center"/>
              <w:rPr>
                <w:b w:val="0"/>
                <w:sz w:val="18"/>
                <w:szCs w:val="18"/>
              </w:rPr>
            </w:pPr>
            <w:r w:rsidRPr="00117745">
              <w:rPr>
                <w:sz w:val="18"/>
                <w:szCs w:val="18"/>
              </w:rPr>
              <w:t>Año</w:t>
            </w:r>
          </w:p>
        </w:tc>
        <w:tc>
          <w:tcPr>
            <w:tcW w:w="7736" w:type="dxa"/>
          </w:tcPr>
          <w:p w:rsidR="00EB2E1D" w:rsidRPr="00117745" w:rsidRDefault="00EB2E1D" w:rsidP="00117745">
            <w:pPr>
              <w:pStyle w:val="Sinespaciado"/>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117745">
              <w:rPr>
                <w:sz w:val="18"/>
                <w:szCs w:val="18"/>
              </w:rPr>
              <w:t>Resultados</w:t>
            </w:r>
          </w:p>
        </w:tc>
      </w:tr>
      <w:tr w:rsidR="00EB2E1D" w:rsidRPr="00117745" w:rsidTr="00987B0B">
        <w:trPr>
          <w:cnfStyle w:val="000000100000" w:firstRow="0" w:lastRow="0" w:firstColumn="0" w:lastColumn="0" w:oddVBand="0" w:evenVBand="0" w:oddHBand="1" w:evenHBand="0" w:firstRowFirstColumn="0" w:firstRowLastColumn="0" w:lastRowFirstColumn="0" w:lastRowLastColumn="0"/>
          <w:trHeight w:val="217"/>
        </w:trPr>
        <w:tc>
          <w:tcPr>
            <w:cnfStyle w:val="001000000000" w:firstRow="0" w:lastRow="0" w:firstColumn="1" w:lastColumn="0" w:oddVBand="0" w:evenVBand="0" w:oddHBand="0" w:evenHBand="0" w:firstRowFirstColumn="0" w:firstRowLastColumn="0" w:lastRowFirstColumn="0" w:lastRowLastColumn="0"/>
            <w:tcW w:w="1242" w:type="dxa"/>
            <w:vAlign w:val="center"/>
          </w:tcPr>
          <w:p w:rsidR="00EB2E1D" w:rsidRPr="00117745" w:rsidRDefault="00EB2E1D" w:rsidP="00987B0B">
            <w:pPr>
              <w:autoSpaceDE w:val="0"/>
              <w:autoSpaceDN w:val="0"/>
              <w:adjustRightInd w:val="0"/>
              <w:jc w:val="center"/>
              <w:rPr>
                <w:rFonts w:cs="Calibri"/>
                <w:b w:val="0"/>
                <w:color w:val="000000"/>
                <w:sz w:val="18"/>
                <w:szCs w:val="18"/>
              </w:rPr>
            </w:pPr>
            <w:r w:rsidRPr="00117745">
              <w:rPr>
                <w:rFonts w:cs="Calibri"/>
                <w:color w:val="000000"/>
                <w:sz w:val="18"/>
                <w:szCs w:val="18"/>
              </w:rPr>
              <w:t>2009</w:t>
            </w:r>
          </w:p>
        </w:tc>
        <w:tc>
          <w:tcPr>
            <w:tcW w:w="7736" w:type="dxa"/>
          </w:tcPr>
          <w:p w:rsidR="00EB2E1D" w:rsidRPr="00117745" w:rsidRDefault="00EB2E1D" w:rsidP="00117745">
            <w:pPr>
              <w:pStyle w:val="Sinespaciado"/>
              <w:cnfStyle w:val="000000100000" w:firstRow="0" w:lastRow="0" w:firstColumn="0" w:lastColumn="0" w:oddVBand="0" w:evenVBand="0" w:oddHBand="1" w:evenHBand="0" w:firstRowFirstColumn="0" w:firstRowLastColumn="0" w:lastRowFirstColumn="0" w:lastRowLastColumn="0"/>
              <w:rPr>
                <w:sz w:val="18"/>
                <w:szCs w:val="18"/>
              </w:rPr>
            </w:pPr>
            <w:r w:rsidRPr="00117745">
              <w:rPr>
                <w:sz w:val="18"/>
                <w:szCs w:val="18"/>
              </w:rPr>
              <w:t>Entre los años 2008 y 2009, la Universidad tenía aprobados 11 registros de propiedad intelectual, de los cuales 10 eran registros de software y una patente correspondiente al “Dispositivo para grabar y estampar” producida desde la Facultad de Bellas Artes y Humanidades.</w:t>
            </w:r>
          </w:p>
        </w:tc>
      </w:tr>
      <w:tr w:rsidR="00EB2E1D" w:rsidRPr="00117745" w:rsidTr="00987B0B">
        <w:trPr>
          <w:cnfStyle w:val="000000010000" w:firstRow="0" w:lastRow="0" w:firstColumn="0" w:lastColumn="0" w:oddVBand="0" w:evenVBand="0" w:oddHBand="0" w:evenHBand="1"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1242" w:type="dxa"/>
            <w:vAlign w:val="center"/>
          </w:tcPr>
          <w:p w:rsidR="00EB2E1D" w:rsidRPr="00117745" w:rsidRDefault="00EB2E1D" w:rsidP="00987B0B">
            <w:pPr>
              <w:autoSpaceDE w:val="0"/>
              <w:autoSpaceDN w:val="0"/>
              <w:adjustRightInd w:val="0"/>
              <w:jc w:val="center"/>
              <w:rPr>
                <w:rFonts w:cs="Calibri"/>
                <w:b w:val="0"/>
                <w:color w:val="000000"/>
                <w:sz w:val="18"/>
                <w:szCs w:val="18"/>
              </w:rPr>
            </w:pPr>
            <w:r w:rsidRPr="00117745">
              <w:rPr>
                <w:rFonts w:cs="Calibri"/>
                <w:color w:val="000000"/>
                <w:sz w:val="18"/>
                <w:szCs w:val="18"/>
              </w:rPr>
              <w:t>2010</w:t>
            </w:r>
          </w:p>
        </w:tc>
        <w:tc>
          <w:tcPr>
            <w:tcW w:w="7736" w:type="dxa"/>
          </w:tcPr>
          <w:p w:rsidR="00EB2E1D" w:rsidRPr="00117745" w:rsidRDefault="00EB2E1D" w:rsidP="00117745">
            <w:pPr>
              <w:pStyle w:val="Sinespaciado"/>
              <w:cnfStyle w:val="000000010000" w:firstRow="0" w:lastRow="0" w:firstColumn="0" w:lastColumn="0" w:oddVBand="0" w:evenVBand="0" w:oddHBand="0" w:evenHBand="1" w:firstRowFirstColumn="0" w:firstRowLastColumn="0" w:lastRowFirstColumn="0" w:lastRowLastColumn="0"/>
              <w:rPr>
                <w:sz w:val="18"/>
                <w:szCs w:val="18"/>
              </w:rPr>
            </w:pPr>
            <w:r w:rsidRPr="00117745">
              <w:rPr>
                <w:sz w:val="18"/>
                <w:szCs w:val="18"/>
              </w:rPr>
              <w:t xml:space="preserve">Se incrementa a 13 registros de propiedad intelectual, de las cuales ingresa una nueva patente “Proceso y obtención de Aceite Estable de Gusano de Seda </w:t>
            </w:r>
            <w:proofErr w:type="spellStart"/>
            <w:r w:rsidRPr="00117745">
              <w:rPr>
                <w:sz w:val="18"/>
                <w:szCs w:val="18"/>
              </w:rPr>
              <w:t>Bombyx</w:t>
            </w:r>
            <w:proofErr w:type="spellEnd"/>
            <w:r w:rsidRPr="00117745">
              <w:rPr>
                <w:sz w:val="18"/>
                <w:szCs w:val="18"/>
              </w:rPr>
              <w:t xml:space="preserve"> </w:t>
            </w:r>
            <w:proofErr w:type="spellStart"/>
            <w:r w:rsidRPr="00117745">
              <w:rPr>
                <w:sz w:val="18"/>
                <w:szCs w:val="18"/>
              </w:rPr>
              <w:t>Mori</w:t>
            </w:r>
            <w:proofErr w:type="spellEnd"/>
            <w:r w:rsidRPr="00117745">
              <w:rPr>
                <w:sz w:val="18"/>
                <w:szCs w:val="18"/>
              </w:rPr>
              <w:t xml:space="preserve"> </w:t>
            </w:r>
            <w:proofErr w:type="spellStart"/>
            <w:r w:rsidRPr="00117745">
              <w:rPr>
                <w:sz w:val="18"/>
                <w:szCs w:val="18"/>
              </w:rPr>
              <w:t>Linn</w:t>
            </w:r>
            <w:proofErr w:type="spellEnd"/>
            <w:r w:rsidRPr="00117745">
              <w:rPr>
                <w:sz w:val="18"/>
                <w:szCs w:val="18"/>
              </w:rPr>
              <w:t xml:space="preserve"> Híbrido </w:t>
            </w:r>
            <w:proofErr w:type="spellStart"/>
            <w:r w:rsidRPr="00117745">
              <w:rPr>
                <w:sz w:val="18"/>
                <w:szCs w:val="18"/>
              </w:rPr>
              <w:t>Pílamo</w:t>
            </w:r>
            <w:proofErr w:type="spellEnd"/>
            <w:r w:rsidRPr="00117745">
              <w:rPr>
                <w:sz w:val="18"/>
                <w:szCs w:val="18"/>
              </w:rPr>
              <w:t xml:space="preserve"> 1 en estado de Crisálida sin degradación por acción microbiana” y un nuevo registro de software: cálculo de redes secundarias.</w:t>
            </w:r>
          </w:p>
        </w:tc>
      </w:tr>
      <w:tr w:rsidR="00EB2E1D" w:rsidRPr="00117745" w:rsidTr="00987B0B">
        <w:trPr>
          <w:cnfStyle w:val="000000100000" w:firstRow="0" w:lastRow="0" w:firstColumn="0" w:lastColumn="0" w:oddVBand="0" w:evenVBand="0" w:oddHBand="1" w:evenHBand="0" w:firstRowFirstColumn="0" w:firstRowLastColumn="0" w:lastRowFirstColumn="0" w:lastRowLastColumn="0"/>
          <w:trHeight w:val="242"/>
        </w:trPr>
        <w:tc>
          <w:tcPr>
            <w:cnfStyle w:val="001000000000" w:firstRow="0" w:lastRow="0" w:firstColumn="1" w:lastColumn="0" w:oddVBand="0" w:evenVBand="0" w:oddHBand="0" w:evenHBand="0" w:firstRowFirstColumn="0" w:firstRowLastColumn="0" w:lastRowFirstColumn="0" w:lastRowLastColumn="0"/>
            <w:tcW w:w="1242" w:type="dxa"/>
            <w:vAlign w:val="center"/>
          </w:tcPr>
          <w:p w:rsidR="00EB2E1D" w:rsidRPr="00117745" w:rsidRDefault="00EB2E1D" w:rsidP="00987B0B">
            <w:pPr>
              <w:autoSpaceDE w:val="0"/>
              <w:autoSpaceDN w:val="0"/>
              <w:adjustRightInd w:val="0"/>
              <w:jc w:val="center"/>
              <w:rPr>
                <w:rFonts w:cs="Calibri"/>
                <w:b w:val="0"/>
                <w:color w:val="000000"/>
                <w:sz w:val="18"/>
                <w:szCs w:val="18"/>
              </w:rPr>
            </w:pPr>
            <w:r w:rsidRPr="00117745">
              <w:rPr>
                <w:rFonts w:cs="Calibri"/>
                <w:color w:val="000000"/>
                <w:sz w:val="18"/>
                <w:szCs w:val="18"/>
              </w:rPr>
              <w:lastRenderedPageBreak/>
              <w:t>2011</w:t>
            </w:r>
          </w:p>
        </w:tc>
        <w:tc>
          <w:tcPr>
            <w:tcW w:w="7736" w:type="dxa"/>
          </w:tcPr>
          <w:p w:rsidR="00EB2E1D" w:rsidRPr="00117745" w:rsidRDefault="00EB2E1D" w:rsidP="00117745">
            <w:pPr>
              <w:pStyle w:val="Sinespaciado"/>
              <w:cnfStyle w:val="000000100000" w:firstRow="0" w:lastRow="0" w:firstColumn="0" w:lastColumn="0" w:oddVBand="0" w:evenVBand="0" w:oddHBand="1" w:evenHBand="0" w:firstRowFirstColumn="0" w:firstRowLastColumn="0" w:lastRowFirstColumn="0" w:lastRowLastColumn="0"/>
              <w:rPr>
                <w:sz w:val="18"/>
                <w:szCs w:val="18"/>
              </w:rPr>
            </w:pPr>
            <w:r w:rsidRPr="00117745">
              <w:rPr>
                <w:sz w:val="18"/>
                <w:szCs w:val="18"/>
              </w:rPr>
              <w:t xml:space="preserve">Se alcanza un 12.06% de software y libros comercializados, esto corresponde a 7 títulos de libros comercializados, sobre la base de la producción durante los años 2009 y 2010 de 51 títulos producidos y 7 licencias de software (58 productos). </w:t>
            </w:r>
          </w:p>
          <w:p w:rsidR="00EB2E1D" w:rsidRPr="00117745" w:rsidRDefault="00EB2E1D" w:rsidP="00117745">
            <w:pPr>
              <w:pStyle w:val="Sinespaciado"/>
              <w:cnfStyle w:val="000000100000" w:firstRow="0" w:lastRow="0" w:firstColumn="0" w:lastColumn="0" w:oddVBand="0" w:evenVBand="0" w:oddHBand="1" w:evenHBand="0" w:firstRowFirstColumn="0" w:firstRowLastColumn="0" w:lastRowFirstColumn="0" w:lastRowLastColumn="0"/>
              <w:rPr>
                <w:sz w:val="18"/>
                <w:szCs w:val="18"/>
              </w:rPr>
            </w:pPr>
            <w:r w:rsidRPr="00117745">
              <w:rPr>
                <w:sz w:val="18"/>
                <w:szCs w:val="18"/>
              </w:rPr>
              <w:t>La Vicerrectoría de Investigaciones, Innovación y Extensión realizó un diagnostico Editorial en la Universidad Tecnológica de Pereira que sirvió como punto de partida para diseñar las estrategias de mejoramiento sobre el tema, una de ellas fue el Proyecto de Acuerdo por medio del cual se adopta la Política y Procedimientos en materia Editorial.</w:t>
            </w:r>
          </w:p>
        </w:tc>
      </w:tr>
      <w:tr w:rsidR="00EB2E1D" w:rsidRPr="00117745" w:rsidTr="00987B0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vAlign w:val="center"/>
          </w:tcPr>
          <w:p w:rsidR="00EB2E1D" w:rsidRPr="00117745" w:rsidRDefault="00EB2E1D" w:rsidP="00987B0B">
            <w:pPr>
              <w:autoSpaceDE w:val="0"/>
              <w:autoSpaceDN w:val="0"/>
              <w:adjustRightInd w:val="0"/>
              <w:jc w:val="center"/>
              <w:rPr>
                <w:rFonts w:cs="Calibri"/>
                <w:b w:val="0"/>
                <w:color w:val="000000"/>
                <w:sz w:val="18"/>
                <w:szCs w:val="18"/>
              </w:rPr>
            </w:pPr>
            <w:r w:rsidRPr="00117745">
              <w:rPr>
                <w:rFonts w:cs="Calibri"/>
                <w:color w:val="000000"/>
                <w:sz w:val="18"/>
                <w:szCs w:val="18"/>
              </w:rPr>
              <w:t>2012</w:t>
            </w:r>
          </w:p>
        </w:tc>
        <w:tc>
          <w:tcPr>
            <w:tcW w:w="7736" w:type="dxa"/>
          </w:tcPr>
          <w:p w:rsidR="00EB2E1D" w:rsidRPr="00117745" w:rsidRDefault="00EB2E1D" w:rsidP="00117745">
            <w:pPr>
              <w:pStyle w:val="Sinespaciado"/>
              <w:cnfStyle w:val="000000010000" w:firstRow="0" w:lastRow="0" w:firstColumn="0" w:lastColumn="0" w:oddVBand="0" w:evenVBand="0" w:oddHBand="0" w:evenHBand="1" w:firstRowFirstColumn="0" w:firstRowLastColumn="0" w:lastRowFirstColumn="0" w:lastRowLastColumn="0"/>
              <w:rPr>
                <w:sz w:val="18"/>
                <w:szCs w:val="18"/>
              </w:rPr>
            </w:pPr>
            <w:r w:rsidRPr="00117745">
              <w:rPr>
                <w:sz w:val="18"/>
                <w:szCs w:val="18"/>
              </w:rPr>
              <w:t xml:space="preserve">De 26 Libros y 7 licencias de software se lograron comercializar 3 productos. Estos tres productos fueron 3 libros, logrando un total de 9.09% de comercialización. </w:t>
            </w:r>
          </w:p>
        </w:tc>
      </w:tr>
    </w:tbl>
    <w:p w:rsidR="00EB2E1D" w:rsidRDefault="00EB2E1D" w:rsidP="00EB2E1D"/>
    <w:p w:rsidR="00EB2E1D" w:rsidRDefault="00EB2E1D" w:rsidP="00EB2E1D">
      <w:r w:rsidRPr="00987B0B">
        <w:t>Para el logro de los anteriores propósitos, este objetivo institucional desarrolla los siguientes componentes:</w:t>
      </w:r>
    </w:p>
    <w:p w:rsidR="00884B1E" w:rsidRDefault="00884B1E" w:rsidP="00EB2E1D"/>
    <w:p w:rsidR="00EB2E1D" w:rsidRDefault="00EB2E1D" w:rsidP="00EB2E1D">
      <w:r>
        <w:rPr>
          <w:noProof/>
          <w:lang w:val="es-CO" w:eastAsia="es-CO"/>
        </w:rPr>
        <w:drawing>
          <wp:inline distT="0" distB="0" distL="0" distR="0">
            <wp:extent cx="5486400" cy="3200400"/>
            <wp:effectExtent l="0" t="38100" r="0" b="76200"/>
            <wp:docPr id="13" name="Diagrama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3" r:lo="rId74" r:qs="rId75" r:cs="rId76"/>
              </a:graphicData>
            </a:graphic>
          </wp:inline>
        </w:drawing>
      </w:r>
    </w:p>
    <w:p w:rsidR="00884B1E" w:rsidRDefault="00884B1E" w:rsidP="00EB2E1D"/>
    <w:p w:rsidR="00EB2E1D" w:rsidRPr="00BA7A67" w:rsidRDefault="00EB2E1D" w:rsidP="00117745">
      <w:pPr>
        <w:pStyle w:val="Ttulo3"/>
      </w:pPr>
      <w:bookmarkStart w:id="136" w:name="_Toc354671354"/>
      <w:r>
        <w:t>Creación y transformación del conocimiento</w:t>
      </w:r>
      <w:bookmarkEnd w:id="136"/>
    </w:p>
    <w:p w:rsidR="00EB2E1D" w:rsidRDefault="00EB2E1D" w:rsidP="00EB2E1D"/>
    <w:p w:rsidR="00EB2E1D" w:rsidRPr="00987B0B" w:rsidRDefault="00EB2E1D" w:rsidP="00EB2E1D">
      <w:r w:rsidRPr="00987B0B">
        <w:t xml:space="preserve">Estas acciones se desarrollan mediante la publicación de artículos en revistas indexadas, la generación de obras artísticas, libros o capítulos de libros resultado de investigaciones.  </w:t>
      </w:r>
    </w:p>
    <w:p w:rsidR="00EB2E1D" w:rsidRPr="00987B0B" w:rsidRDefault="00EB2E1D" w:rsidP="00EB2E1D">
      <w:r w:rsidRPr="00987B0B">
        <w:t xml:space="preserve">Para el año 2012, fueron reportados 226 artículos, lográndose un cumplimiento del 83,3% de la meta. Igualmente fueron producidas 56  obras artísticas, 7 Libros resultados de investigación, y se recibieron, gestionaron y publicaron 21 libros resultado de investigación en el Comité de Publicaciones, obteniendo un 50% de cumplimiento de la meta establecida. </w:t>
      </w:r>
    </w:p>
    <w:p w:rsidR="00EB2E1D" w:rsidRPr="00987B0B" w:rsidRDefault="00EB2E1D" w:rsidP="00EB2E1D">
      <w:r w:rsidRPr="00987B0B">
        <w:lastRenderedPageBreak/>
        <w:t>La Vicerrectoría de Investigaciones, Innovación y Extensión en las convocatorias que abre anualmente para financiar proyectos de investigación de estudiantes, grupos, semilleros, entre otras,  solicita a los postulantes como resultado de la investigación, la publicación de artículos en revistas indexadas, publicación de libros, productos innovadores, desarrollos tecnológicos, patentes, licencias de software, entre otros.</w:t>
      </w:r>
    </w:p>
    <w:p w:rsidR="00EB2E1D" w:rsidRDefault="00EB2E1D" w:rsidP="00EB2E1D">
      <w:r w:rsidRPr="00987B0B">
        <w:t>Por otra parte, se diseñan programas de formación dirigido a docentes y estudiantes investigadores que desarrollen competencias en escritura, búsqueda bibliográfica, entre otras</w:t>
      </w:r>
      <w:r w:rsidR="00117745">
        <w:t>.</w:t>
      </w:r>
    </w:p>
    <w:p w:rsidR="00117745" w:rsidRDefault="00117745" w:rsidP="00EB2E1D"/>
    <w:p w:rsidR="00EB2E1D" w:rsidRPr="00BA7A67" w:rsidRDefault="00EB2E1D" w:rsidP="00117745">
      <w:pPr>
        <w:pStyle w:val="Ttulo3"/>
      </w:pPr>
      <w:bookmarkStart w:id="137" w:name="_Toc354671355"/>
      <w:r>
        <w:t>Transferencia o aplicación del conocimiento</w:t>
      </w:r>
      <w:bookmarkEnd w:id="137"/>
    </w:p>
    <w:p w:rsidR="00EB2E1D" w:rsidRDefault="00EB2E1D" w:rsidP="00EB2E1D"/>
    <w:p w:rsidR="00EB2E1D" w:rsidRPr="00987B0B" w:rsidRDefault="00EB2E1D" w:rsidP="00EB2E1D">
      <w:r w:rsidRPr="00987B0B">
        <w:t>La transferencia del conocimiento se expresa mediante el desarrollo de proyectos de investigación donde se evidencie la implementación de nuevos procesos y/o servicios, creación de nuevos productos e inventos: Procesos o productos académicos, industriales, comerciales, gubernamentales,  de servicios,  sociales, culturales y ambientales novedosos y aceptados por la sociedad en los últimos 5 años. Igualmente el desarrollo de patentes, los libros y software comercializado, empresas de base tecnológica incubadas y la citación de los investigadores de la institución en revistas indexadas internacionales, son acciones directas de la Universidad en su propósito de impactar el entorno.</w:t>
      </w:r>
    </w:p>
    <w:p w:rsidR="00EB2E1D" w:rsidRPr="00987B0B" w:rsidRDefault="00EB2E1D" w:rsidP="00EB2E1D">
      <w:r w:rsidRPr="00987B0B">
        <w:t xml:space="preserve">De 285 proyectos concluidos en el período comprendido entre el año 2007 y 2011, 10 proyectos han logrado la incorporación de procesos de innovación. </w:t>
      </w:r>
    </w:p>
    <w:p w:rsidR="00EB2E1D" w:rsidRPr="00987B0B" w:rsidRDefault="00EB2E1D" w:rsidP="00EB2E1D">
      <w:r w:rsidRPr="00987B0B">
        <w:t xml:space="preserve">Con relación a las empresas de base tecnológica incubadas, se cuenta con cinco empresas lográndose un 83.3% la meta.  Lo anterior se logra gracias al acompañamiento que se le realiza al emprendedor desde el momento que se genera la idea, se pre incuba (plan de negocio) hasta logar el proceso de incubación. Se cuenta con la asesoría y acompañamiento por parte de Incubar Eje Cafetero para las empresas </w:t>
      </w:r>
      <w:proofErr w:type="spellStart"/>
      <w:r w:rsidRPr="00987B0B">
        <w:t>preincubadas</w:t>
      </w:r>
      <w:proofErr w:type="spellEnd"/>
      <w:r w:rsidRPr="00987B0B">
        <w:t xml:space="preserve"> e incubadas, en el diseño de planes de negocio y establecer la factibilidad de cada una de las ideas. </w:t>
      </w:r>
    </w:p>
    <w:p w:rsidR="00EB2E1D" w:rsidRDefault="00EB2E1D" w:rsidP="00EB2E1D">
      <w:r w:rsidRPr="00987B0B">
        <w:t>En cuanto a las citaciones, se reportaron  227 citaciones de investigadores de la Universidad en revistas indexadas internacionales, logrando un porcentaje de cumplimiento del 113.5%, ya que superó la meta esperada la cual era de 200 citaciones durante el año 2012. Igualmente, la Universidad cuenta con 27 registros de propiedad intelectual, 22 licencias de software y 5 patentes aprobadas, cumpliéndose en un 142.11% con la meta establecida.</w:t>
      </w:r>
      <w:r>
        <w:t xml:space="preserve"> </w:t>
      </w:r>
    </w:p>
    <w:p w:rsidR="00EB2E1D" w:rsidRPr="00BA7A67" w:rsidRDefault="00EB2E1D" w:rsidP="00117745">
      <w:pPr>
        <w:pStyle w:val="Ttulo3"/>
      </w:pPr>
      <w:bookmarkStart w:id="138" w:name="_Toc354671356"/>
      <w:r>
        <w:t>Generación de desarrollo social y cultural</w:t>
      </w:r>
      <w:bookmarkEnd w:id="138"/>
    </w:p>
    <w:p w:rsidR="00117745" w:rsidRDefault="00117745" w:rsidP="00EB2E1D"/>
    <w:p w:rsidR="00EB2E1D" w:rsidRPr="00987B0B" w:rsidRDefault="00EB2E1D" w:rsidP="00EB2E1D">
      <w:r w:rsidRPr="00987B0B">
        <w:t>Para la Universidad, el aporte a la generación de políticas públicas de utilidad para el desarrollo territorial y regional, es una prioridad expresada en su plan de Desarrollo Institucional. A través de este componente, la Universidad busca el desarrollo de proyectos de investigación que son utilizados como insumo para la consolidación de políticas públicas, así mismo, la participación de grupos de investigación en observatorios sociales de impacto regional.</w:t>
      </w:r>
    </w:p>
    <w:p w:rsidR="00EB2E1D" w:rsidRPr="00987B0B" w:rsidRDefault="00EB2E1D" w:rsidP="00EB2E1D">
      <w:r w:rsidRPr="00987B0B">
        <w:t>En este orden de ideas, la Universidad participó activamente en la generación de insumos para las siguientes políticas públicas:</w:t>
      </w:r>
    </w:p>
    <w:p w:rsidR="00EB2E1D" w:rsidRPr="00987B0B" w:rsidRDefault="00EB2E1D" w:rsidP="00C0346D">
      <w:pPr>
        <w:pStyle w:val="Prrafodelista"/>
        <w:numPr>
          <w:ilvl w:val="0"/>
          <w:numId w:val="25"/>
        </w:numPr>
        <w:spacing w:after="200" w:line="276" w:lineRule="auto"/>
      </w:pPr>
      <w:r w:rsidRPr="00987B0B">
        <w:lastRenderedPageBreak/>
        <w:t xml:space="preserve">Acompañamiento a la discusión y formulación de los Planes de Desarrollo Departamentales del Quindío, Caldas y Risaralda, en el componente de </w:t>
      </w:r>
      <w:proofErr w:type="spellStart"/>
      <w:r w:rsidRPr="00987B0B">
        <w:t>CTeI</w:t>
      </w:r>
      <w:proofErr w:type="spellEnd"/>
      <w:r w:rsidRPr="00987B0B">
        <w:t>, Empleo y Pobreza.</w:t>
      </w:r>
    </w:p>
    <w:p w:rsidR="00EB2E1D" w:rsidRPr="00987B0B" w:rsidRDefault="00EB2E1D" w:rsidP="00C0346D">
      <w:pPr>
        <w:pStyle w:val="Prrafodelista"/>
        <w:numPr>
          <w:ilvl w:val="0"/>
          <w:numId w:val="25"/>
        </w:numPr>
        <w:spacing w:after="200" w:line="276" w:lineRule="auto"/>
      </w:pPr>
      <w:r w:rsidRPr="00987B0B">
        <w:t xml:space="preserve">Acompañamiento a la discusión y formulación de los Planes de Desarrollo Municipales de Manizales Caldas y Risaralda, en el componente de </w:t>
      </w:r>
      <w:proofErr w:type="spellStart"/>
      <w:r w:rsidRPr="00987B0B">
        <w:t>CTeI</w:t>
      </w:r>
      <w:proofErr w:type="spellEnd"/>
      <w:r w:rsidRPr="00987B0B">
        <w:t xml:space="preserve">, Empleo y Pobreza </w:t>
      </w:r>
    </w:p>
    <w:p w:rsidR="00EB2E1D" w:rsidRPr="00987B0B" w:rsidRDefault="00EB2E1D" w:rsidP="00C0346D">
      <w:pPr>
        <w:pStyle w:val="Prrafodelista"/>
        <w:numPr>
          <w:ilvl w:val="0"/>
          <w:numId w:val="25"/>
        </w:numPr>
        <w:spacing w:after="200" w:line="276" w:lineRule="auto"/>
      </w:pPr>
      <w:r w:rsidRPr="00987B0B">
        <w:t>Contrato Plan Empleo y Pobreza</w:t>
      </w:r>
    </w:p>
    <w:p w:rsidR="00EB2E1D" w:rsidRPr="00987B0B" w:rsidRDefault="00EB2E1D" w:rsidP="00C0346D">
      <w:pPr>
        <w:pStyle w:val="Prrafodelista"/>
        <w:numPr>
          <w:ilvl w:val="0"/>
          <w:numId w:val="25"/>
        </w:numPr>
        <w:spacing w:after="200" w:line="276" w:lineRule="auto"/>
      </w:pPr>
      <w:r w:rsidRPr="00987B0B">
        <w:t xml:space="preserve">Memorando de entendimiento y cooperación entre los gobiernos locales del Eje Cafetero de Manizales, Armenia y Pereira. </w:t>
      </w:r>
    </w:p>
    <w:p w:rsidR="00EB2E1D" w:rsidRPr="00987B0B" w:rsidRDefault="00EB2E1D" w:rsidP="00C0346D">
      <w:pPr>
        <w:pStyle w:val="Prrafodelista"/>
        <w:numPr>
          <w:ilvl w:val="0"/>
          <w:numId w:val="25"/>
        </w:numPr>
        <w:spacing w:after="200" w:line="276" w:lineRule="auto"/>
      </w:pPr>
      <w:r w:rsidRPr="00987B0B">
        <w:t xml:space="preserve">Desarrollar un proceso de coordinación en el diseño, formulación e implementación de un observatorio de políticas públicas en la UTP. </w:t>
      </w:r>
    </w:p>
    <w:p w:rsidR="00EB2E1D" w:rsidRPr="00987B0B" w:rsidRDefault="00EB2E1D" w:rsidP="00EB2E1D">
      <w:r w:rsidRPr="00987B0B">
        <w:t>Adicionalmente la Universidad cuenta con cinco proyectos desarrollados por jóvenes investigadores que generan o retroalimentan la política pública:</w:t>
      </w:r>
    </w:p>
    <w:p w:rsidR="00EB2E1D" w:rsidRPr="00987B0B" w:rsidRDefault="00EB2E1D" w:rsidP="00C0346D">
      <w:pPr>
        <w:pStyle w:val="Prrafodelista"/>
        <w:numPr>
          <w:ilvl w:val="0"/>
          <w:numId w:val="26"/>
        </w:numPr>
        <w:spacing w:after="200" w:line="276" w:lineRule="auto"/>
      </w:pPr>
      <w:r w:rsidRPr="00987B0B">
        <w:t>Análisis y modelamiento de la dinámica comportamental de los entes participes de la movilización social basándose en la teoría de redes</w:t>
      </w:r>
    </w:p>
    <w:p w:rsidR="00EB2E1D" w:rsidRPr="00987B0B" w:rsidRDefault="00EB2E1D" w:rsidP="00C0346D">
      <w:pPr>
        <w:pStyle w:val="Prrafodelista"/>
        <w:numPr>
          <w:ilvl w:val="0"/>
          <w:numId w:val="26"/>
        </w:numPr>
        <w:spacing w:after="200" w:line="276" w:lineRule="auto"/>
      </w:pPr>
      <w:r w:rsidRPr="00987B0B">
        <w:t>Política pública departamental por la primera infancia de Risaralda</w:t>
      </w:r>
    </w:p>
    <w:p w:rsidR="00EB2E1D" w:rsidRPr="00987B0B" w:rsidRDefault="00EB2E1D" w:rsidP="00C0346D">
      <w:pPr>
        <w:pStyle w:val="Prrafodelista"/>
        <w:numPr>
          <w:ilvl w:val="0"/>
          <w:numId w:val="26"/>
        </w:numPr>
        <w:spacing w:after="200" w:line="276" w:lineRule="auto"/>
      </w:pPr>
      <w:r w:rsidRPr="00987B0B">
        <w:t>Generación de insumos y referentes para el diseño de la política pública departamental y las políticas públicas municipales de educación integral</w:t>
      </w:r>
    </w:p>
    <w:p w:rsidR="00EB2E1D" w:rsidRPr="00987B0B" w:rsidRDefault="00EB2E1D" w:rsidP="00C0346D">
      <w:pPr>
        <w:pStyle w:val="Prrafodelista"/>
        <w:numPr>
          <w:ilvl w:val="0"/>
          <w:numId w:val="26"/>
        </w:numPr>
        <w:spacing w:after="200" w:line="276" w:lineRule="auto"/>
      </w:pPr>
      <w:r w:rsidRPr="00987B0B">
        <w:t>Sistematización proceso de veeduría ciudadana a la gestión pública del concejo de Pereira en el año 2012</w:t>
      </w:r>
    </w:p>
    <w:p w:rsidR="00EB2E1D" w:rsidRPr="00987B0B" w:rsidRDefault="00EB2E1D" w:rsidP="00C0346D">
      <w:pPr>
        <w:pStyle w:val="Prrafodelista"/>
        <w:numPr>
          <w:ilvl w:val="0"/>
          <w:numId w:val="26"/>
        </w:numPr>
        <w:spacing w:after="200" w:line="276" w:lineRule="auto"/>
      </w:pPr>
      <w:r w:rsidRPr="00987B0B">
        <w:t>Diseño de una propuesta para la articulación de los grupos de investigación del departamento de Risaralda en los sectores estratégicos priorizados en el plan regional de competitividad</w:t>
      </w:r>
    </w:p>
    <w:p w:rsidR="00EB2E1D" w:rsidRPr="00987B0B" w:rsidRDefault="00EB2E1D" w:rsidP="00EB2E1D">
      <w:r w:rsidRPr="00987B0B">
        <w:t xml:space="preserve">Por otra parte,  5 grupos de investigación participan en observatorios sociales de impacto regional: Cultura de la salud, Gerencia y Derecho Deportivo (GIGEDE), Movilidad Humana, Estudios Interculturales Para El </w:t>
      </w:r>
      <w:proofErr w:type="spellStart"/>
      <w:r w:rsidRPr="00987B0B">
        <w:t>Posdesarrollo</w:t>
      </w:r>
      <w:proofErr w:type="spellEnd"/>
      <w:r w:rsidRPr="00987B0B">
        <w:t xml:space="preserve"> y Conflictos Sociales.</w:t>
      </w:r>
    </w:p>
    <w:p w:rsidR="00EB2E1D" w:rsidRDefault="00EB2E1D" w:rsidP="00117745">
      <w:pPr>
        <w:pStyle w:val="Ttulo3"/>
      </w:pPr>
      <w:bookmarkStart w:id="139" w:name="_Toc354671357"/>
      <w:r w:rsidRPr="00987B0B">
        <w:t>Generación de desarrollo Institucional</w:t>
      </w:r>
      <w:bookmarkEnd w:id="139"/>
    </w:p>
    <w:p w:rsidR="002873E5" w:rsidRPr="002873E5" w:rsidRDefault="002873E5" w:rsidP="002873E5"/>
    <w:p w:rsidR="00EB2E1D" w:rsidRDefault="00EB2E1D" w:rsidP="00EB2E1D">
      <w:r w:rsidRPr="00987B0B">
        <w:t>Para poder lograr los impactos esperados en el entorno, la Universidad genera capacidades internas en materia de investigación. Estas capacidades se logran en la medida que se fortalezcan los grupos de investigación, logren el reconocimiento por Colciencias, sean el soporte investigativo de los programas de maestría y doctorado, y desarrollen de proyectos de investigación mediante redes nacionales e internacionales.</w:t>
      </w:r>
    </w:p>
    <w:p w:rsidR="00EB2E1D" w:rsidRDefault="00EB2E1D" w:rsidP="00EB2E1D"/>
    <w:p w:rsidR="00EB2E1D" w:rsidRDefault="00EB2E1D" w:rsidP="00EB2E1D"/>
    <w:p w:rsidR="00EB2E1D" w:rsidRPr="009370F1" w:rsidRDefault="00EB2E1D" w:rsidP="00EB2E1D">
      <w:pPr>
        <w:pStyle w:val="Epgrafe"/>
        <w:keepNext/>
        <w:rPr>
          <w:color w:val="000000" w:themeColor="text1"/>
        </w:rPr>
      </w:pPr>
      <w:r w:rsidRPr="004D4639">
        <w:rPr>
          <w:color w:val="000000" w:themeColor="text1"/>
        </w:rPr>
        <w:lastRenderedPageBreak/>
        <w:t>Ilustración. Tendencia de los Gru</w:t>
      </w:r>
      <w:r>
        <w:rPr>
          <w:color w:val="000000" w:themeColor="text1"/>
        </w:rPr>
        <w:t>pos de Investigación 2003 – 2012</w:t>
      </w:r>
      <w:r w:rsidRPr="004D4639">
        <w:rPr>
          <w:color w:val="000000" w:themeColor="text1"/>
        </w:rPr>
        <w:t>.</w:t>
      </w:r>
      <w:r>
        <w:rPr>
          <w:color w:val="000000" w:themeColor="text1"/>
        </w:rPr>
        <w:t xml:space="preserve"> </w:t>
      </w:r>
    </w:p>
    <w:p w:rsidR="00EB2E1D" w:rsidRDefault="00EB2E1D" w:rsidP="00EB2E1D">
      <w:pPr>
        <w:spacing w:after="0"/>
        <w:rPr>
          <w:b/>
          <w:sz w:val="24"/>
          <w:szCs w:val="24"/>
        </w:rPr>
      </w:pPr>
      <w:r w:rsidRPr="00D44D8D">
        <w:rPr>
          <w:b/>
          <w:noProof/>
          <w:sz w:val="24"/>
          <w:szCs w:val="24"/>
          <w:lang w:val="es-CO" w:eastAsia="es-CO"/>
        </w:rPr>
        <w:drawing>
          <wp:inline distT="0" distB="0" distL="0" distR="0">
            <wp:extent cx="5612130" cy="2910840"/>
            <wp:effectExtent l="0" t="0" r="0" b="0"/>
            <wp:docPr id="6" name="Gráfico 6"/>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p w:rsidR="00EB2E1D" w:rsidRDefault="00EB2E1D" w:rsidP="00D27C67">
      <w:pPr>
        <w:spacing w:after="0"/>
        <w:jc w:val="center"/>
        <w:rPr>
          <w:b/>
          <w:i/>
          <w:sz w:val="20"/>
        </w:rPr>
      </w:pPr>
      <w:r w:rsidRPr="007E58B1">
        <w:rPr>
          <w:b/>
          <w:i/>
          <w:sz w:val="20"/>
        </w:rPr>
        <w:t>Fuente: Vicerrectoría de Investigaciones, Innovación y Extensión</w:t>
      </w:r>
    </w:p>
    <w:p w:rsidR="00EB2E1D" w:rsidRDefault="00EB2E1D" w:rsidP="00EB2E1D"/>
    <w:p w:rsidR="00EB2E1D" w:rsidRDefault="00EB2E1D" w:rsidP="00EB2E1D">
      <w:r w:rsidRPr="00987B0B">
        <w:t xml:space="preserve">De </w:t>
      </w:r>
      <w:r w:rsidRPr="00D27C67">
        <w:rPr>
          <w:b/>
        </w:rPr>
        <w:t>141</w:t>
      </w:r>
      <w:r w:rsidRPr="00987B0B">
        <w:t xml:space="preserve"> grupos de investigación </w:t>
      </w:r>
      <w:r w:rsidRPr="00D27C67">
        <w:rPr>
          <w:b/>
        </w:rPr>
        <w:t>101</w:t>
      </w:r>
      <w:r w:rsidRPr="00987B0B">
        <w:t xml:space="preserve"> son reconocidos por Colciencias al año 2012, teniendo en cuenta la reclasificación realizada por Colciencias. Según la categoría </w:t>
      </w:r>
      <w:r w:rsidRPr="00D27C67">
        <w:rPr>
          <w:b/>
        </w:rPr>
        <w:t>24</w:t>
      </w:r>
      <w:r w:rsidRPr="00987B0B">
        <w:t xml:space="preserve"> grupos de investigación son SC, </w:t>
      </w:r>
      <w:r w:rsidRPr="00D27C67">
        <w:rPr>
          <w:b/>
        </w:rPr>
        <w:t>23</w:t>
      </w:r>
      <w:r w:rsidRPr="00987B0B">
        <w:t xml:space="preserve"> grupos se encuentran en categoría D, </w:t>
      </w:r>
      <w:r w:rsidRPr="00D27C67">
        <w:rPr>
          <w:b/>
        </w:rPr>
        <w:t>32</w:t>
      </w:r>
      <w:r w:rsidRPr="00987B0B">
        <w:t xml:space="preserve"> en Categoría C, </w:t>
      </w:r>
      <w:r w:rsidRPr="00D27C67">
        <w:rPr>
          <w:b/>
        </w:rPr>
        <w:t>10</w:t>
      </w:r>
      <w:r w:rsidRPr="00987B0B">
        <w:t xml:space="preserve"> grupos en categoría B, </w:t>
      </w:r>
      <w:r w:rsidRPr="00D27C67">
        <w:rPr>
          <w:b/>
        </w:rPr>
        <w:t>11</w:t>
      </w:r>
      <w:r w:rsidRPr="00987B0B">
        <w:t xml:space="preserve"> grupos en categoría A y un grupo de investigación en categoría A1.</w:t>
      </w:r>
    </w:p>
    <w:p w:rsidR="00EB2E1D" w:rsidRDefault="00EB2E1D" w:rsidP="00EB2E1D">
      <w:pPr>
        <w:pStyle w:val="Epgrafe"/>
        <w:keepNext/>
        <w:spacing w:after="0"/>
        <w:rPr>
          <w:color w:val="000000" w:themeColor="text1"/>
        </w:rPr>
      </w:pPr>
    </w:p>
    <w:p w:rsidR="00EB2E1D" w:rsidRDefault="00EB2E1D" w:rsidP="00EB2E1D">
      <w:pPr>
        <w:pStyle w:val="Epgrafe"/>
        <w:keepNext/>
        <w:spacing w:after="0"/>
        <w:rPr>
          <w:color w:val="000000" w:themeColor="text1"/>
        </w:rPr>
      </w:pPr>
      <w:r w:rsidRPr="004D4639">
        <w:rPr>
          <w:color w:val="000000" w:themeColor="text1"/>
        </w:rPr>
        <w:t>Clasificación de Grupos de Investigación Reconocidos por Colciencias</w:t>
      </w:r>
      <w:r>
        <w:rPr>
          <w:color w:val="000000" w:themeColor="text1"/>
        </w:rPr>
        <w:t xml:space="preserve"> 2012</w:t>
      </w:r>
    </w:p>
    <w:p w:rsidR="00EB2E1D" w:rsidRDefault="00EB2E1D" w:rsidP="00EB2E1D">
      <w:pPr>
        <w:rPr>
          <w:lang w:bidi="en-US"/>
        </w:rPr>
      </w:pPr>
    </w:p>
    <w:p w:rsidR="00EB2E1D" w:rsidRPr="004D4639" w:rsidRDefault="00EB2E1D" w:rsidP="00EB2E1D">
      <w:pPr>
        <w:spacing w:after="0"/>
        <w:rPr>
          <w:b/>
          <w:sz w:val="24"/>
          <w:szCs w:val="24"/>
        </w:rPr>
      </w:pPr>
      <w:r w:rsidRPr="005A65A8">
        <w:rPr>
          <w:b/>
          <w:noProof/>
          <w:sz w:val="24"/>
          <w:szCs w:val="24"/>
          <w:lang w:val="es-CO" w:eastAsia="es-CO"/>
        </w:rPr>
        <w:drawing>
          <wp:inline distT="0" distB="0" distL="0" distR="0">
            <wp:extent cx="5286375" cy="2486025"/>
            <wp:effectExtent l="19050" t="0" r="0" b="0"/>
            <wp:docPr id="3" name="Gráfico 3"/>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p w:rsidR="00EB2E1D" w:rsidRPr="007E58B1" w:rsidRDefault="00EB2E1D" w:rsidP="00C05F77">
      <w:pPr>
        <w:jc w:val="center"/>
        <w:rPr>
          <w:b/>
          <w:i/>
          <w:sz w:val="20"/>
          <w:szCs w:val="20"/>
        </w:rPr>
      </w:pPr>
      <w:r w:rsidRPr="007E58B1">
        <w:rPr>
          <w:b/>
          <w:i/>
          <w:sz w:val="20"/>
          <w:szCs w:val="20"/>
        </w:rPr>
        <w:t>Fuente: Vicerrectoría de Investigaciones, Innovación y Extensión</w:t>
      </w:r>
    </w:p>
    <w:p w:rsidR="00EB2E1D" w:rsidRDefault="00EB2E1D" w:rsidP="00EB2E1D">
      <w:r w:rsidRPr="00C05F77">
        <w:lastRenderedPageBreak/>
        <w:t xml:space="preserve">Desde el trabajo en red, </w:t>
      </w:r>
      <w:r w:rsidRPr="00D27C67">
        <w:rPr>
          <w:b/>
        </w:rPr>
        <w:t>22</w:t>
      </w:r>
      <w:r w:rsidRPr="00C05F77">
        <w:t xml:space="preserve"> grupos de investigación se encontraban vinculados a redes ya sea de carácter nacional o internacional y </w:t>
      </w:r>
      <w:r w:rsidRPr="009E4114">
        <w:rPr>
          <w:b/>
        </w:rPr>
        <w:t>63</w:t>
      </w:r>
      <w:r w:rsidRPr="00C05F77">
        <w:t xml:space="preserve"> grupos de investigación están vinculados en los programas de maestría y doctorado.</w:t>
      </w:r>
    </w:p>
    <w:p w:rsidR="00EB2E1D" w:rsidRDefault="00EB2E1D" w:rsidP="00F80905">
      <w:pPr>
        <w:spacing w:after="200" w:line="276" w:lineRule="auto"/>
        <w:jc w:val="left"/>
        <w:rPr>
          <w:rFonts w:asciiTheme="minorHAnsi" w:hAnsiTheme="minorHAnsi" w:cs="Arial"/>
        </w:rPr>
      </w:pPr>
    </w:p>
    <w:p w:rsidR="007249A1" w:rsidRDefault="007249A1" w:rsidP="00F80905">
      <w:pPr>
        <w:spacing w:after="200" w:line="276" w:lineRule="auto"/>
        <w:jc w:val="left"/>
        <w:rPr>
          <w:rFonts w:asciiTheme="minorHAnsi" w:hAnsiTheme="minorHAnsi" w:cs="Arial"/>
        </w:rPr>
      </w:pPr>
    </w:p>
    <w:p w:rsidR="007249A1" w:rsidRDefault="007249A1">
      <w:pPr>
        <w:spacing w:after="200" w:line="276" w:lineRule="auto"/>
        <w:jc w:val="left"/>
        <w:rPr>
          <w:rFonts w:asciiTheme="minorHAnsi" w:hAnsiTheme="minorHAnsi" w:cs="Arial"/>
        </w:rPr>
      </w:pPr>
      <w:r>
        <w:rPr>
          <w:rFonts w:asciiTheme="minorHAnsi" w:hAnsiTheme="minorHAnsi" w:cs="Arial"/>
        </w:rPr>
        <w:br w:type="page"/>
      </w:r>
    </w:p>
    <w:p w:rsidR="00B963FC" w:rsidRPr="00535E30" w:rsidRDefault="00535E30" w:rsidP="00C0346D">
      <w:pPr>
        <w:pStyle w:val="Ttulo2"/>
        <w:numPr>
          <w:ilvl w:val="1"/>
          <w:numId w:val="21"/>
        </w:numPr>
        <w:spacing w:line="276" w:lineRule="auto"/>
      </w:pPr>
      <w:bookmarkStart w:id="140" w:name="_Toc304826941"/>
      <w:bookmarkStart w:id="141" w:name="_Toc347392847"/>
      <w:bookmarkStart w:id="142" w:name="_Toc354671358"/>
      <w:r w:rsidRPr="00535E30">
        <w:rPr>
          <w:caps w:val="0"/>
        </w:rPr>
        <w:lastRenderedPageBreak/>
        <w:t>INTERNACIONALIZACIÓN DE LA UNIVERSIDAD</w:t>
      </w:r>
      <w:bookmarkEnd w:id="140"/>
      <w:bookmarkEnd w:id="141"/>
      <w:bookmarkEnd w:id="142"/>
      <w:r w:rsidRPr="00535E30">
        <w:rPr>
          <w:caps w:val="0"/>
        </w:rPr>
        <w:t xml:space="preserve"> </w:t>
      </w:r>
    </w:p>
    <w:p w:rsidR="00B963FC" w:rsidRPr="00535E30" w:rsidRDefault="00B963FC" w:rsidP="00F80905">
      <w:pPr>
        <w:spacing w:after="0" w:line="276" w:lineRule="auto"/>
        <w:ind w:left="284"/>
        <w:rPr>
          <w:rFonts w:asciiTheme="minorHAnsi" w:hAnsiTheme="minorHAnsi" w:cs="Arial"/>
        </w:rPr>
      </w:pPr>
    </w:p>
    <w:p w:rsidR="007A18D4" w:rsidRPr="008849FE" w:rsidRDefault="007A18D4" w:rsidP="007A18D4">
      <w:r w:rsidRPr="008849FE">
        <w:t>La internacionalización en la Universidad Tecnológica de Pereira es el proceso integral de transformación y fortalecimiento en las funciones de investigación, docencia, extensión y proyección social para su articulación en un ambiente multicultural y globalizado, con excelencia académica.</w:t>
      </w:r>
    </w:p>
    <w:p w:rsidR="007A18D4" w:rsidRDefault="007A18D4" w:rsidP="007A18D4">
      <w:r w:rsidRPr="008849FE">
        <w:t xml:space="preserve">Este objetivo mide  sus resultados en el nivel de propósito mediante el indicador: Internacionalización de la universidad. El nivel de Internacionalización se mide a través del </w:t>
      </w:r>
      <w:r w:rsidRPr="00BF351F">
        <w:rPr>
          <w:i/>
        </w:rPr>
        <w:t>desarrollo del bilingüismo en estudiantes, administrativos y docentes, convenios internacionales activos, grupos registrados y reconocidos por Colciencias pertenecientes a redes de investigación internacional, estudiantes UTP en el extranjero, docentes que salen al exterior, doble titulación y/o pares académicos, asignaturas orientadas por profesores extranjeros, visitantes, organización de eventos internacionales, docentes con ponencias en eventos internacionales, membresías y participaciones en asociaciones internacionales</w:t>
      </w:r>
      <w:r w:rsidRPr="008849FE">
        <w:t xml:space="preserve">. </w:t>
      </w:r>
    </w:p>
    <w:p w:rsidR="007A18D4" w:rsidRDefault="007A18D4" w:rsidP="007A18D4"/>
    <w:p w:rsidR="007A18D4" w:rsidRDefault="007A18D4" w:rsidP="007A18D4"/>
    <w:p w:rsidR="007A18D4" w:rsidRPr="00BF351F" w:rsidRDefault="007A18D4" w:rsidP="007A18D4">
      <w:pPr>
        <w:autoSpaceDE w:val="0"/>
        <w:autoSpaceDN w:val="0"/>
        <w:adjustRightInd w:val="0"/>
        <w:spacing w:after="0"/>
        <w:jc w:val="center"/>
        <w:rPr>
          <w:rFonts w:cs="Calibri"/>
          <w:b/>
          <w:color w:val="000000"/>
          <w:sz w:val="18"/>
          <w:szCs w:val="24"/>
        </w:rPr>
      </w:pPr>
      <w:r w:rsidRPr="00BF351F">
        <w:rPr>
          <w:rFonts w:cs="Calibri"/>
          <w:b/>
          <w:color w:val="000000"/>
          <w:sz w:val="18"/>
          <w:szCs w:val="24"/>
        </w:rPr>
        <w:t xml:space="preserve">Resultados </w:t>
      </w:r>
      <w:r>
        <w:rPr>
          <w:rFonts w:cs="Calibri"/>
          <w:b/>
          <w:color w:val="000000"/>
          <w:sz w:val="18"/>
          <w:szCs w:val="24"/>
        </w:rPr>
        <w:t>Internacionalización de la Universidad 2012</w:t>
      </w:r>
    </w:p>
    <w:p w:rsidR="007A18D4" w:rsidRDefault="007A18D4" w:rsidP="007A18D4">
      <w:pPr>
        <w:autoSpaceDE w:val="0"/>
        <w:autoSpaceDN w:val="0"/>
        <w:adjustRightInd w:val="0"/>
        <w:spacing w:after="0"/>
        <w:jc w:val="center"/>
        <w:rPr>
          <w:szCs w:val="20"/>
        </w:rPr>
      </w:pPr>
      <w:r w:rsidRPr="0069072F">
        <w:rPr>
          <w:noProof/>
          <w:lang w:val="es-CO" w:eastAsia="es-CO"/>
        </w:rPr>
        <w:drawing>
          <wp:inline distT="0" distB="0" distL="0" distR="0">
            <wp:extent cx="4772025" cy="1743075"/>
            <wp:effectExtent l="0" t="0" r="0" b="0"/>
            <wp:docPr id="26" name="1 Gráfico"/>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p w:rsidR="007A18D4" w:rsidRPr="00BF351F" w:rsidRDefault="007A18D4" w:rsidP="007A18D4">
      <w:pPr>
        <w:autoSpaceDE w:val="0"/>
        <w:autoSpaceDN w:val="0"/>
        <w:adjustRightInd w:val="0"/>
        <w:spacing w:after="0"/>
        <w:jc w:val="center"/>
        <w:rPr>
          <w:b/>
          <w:szCs w:val="20"/>
        </w:rPr>
      </w:pPr>
      <w:r w:rsidRPr="00BF351F">
        <w:rPr>
          <w:b/>
          <w:szCs w:val="20"/>
        </w:rPr>
        <w:t>Fuente: SIGOB</w:t>
      </w:r>
    </w:p>
    <w:p w:rsidR="007A18D4" w:rsidRDefault="007A18D4" w:rsidP="007A18D4">
      <w:pPr>
        <w:rPr>
          <w:rFonts w:cs="Calibri"/>
          <w:color w:val="000000"/>
          <w:sz w:val="24"/>
          <w:szCs w:val="24"/>
        </w:rPr>
      </w:pPr>
    </w:p>
    <w:p w:rsidR="007A18D4" w:rsidRDefault="007A18D4" w:rsidP="007A18D4">
      <w:r>
        <w:t>El resultado al cierre del año 2012 fue de</w:t>
      </w:r>
      <w:r w:rsidRPr="009D7FAE">
        <w:t xml:space="preserve">l </w:t>
      </w:r>
      <w:r w:rsidRPr="00711E20">
        <w:rPr>
          <w:b/>
        </w:rPr>
        <w:t>96.33%</w:t>
      </w:r>
      <w:r w:rsidRPr="009D7FAE">
        <w:t xml:space="preserve"> versus un </w:t>
      </w:r>
      <w:r w:rsidRPr="00711E20">
        <w:rPr>
          <w:b/>
        </w:rPr>
        <w:t>85%</w:t>
      </w:r>
      <w:r w:rsidRPr="009D7FAE">
        <w:t xml:space="preserve"> planeado. Con respecto a  los componentes y proyectos establecidos para la internacionalización de la UTP y que se fundamentan en actividades que giran alrededor de bilingüismo, movilidad estudiantil y pares académicos, se siguen desarrollando respectivamente las actividades siguientes:</w:t>
      </w:r>
    </w:p>
    <w:p w:rsidR="007A18D4" w:rsidRDefault="007A18D4" w:rsidP="007A18D4"/>
    <w:p w:rsidR="007A18D4" w:rsidRDefault="007A18D4" w:rsidP="007A18D4">
      <w:pPr>
        <w:pStyle w:val="Prrafodelista"/>
        <w:numPr>
          <w:ilvl w:val="0"/>
          <w:numId w:val="61"/>
        </w:numPr>
      </w:pPr>
      <w:r w:rsidRPr="00711E20">
        <w:rPr>
          <w:b/>
        </w:rPr>
        <w:t>Bilingüismo</w:t>
      </w:r>
      <w:r w:rsidRPr="005B45B4">
        <w:t>: capacitación local (ILEX y Colombo Americano) y coordinación por parte de la ORI de</w:t>
      </w:r>
      <w:r>
        <w:t xml:space="preserve"> </w:t>
      </w:r>
      <w:r w:rsidRPr="005B45B4">
        <w:t>la inmersión en inglés en Estados Unidos.</w:t>
      </w:r>
    </w:p>
    <w:p w:rsidR="007A18D4" w:rsidRDefault="007A18D4" w:rsidP="007A18D4">
      <w:pPr>
        <w:pStyle w:val="Prrafodelista"/>
        <w:numPr>
          <w:ilvl w:val="0"/>
          <w:numId w:val="61"/>
        </w:numPr>
      </w:pPr>
      <w:r w:rsidRPr="00711E20">
        <w:rPr>
          <w:b/>
        </w:rPr>
        <w:t>Movilidad Estudiantil</w:t>
      </w:r>
      <w:r w:rsidRPr="005B45B4">
        <w:t xml:space="preserve">: seguimiento a las convocatorias internacionales que dan posibilidad a los estudiantes de la UTP para acceder a intercambios académicos, publicación de convocatorias en las universidades con quienes la UTP tiene convenios, para atraer a estudiantes extranjeros;  misiones académicas por parte del Sr. Rector (España, Francia), de la Directora de la ORI (EAIE, MAPES) y de docentes apoyados desde la ORI (Francia), con el fin de promocionar la UTP en el exterior y fortalecer las relaciones </w:t>
      </w:r>
      <w:r w:rsidRPr="005B45B4">
        <w:lastRenderedPageBreak/>
        <w:t xml:space="preserve">con instituciones extranjeras para ampliar las oportunidades de movilidad y financiamiento para los estudiantes locales.   </w:t>
      </w:r>
    </w:p>
    <w:p w:rsidR="007A18D4" w:rsidRDefault="007A18D4" w:rsidP="007A18D4">
      <w:pPr>
        <w:pStyle w:val="Prrafodelista"/>
        <w:numPr>
          <w:ilvl w:val="0"/>
          <w:numId w:val="61"/>
        </w:numPr>
      </w:pPr>
      <w:r w:rsidRPr="00711E20">
        <w:rPr>
          <w:b/>
        </w:rPr>
        <w:t>Pares académicos</w:t>
      </w:r>
      <w:r w:rsidRPr="005B45B4">
        <w:t>: trabajo rea</w:t>
      </w:r>
      <w:r w:rsidRPr="009D7FAE">
        <w:t>lizado especialmente desde las F</w:t>
      </w:r>
      <w:r w:rsidRPr="005B45B4">
        <w:t xml:space="preserve">acultades para establecer, fortalecer e institucionalizar los contactos que se tienen con instituciones de educación superior en el extranjero. No se cuenta con la información de todas las Facultades. El objetivo es definir una red interna para establecer un proceso más dinámico de comunicación y divulgación de la información internacional. </w:t>
      </w:r>
    </w:p>
    <w:p w:rsidR="007A18D4" w:rsidRPr="009D7FAE" w:rsidRDefault="007A18D4" w:rsidP="007A18D4"/>
    <w:p w:rsidR="007A18D4" w:rsidRPr="008849FE" w:rsidRDefault="007A18D4" w:rsidP="007A18D4">
      <w:r w:rsidRPr="009D7FAE">
        <w:t>Se espera que la revisión de la cadena de logro de este propósito de internacionalización, permita articular de forma más efectiva la relación con las facultades, los programas y las Vicerrectorías Académica y de Investigaciones, generando así una mejor comunicación e información más precisa y coherente, lo que redundará en una mejor gestión de indicadores, en especial los que se derivan del componente de nivel de internacionalización, a saber: grupos de investigación en redes internacionales, materias/cursos dictados por docentes visitantes extranjeros, eventos internacionales, movilidad de docentes/investigadores, membresías y pares académicos.</w:t>
      </w:r>
    </w:p>
    <w:p w:rsidR="007A18D4" w:rsidRDefault="007A18D4" w:rsidP="007A18D4">
      <w:r w:rsidRPr="006546CA">
        <w:t xml:space="preserve">Como uno de los objetivos nuevos de la universidad los </w:t>
      </w:r>
      <w:r>
        <w:t xml:space="preserve">esfuerzos se concentraron en el </w:t>
      </w:r>
      <w:r w:rsidRPr="006546CA">
        <w:t>levantamiento de líneas de base y mejoramiento en la</w:t>
      </w:r>
      <w:r>
        <w:t xml:space="preserve"> gestión de la información, que permitió ir avanzando en el sistema de </w:t>
      </w:r>
      <w:r w:rsidRPr="006546CA">
        <w:t>además de la identificación de actores de la internacion</w:t>
      </w:r>
      <w:r>
        <w:t xml:space="preserve">alización en la universidad que </w:t>
      </w:r>
      <w:r w:rsidRPr="006546CA">
        <w:t xml:space="preserve">permite evidenciar el nivel en el que se encuentra la universidad y definir las </w:t>
      </w:r>
      <w:r>
        <w:t xml:space="preserve">estrategias y </w:t>
      </w:r>
      <w:r w:rsidRPr="006546CA">
        <w:t>planes de acción que conlleven al alcance de los resultados</w:t>
      </w:r>
      <w:r>
        <w:t xml:space="preserve"> de impacto y que visibilicen a </w:t>
      </w:r>
      <w:r w:rsidRPr="006546CA">
        <w:t>la universidad</w:t>
      </w:r>
      <w:r>
        <w:t xml:space="preserve"> en la comunidad internacional. </w:t>
      </w:r>
    </w:p>
    <w:p w:rsidR="007A18D4" w:rsidRDefault="007A18D4" w:rsidP="007A18D4">
      <w:r w:rsidRPr="006546CA">
        <w:t>Dentro de los aspectos más relev</w:t>
      </w:r>
      <w:r>
        <w:t xml:space="preserve">antes en esta nueva dinámica se encuentran el incremento de la </w:t>
      </w:r>
      <w:r w:rsidRPr="006546CA">
        <w:t>mo</w:t>
      </w:r>
      <w:r>
        <w:t>vilidad de la comunidad universitaria, la profundización de las relaciones con los pares académicos lo cual ha permitido el sostenimiento de la</w:t>
      </w:r>
      <w:r w:rsidRPr="006546CA">
        <w:t xml:space="preserve"> doble titulación</w:t>
      </w:r>
      <w:r>
        <w:t xml:space="preserve"> en las Facultades de Ingeniería Mecánica y de Ingeniería Industrial con </w:t>
      </w:r>
      <w:proofErr w:type="spellStart"/>
      <w:r>
        <w:t>l’École</w:t>
      </w:r>
      <w:proofErr w:type="spellEnd"/>
      <w:r>
        <w:t xml:space="preserve"> </w:t>
      </w:r>
      <w:proofErr w:type="spellStart"/>
      <w:r>
        <w:t>Nationale</w:t>
      </w:r>
      <w:proofErr w:type="spellEnd"/>
      <w:r>
        <w:t xml:space="preserve"> </w:t>
      </w:r>
      <w:proofErr w:type="spellStart"/>
      <w:r>
        <w:t>d’Ingénieurs</w:t>
      </w:r>
      <w:proofErr w:type="spellEnd"/>
      <w:r>
        <w:t xml:space="preserve"> de Metz,  la participación en proyectos de cooperación internacional para el apoyo a la movilidad estudiantil internacional saliente como el programa de Becas Santander, el convenio ASCUN – MACA con Argentina entre otros.</w:t>
      </w:r>
    </w:p>
    <w:p w:rsidR="007A18D4" w:rsidRDefault="007A18D4" w:rsidP="007A18D4">
      <w:r w:rsidRPr="006546CA">
        <w:t>Dentro de los aspectos más relev</w:t>
      </w:r>
      <w:r>
        <w:t xml:space="preserve">antes en esta nueva dinámica se encuentran los </w:t>
      </w:r>
      <w:r w:rsidRPr="006546CA">
        <w:t>resultados alcanzados en la mo</w:t>
      </w:r>
      <w:r>
        <w:t xml:space="preserve">vilidad de la comunidad universitaria  </w:t>
      </w:r>
      <w:r w:rsidRPr="006546CA">
        <w:t>y/o doble titulación de los programas</w:t>
      </w:r>
      <w:r>
        <w:t>.</w:t>
      </w:r>
    </w:p>
    <w:p w:rsidR="007A18D4" w:rsidRDefault="007A18D4" w:rsidP="007A18D4">
      <w:pPr>
        <w:autoSpaceDE w:val="0"/>
        <w:autoSpaceDN w:val="0"/>
        <w:adjustRightInd w:val="0"/>
        <w:spacing w:after="0"/>
        <w:rPr>
          <w:szCs w:val="20"/>
        </w:rPr>
      </w:pPr>
    </w:p>
    <w:p w:rsidR="007A18D4" w:rsidRPr="00BF351F" w:rsidRDefault="007A18D4" w:rsidP="007A18D4">
      <w:pPr>
        <w:autoSpaceDE w:val="0"/>
        <w:autoSpaceDN w:val="0"/>
        <w:adjustRightInd w:val="0"/>
        <w:spacing w:after="0"/>
        <w:jc w:val="center"/>
        <w:rPr>
          <w:rFonts w:cs="Calibri"/>
          <w:b/>
          <w:color w:val="000000"/>
          <w:sz w:val="18"/>
          <w:szCs w:val="24"/>
        </w:rPr>
      </w:pPr>
      <w:r w:rsidRPr="00BF351F">
        <w:rPr>
          <w:rFonts w:cs="Calibri"/>
          <w:b/>
          <w:color w:val="000000"/>
          <w:sz w:val="18"/>
          <w:szCs w:val="24"/>
        </w:rPr>
        <w:t xml:space="preserve">Resultados </w:t>
      </w:r>
      <w:r>
        <w:rPr>
          <w:rFonts w:cs="Calibri"/>
          <w:b/>
          <w:color w:val="000000"/>
          <w:sz w:val="18"/>
          <w:szCs w:val="24"/>
        </w:rPr>
        <w:t>Internacionalización de la Universidad 2009 - 2012</w:t>
      </w:r>
    </w:p>
    <w:p w:rsidR="007A18D4" w:rsidRDefault="007A18D4" w:rsidP="007A18D4">
      <w:pPr>
        <w:autoSpaceDE w:val="0"/>
        <w:autoSpaceDN w:val="0"/>
        <w:adjustRightInd w:val="0"/>
        <w:spacing w:after="0"/>
        <w:jc w:val="center"/>
        <w:rPr>
          <w:szCs w:val="20"/>
        </w:rPr>
      </w:pPr>
      <w:r>
        <w:rPr>
          <w:noProof/>
          <w:lang w:val="es-CO" w:eastAsia="es-CO"/>
        </w:rPr>
        <w:drawing>
          <wp:inline distT="0" distB="0" distL="0" distR="0">
            <wp:extent cx="4572000" cy="1725433"/>
            <wp:effectExtent l="0" t="0" r="0" b="8255"/>
            <wp:docPr id="31" name="Gráfico 124"/>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rsidR="007A18D4" w:rsidRPr="00BF351F" w:rsidRDefault="007A18D4" w:rsidP="007A18D4">
      <w:pPr>
        <w:autoSpaceDE w:val="0"/>
        <w:autoSpaceDN w:val="0"/>
        <w:adjustRightInd w:val="0"/>
        <w:spacing w:after="0"/>
        <w:jc w:val="center"/>
        <w:rPr>
          <w:b/>
          <w:szCs w:val="20"/>
        </w:rPr>
      </w:pPr>
      <w:r w:rsidRPr="00BF351F">
        <w:rPr>
          <w:b/>
          <w:szCs w:val="20"/>
        </w:rPr>
        <w:t>Fuente: SIGOB</w:t>
      </w:r>
    </w:p>
    <w:p w:rsidR="007A18D4" w:rsidRDefault="007A18D4" w:rsidP="007A18D4">
      <w:pPr>
        <w:autoSpaceDE w:val="0"/>
        <w:autoSpaceDN w:val="0"/>
        <w:adjustRightInd w:val="0"/>
        <w:spacing w:after="0"/>
        <w:jc w:val="center"/>
        <w:rPr>
          <w:szCs w:val="20"/>
        </w:rPr>
      </w:pPr>
    </w:p>
    <w:p w:rsidR="007A18D4" w:rsidRDefault="007A18D4" w:rsidP="007A18D4">
      <w:pPr>
        <w:autoSpaceDE w:val="0"/>
        <w:autoSpaceDN w:val="0"/>
        <w:adjustRightInd w:val="0"/>
        <w:spacing w:after="0"/>
        <w:jc w:val="center"/>
        <w:rPr>
          <w:szCs w:val="20"/>
        </w:rPr>
      </w:pPr>
    </w:p>
    <w:p w:rsidR="007A18D4" w:rsidRPr="00981D64" w:rsidRDefault="007A18D4" w:rsidP="007A18D4">
      <w:r>
        <w:t xml:space="preserve">Este objetivo se desarrolla a través de dos componentes: </w:t>
      </w:r>
      <w:r w:rsidRPr="00981D64">
        <w:t>Nivel de internacionalización y Gestión de la Información en Internacionalización</w:t>
      </w:r>
      <w:r>
        <w:t xml:space="preserve">. </w:t>
      </w:r>
    </w:p>
    <w:p w:rsidR="007A18D4" w:rsidRPr="007D036F" w:rsidRDefault="007A18D4" w:rsidP="007A18D4">
      <w:pPr>
        <w:autoSpaceDE w:val="0"/>
        <w:autoSpaceDN w:val="0"/>
        <w:adjustRightInd w:val="0"/>
        <w:spacing w:after="0"/>
        <w:jc w:val="center"/>
        <w:rPr>
          <w:szCs w:val="20"/>
        </w:rPr>
      </w:pPr>
    </w:p>
    <w:p w:rsidR="007A18D4" w:rsidRDefault="007A18D4" w:rsidP="007A18D4">
      <w:pPr>
        <w:pStyle w:val="Ttulo3"/>
      </w:pPr>
      <w:bookmarkStart w:id="143" w:name="_Toc354671359"/>
      <w:r>
        <w:rPr>
          <w:caps w:val="0"/>
        </w:rPr>
        <w:t>Nivel de Internacionalización</w:t>
      </w:r>
      <w:bookmarkEnd w:id="143"/>
    </w:p>
    <w:p w:rsidR="007A18D4" w:rsidRPr="00BF351F" w:rsidRDefault="007A18D4" w:rsidP="007A18D4"/>
    <w:p w:rsidR="007A18D4" w:rsidRDefault="007A18D4" w:rsidP="007A18D4">
      <w:pPr>
        <w:pStyle w:val="Ttulo4"/>
      </w:pPr>
      <w:r w:rsidRPr="004050C8">
        <w:t>Desarrollo y promoción del bilingüismo</w:t>
      </w:r>
      <w:r>
        <w:t xml:space="preserve"> </w:t>
      </w:r>
    </w:p>
    <w:p w:rsidR="007A18D4" w:rsidRDefault="007A18D4" w:rsidP="007A18D4">
      <w:pPr>
        <w:pStyle w:val="Ttulo5"/>
      </w:pPr>
      <w:r>
        <w:t>Estudiantes</w:t>
      </w:r>
    </w:p>
    <w:p w:rsidR="007A18D4" w:rsidRPr="00BF351F" w:rsidRDefault="007A18D4" w:rsidP="007A18D4"/>
    <w:p w:rsidR="007A18D4" w:rsidRDefault="007A18D4" w:rsidP="007A18D4">
      <w:r w:rsidRPr="004050C8">
        <w:t>Corresponde al total de estudiantes que en lo corrido del año finalizaron los cursos de inglés o presentaron y aprobaron la prueba de suficiencia, sobre el número total de estudiantes de pregrado.</w:t>
      </w:r>
      <w:r>
        <w:t xml:space="preserve"> Durante el año 2012, el </w:t>
      </w:r>
      <w:r w:rsidRPr="006448F2">
        <w:rPr>
          <w:b/>
        </w:rPr>
        <w:t>71%</w:t>
      </w:r>
      <w:r>
        <w:t xml:space="preserve"> de los estudiantes de pregrado que se esperaban presentaron y aprobaron esta prueba.</w:t>
      </w:r>
    </w:p>
    <w:p w:rsidR="007B5F7F" w:rsidRDefault="007B5F7F" w:rsidP="007A18D4">
      <w:r>
        <w:t xml:space="preserve">El Bilingüismo en estudiantes se encuentra ofertado por el </w:t>
      </w:r>
      <w:r w:rsidRPr="00A5754B">
        <w:rPr>
          <w:b/>
        </w:rPr>
        <w:t xml:space="preserve">Instituto de Lenguas Extranjeras </w:t>
      </w:r>
      <w:r>
        <w:rPr>
          <w:b/>
        </w:rPr>
        <w:t>(ILEX)</w:t>
      </w:r>
      <w:r>
        <w:t xml:space="preserve">, el cual se ofrece amplias franjas horarias de lunes a domingo y apoyo en coordinación con UNIVIRTUAL en una oferta de formación en modalidad en línea. Esto acompañado por una divulgación  fuerte en cuanto a la necesidad de que desde los primeros semestres los estudiantes </w:t>
      </w:r>
      <w:proofErr w:type="gramStart"/>
      <w:r>
        <w:t>inicien</w:t>
      </w:r>
      <w:proofErr w:type="gramEnd"/>
      <w:r>
        <w:t xml:space="preserve"> su formación en segunda lengua, por parte del ILEX y de los Docentes. </w:t>
      </w:r>
    </w:p>
    <w:p w:rsidR="007A18D4" w:rsidRDefault="007A18D4" w:rsidP="007A18D4">
      <w:r>
        <w:t xml:space="preserve">Durante el año </w:t>
      </w:r>
      <w:r w:rsidRPr="00DE2A3A">
        <w:rPr>
          <w:b/>
        </w:rPr>
        <w:t>2012</w:t>
      </w:r>
      <w:r>
        <w:t xml:space="preserve">, </w:t>
      </w:r>
      <w:r w:rsidRPr="00DE2A3A">
        <w:rPr>
          <w:b/>
        </w:rPr>
        <w:t>dos</w:t>
      </w:r>
      <w:r>
        <w:t xml:space="preserve"> estudiantes participaron del curso de inmersión en el </w:t>
      </w:r>
      <w:r w:rsidRPr="00DE2A3A">
        <w:t>Instituto de Lenguas Universidad Estatal Missouri</w:t>
      </w:r>
      <w:r>
        <w:t>.</w:t>
      </w:r>
    </w:p>
    <w:p w:rsidR="007A18D4" w:rsidRDefault="007A18D4" w:rsidP="007A18D4">
      <w:r>
        <w:t>A continuación se presentan los resultados más relevantes durante la ejecución del PDI 2009 - 2019:</w:t>
      </w:r>
    </w:p>
    <w:p w:rsidR="007A18D4" w:rsidRDefault="007A18D4" w:rsidP="007A18D4"/>
    <w:tbl>
      <w:tblPr>
        <w:tblStyle w:val="Cuadrculaclara-nfasis11"/>
        <w:tblW w:w="0" w:type="auto"/>
        <w:tblLook w:val="04A0" w:firstRow="1" w:lastRow="0" w:firstColumn="1" w:lastColumn="0" w:noHBand="0" w:noVBand="1"/>
      </w:tblPr>
      <w:tblGrid>
        <w:gridCol w:w="1101"/>
        <w:gridCol w:w="7877"/>
      </w:tblGrid>
      <w:tr w:rsidR="007A18D4" w:rsidRPr="00711E20" w:rsidTr="005678E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tcPr>
          <w:p w:rsidR="007A18D4" w:rsidRPr="00711E20" w:rsidRDefault="007A18D4" w:rsidP="005678E7">
            <w:pPr>
              <w:autoSpaceDE w:val="0"/>
              <w:autoSpaceDN w:val="0"/>
              <w:adjustRightInd w:val="0"/>
              <w:jc w:val="center"/>
              <w:rPr>
                <w:rFonts w:cs="Calibri"/>
                <w:b w:val="0"/>
                <w:color w:val="000000"/>
                <w:sz w:val="18"/>
                <w:szCs w:val="18"/>
              </w:rPr>
            </w:pPr>
            <w:r w:rsidRPr="00711E20">
              <w:rPr>
                <w:rFonts w:cs="Calibri"/>
                <w:color w:val="000000"/>
                <w:sz w:val="18"/>
                <w:szCs w:val="18"/>
              </w:rPr>
              <w:t>Año</w:t>
            </w:r>
          </w:p>
        </w:tc>
        <w:tc>
          <w:tcPr>
            <w:tcW w:w="7877" w:type="dxa"/>
          </w:tcPr>
          <w:p w:rsidR="007A18D4" w:rsidRPr="00711E20" w:rsidRDefault="007A18D4" w:rsidP="005678E7">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cs="Calibri"/>
                <w:b w:val="0"/>
                <w:color w:val="000000"/>
                <w:sz w:val="18"/>
                <w:szCs w:val="18"/>
              </w:rPr>
            </w:pPr>
            <w:r w:rsidRPr="00711E20">
              <w:rPr>
                <w:rFonts w:cs="Calibri"/>
                <w:color w:val="000000"/>
                <w:sz w:val="18"/>
                <w:szCs w:val="18"/>
              </w:rPr>
              <w:t>Resultados</w:t>
            </w:r>
          </w:p>
        </w:tc>
      </w:tr>
      <w:tr w:rsidR="007A18D4" w:rsidRPr="00711E20" w:rsidTr="005678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vAlign w:val="center"/>
          </w:tcPr>
          <w:p w:rsidR="007A18D4" w:rsidRPr="00711E20" w:rsidRDefault="007A18D4" w:rsidP="005678E7">
            <w:pPr>
              <w:autoSpaceDE w:val="0"/>
              <w:autoSpaceDN w:val="0"/>
              <w:adjustRightInd w:val="0"/>
              <w:jc w:val="center"/>
              <w:rPr>
                <w:rFonts w:cs="Calibri"/>
                <w:color w:val="000000"/>
                <w:sz w:val="18"/>
                <w:szCs w:val="18"/>
              </w:rPr>
            </w:pPr>
            <w:r w:rsidRPr="00711E20">
              <w:rPr>
                <w:rFonts w:cs="Calibri"/>
                <w:color w:val="000000"/>
                <w:sz w:val="18"/>
                <w:szCs w:val="18"/>
              </w:rPr>
              <w:t>2009</w:t>
            </w:r>
          </w:p>
        </w:tc>
        <w:tc>
          <w:tcPr>
            <w:tcW w:w="7877" w:type="dxa"/>
          </w:tcPr>
          <w:p w:rsidR="007A18D4" w:rsidRPr="00711E20" w:rsidRDefault="007A18D4" w:rsidP="005678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cs="Calibri"/>
                <w:color w:val="000000"/>
                <w:sz w:val="18"/>
                <w:szCs w:val="18"/>
              </w:rPr>
            </w:pPr>
            <w:r w:rsidRPr="00711E20">
              <w:rPr>
                <w:rFonts w:cs="Calibri"/>
                <w:color w:val="000000"/>
                <w:sz w:val="18"/>
                <w:szCs w:val="18"/>
              </w:rPr>
              <w:t>Se reportó normalidad en la presentación de exámenes de estudiantes y avance en los cursos para cumplir con el requisito de grado.</w:t>
            </w:r>
          </w:p>
        </w:tc>
      </w:tr>
      <w:tr w:rsidR="007A18D4" w:rsidRPr="00711E20" w:rsidTr="005678E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vAlign w:val="center"/>
          </w:tcPr>
          <w:p w:rsidR="007A18D4" w:rsidRPr="00711E20" w:rsidRDefault="007A18D4" w:rsidP="005678E7">
            <w:pPr>
              <w:autoSpaceDE w:val="0"/>
              <w:autoSpaceDN w:val="0"/>
              <w:adjustRightInd w:val="0"/>
              <w:jc w:val="center"/>
              <w:rPr>
                <w:rFonts w:cs="Calibri"/>
                <w:color w:val="000000"/>
                <w:sz w:val="18"/>
                <w:szCs w:val="18"/>
              </w:rPr>
            </w:pPr>
            <w:r w:rsidRPr="00711E20">
              <w:rPr>
                <w:rFonts w:cs="Calibri"/>
                <w:color w:val="000000"/>
                <w:sz w:val="18"/>
                <w:szCs w:val="18"/>
              </w:rPr>
              <w:t>2010</w:t>
            </w:r>
          </w:p>
        </w:tc>
        <w:tc>
          <w:tcPr>
            <w:tcW w:w="7877" w:type="dxa"/>
          </w:tcPr>
          <w:p w:rsidR="007A18D4" w:rsidRPr="00711E20" w:rsidRDefault="007A18D4" w:rsidP="005678E7">
            <w:pPr>
              <w:pStyle w:val="Default"/>
              <w:jc w:val="both"/>
              <w:cnfStyle w:val="000000010000" w:firstRow="0" w:lastRow="0" w:firstColumn="0" w:lastColumn="0" w:oddVBand="0" w:evenVBand="0" w:oddHBand="0" w:evenHBand="1" w:firstRowFirstColumn="0" w:firstRowLastColumn="0" w:lastRowFirstColumn="0" w:lastRowLastColumn="0"/>
              <w:rPr>
                <w:rFonts w:ascii="Calibri" w:hAnsi="Calibri" w:cs="Calibri"/>
                <w:sz w:val="18"/>
                <w:szCs w:val="18"/>
              </w:rPr>
            </w:pPr>
            <w:r w:rsidRPr="00711E20">
              <w:rPr>
                <w:rFonts w:ascii="Calibri" w:hAnsi="Calibri" w:cs="Calibri"/>
                <w:sz w:val="18"/>
                <w:szCs w:val="18"/>
              </w:rPr>
              <w:t>Se reportó normalidad en la presentación de exámenes de estudiantes y avance en los cursos para cumplir con el requisito de grado. El resultado fue del 6,5%.</w:t>
            </w:r>
          </w:p>
        </w:tc>
      </w:tr>
      <w:tr w:rsidR="007A18D4" w:rsidRPr="00711E20" w:rsidTr="005678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vAlign w:val="center"/>
          </w:tcPr>
          <w:p w:rsidR="007A18D4" w:rsidRPr="00711E20" w:rsidRDefault="007A18D4" w:rsidP="005678E7">
            <w:pPr>
              <w:autoSpaceDE w:val="0"/>
              <w:autoSpaceDN w:val="0"/>
              <w:adjustRightInd w:val="0"/>
              <w:jc w:val="center"/>
              <w:rPr>
                <w:rFonts w:cs="Calibri"/>
                <w:color w:val="000000"/>
                <w:sz w:val="18"/>
                <w:szCs w:val="18"/>
              </w:rPr>
            </w:pPr>
            <w:r w:rsidRPr="00711E20">
              <w:rPr>
                <w:rFonts w:cs="Calibri"/>
                <w:color w:val="000000"/>
                <w:sz w:val="18"/>
                <w:szCs w:val="18"/>
              </w:rPr>
              <w:t>2011</w:t>
            </w:r>
          </w:p>
        </w:tc>
        <w:tc>
          <w:tcPr>
            <w:tcW w:w="7877" w:type="dxa"/>
          </w:tcPr>
          <w:p w:rsidR="007A18D4" w:rsidRPr="00711E20" w:rsidRDefault="007A18D4" w:rsidP="005678E7">
            <w:pPr>
              <w:pStyle w:val="Default"/>
              <w:jc w:val="both"/>
              <w:cnfStyle w:val="000000100000" w:firstRow="0" w:lastRow="0" w:firstColumn="0" w:lastColumn="0" w:oddVBand="0" w:evenVBand="0" w:oddHBand="1" w:evenHBand="0" w:firstRowFirstColumn="0" w:firstRowLastColumn="0" w:lastRowFirstColumn="0" w:lastRowLastColumn="0"/>
              <w:rPr>
                <w:rFonts w:ascii="Calibri" w:hAnsi="Calibri" w:cs="Calibri"/>
                <w:sz w:val="18"/>
                <w:szCs w:val="18"/>
              </w:rPr>
            </w:pPr>
            <w:r w:rsidRPr="00711E20">
              <w:rPr>
                <w:rFonts w:ascii="Calibri" w:hAnsi="Calibri" w:cs="Calibri"/>
                <w:sz w:val="18"/>
                <w:szCs w:val="18"/>
              </w:rPr>
              <w:t>La meta para el 2011 era del 9% y el resultado alcanzado fue de 6,5%, para un porcentaje de cumplimiento del 72.22%. La meta esperada para el año 2011 no se logró debido a que el calendario académico para el segundo semestre de 2011 se extendió hasta marzo 2012 y un número importante de estudiantes no logró finalizar satisfactoriamente el programa de inglés</w:t>
            </w:r>
            <w:r w:rsidRPr="00711E20">
              <w:rPr>
                <w:rFonts w:ascii="Calibri" w:hAnsi="Calibri"/>
                <w:sz w:val="18"/>
                <w:szCs w:val="18"/>
              </w:rPr>
              <w:t xml:space="preserve"> en 2011.</w:t>
            </w:r>
          </w:p>
        </w:tc>
      </w:tr>
    </w:tbl>
    <w:p w:rsidR="007A18D4" w:rsidRDefault="007A18D4" w:rsidP="007A18D4"/>
    <w:p w:rsidR="007A18D4" w:rsidRPr="00FC1422" w:rsidRDefault="007A18D4" w:rsidP="007A18D4">
      <w:pPr>
        <w:pStyle w:val="Ttulo5"/>
      </w:pPr>
      <w:r>
        <w:t>Administrativos</w:t>
      </w:r>
    </w:p>
    <w:p w:rsidR="007A18D4" w:rsidRDefault="007A18D4" w:rsidP="007A18D4">
      <w:pPr>
        <w:pStyle w:val="Prrafodelista"/>
        <w:spacing w:after="0"/>
        <w:ind w:left="360"/>
        <w:rPr>
          <w:rFonts w:cstheme="minorHAnsi"/>
          <w:sz w:val="20"/>
          <w:szCs w:val="20"/>
          <w:lang w:val="es-ES"/>
        </w:rPr>
      </w:pPr>
    </w:p>
    <w:p w:rsidR="007A18D4" w:rsidRPr="00C50917" w:rsidRDefault="007A18D4" w:rsidP="007A18D4">
      <w:pPr>
        <w:rPr>
          <w:color w:val="000000" w:themeColor="text1"/>
        </w:rPr>
      </w:pPr>
      <w:r>
        <w:t>Esta estrategia de</w:t>
      </w:r>
      <w:r w:rsidRPr="009565D7">
        <w:t xml:space="preserve"> bilingüismo para funcionarios administrativos en cuanto a promover el estudio de una segunda lengua mediante la oferta de cursos en el ILEX y programas de inmersión </w:t>
      </w:r>
      <w:r w:rsidRPr="00C50917">
        <w:rPr>
          <w:color w:val="000000" w:themeColor="text1"/>
        </w:rPr>
        <w:t xml:space="preserve">en el exterior, se refleja en el incremento de los resultados al cierre del 2012 con </w:t>
      </w:r>
      <w:r w:rsidRPr="00C50917">
        <w:rPr>
          <w:b/>
          <w:color w:val="000000" w:themeColor="text1"/>
        </w:rPr>
        <w:t>61</w:t>
      </w:r>
      <w:r w:rsidRPr="00C50917">
        <w:rPr>
          <w:color w:val="000000" w:themeColor="text1"/>
        </w:rPr>
        <w:t xml:space="preserve"> funcionarios en formación de segunda lengua.</w:t>
      </w:r>
    </w:p>
    <w:p w:rsidR="007A18D4" w:rsidRDefault="007A18D4" w:rsidP="007A18D4"/>
    <w:p w:rsidR="007A18D4" w:rsidRPr="00C60335" w:rsidRDefault="007A18D4" w:rsidP="007A18D4">
      <w:pPr>
        <w:jc w:val="center"/>
        <w:rPr>
          <w:b/>
        </w:rPr>
      </w:pPr>
    </w:p>
    <w:p w:rsidR="007A18D4" w:rsidRDefault="007A18D4" w:rsidP="007A18D4">
      <w:r>
        <w:t xml:space="preserve">En el año </w:t>
      </w:r>
      <w:r w:rsidRPr="000F7BBA">
        <w:rPr>
          <w:b/>
        </w:rPr>
        <w:t>2012</w:t>
      </w:r>
      <w:r>
        <w:t xml:space="preserve">, </w:t>
      </w:r>
      <w:r w:rsidRPr="000F7BBA">
        <w:rPr>
          <w:b/>
        </w:rPr>
        <w:t>ocho</w:t>
      </w:r>
      <w:r>
        <w:t xml:space="preserve"> funcionarios administrativos se beneficiaron de cursos de inmersión en Estados Unidos, 4 en el </w:t>
      </w:r>
      <w:r w:rsidRPr="008B2673">
        <w:t>Instituto de Lenguas Universidad Estatal Missour</w:t>
      </w:r>
      <w:r>
        <w:t xml:space="preserve">i y 4 en el ELS </w:t>
      </w:r>
      <w:proofErr w:type="spellStart"/>
      <w:r>
        <w:t>Language</w:t>
      </w:r>
      <w:proofErr w:type="spellEnd"/>
      <w:r>
        <w:t xml:space="preserve"> Center. </w:t>
      </w:r>
    </w:p>
    <w:p w:rsidR="007A18D4" w:rsidRPr="00C60335" w:rsidRDefault="007A18D4" w:rsidP="007A18D4">
      <w:pPr>
        <w:jc w:val="center"/>
        <w:rPr>
          <w:b/>
        </w:rPr>
      </w:pPr>
      <w:r>
        <w:rPr>
          <w:b/>
        </w:rPr>
        <w:t>Personal Administrativo</w:t>
      </w:r>
      <w:r w:rsidRPr="00C60335">
        <w:rPr>
          <w:b/>
        </w:rPr>
        <w:t xml:space="preserve"> en Inmersión Internacional </w:t>
      </w:r>
      <w:r>
        <w:rPr>
          <w:b/>
        </w:rPr>
        <w:t xml:space="preserve">por Ciudad e Instituto </w:t>
      </w:r>
      <w:r w:rsidRPr="00C60335">
        <w:rPr>
          <w:b/>
        </w:rPr>
        <w:t>2009 - 2012</w:t>
      </w:r>
    </w:p>
    <w:tbl>
      <w:tblPr>
        <w:tblStyle w:val="Cuadrculaclara-nfasis1"/>
        <w:tblW w:w="7773" w:type="dxa"/>
        <w:jc w:val="center"/>
        <w:tblLook w:val="04A0" w:firstRow="1" w:lastRow="0" w:firstColumn="1" w:lastColumn="0" w:noHBand="0" w:noVBand="1"/>
      </w:tblPr>
      <w:tblGrid>
        <w:gridCol w:w="2199"/>
        <w:gridCol w:w="1921"/>
        <w:gridCol w:w="621"/>
        <w:gridCol w:w="621"/>
        <w:gridCol w:w="621"/>
        <w:gridCol w:w="621"/>
        <w:gridCol w:w="1169"/>
      </w:tblGrid>
      <w:tr w:rsidR="007A18D4" w:rsidRPr="00C0599A" w:rsidTr="005678E7">
        <w:trPr>
          <w:cnfStyle w:val="100000000000" w:firstRow="1" w:lastRow="0" w:firstColumn="0" w:lastColumn="0" w:oddVBand="0" w:evenVBand="0" w:oddHBand="0"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2199" w:type="dxa"/>
            <w:noWrap/>
            <w:hideMark/>
          </w:tcPr>
          <w:p w:rsidR="007A18D4" w:rsidRPr="00C0599A" w:rsidRDefault="007A18D4" w:rsidP="005678E7">
            <w:pPr>
              <w:spacing w:after="0"/>
              <w:jc w:val="left"/>
              <w:rPr>
                <w:rFonts w:eastAsia="Times New Roman"/>
                <w:color w:val="000000"/>
                <w:sz w:val="16"/>
                <w:szCs w:val="16"/>
                <w:lang w:val="es-CO" w:eastAsia="es-CO"/>
              </w:rPr>
            </w:pPr>
            <w:r w:rsidRPr="00C0599A">
              <w:rPr>
                <w:rFonts w:eastAsia="Times New Roman"/>
                <w:color w:val="000000"/>
                <w:sz w:val="16"/>
                <w:szCs w:val="16"/>
                <w:lang w:val="es-CO" w:eastAsia="es-CO"/>
              </w:rPr>
              <w:t>Ciudad, País</w:t>
            </w:r>
          </w:p>
        </w:tc>
        <w:tc>
          <w:tcPr>
            <w:tcW w:w="1921" w:type="dxa"/>
            <w:noWrap/>
            <w:hideMark/>
          </w:tcPr>
          <w:p w:rsidR="007A18D4" w:rsidRPr="00C0599A" w:rsidRDefault="007A18D4" w:rsidP="005678E7">
            <w:pPr>
              <w:spacing w:after="0"/>
              <w:jc w:val="left"/>
              <w:cnfStyle w:val="100000000000" w:firstRow="1" w:lastRow="0" w:firstColumn="0" w:lastColumn="0" w:oddVBand="0" w:evenVBand="0" w:oddHBand="0" w:evenHBand="0" w:firstRowFirstColumn="0" w:firstRowLastColumn="0" w:lastRowFirstColumn="0" w:lastRowLastColumn="0"/>
              <w:rPr>
                <w:rFonts w:eastAsia="Times New Roman"/>
                <w:color w:val="000000"/>
                <w:sz w:val="16"/>
                <w:szCs w:val="16"/>
                <w:lang w:val="es-CO" w:eastAsia="es-CO"/>
              </w:rPr>
            </w:pPr>
            <w:r w:rsidRPr="00C0599A">
              <w:rPr>
                <w:rFonts w:eastAsia="Times New Roman"/>
                <w:color w:val="000000"/>
                <w:sz w:val="16"/>
                <w:szCs w:val="16"/>
                <w:lang w:val="es-CO" w:eastAsia="es-CO"/>
              </w:rPr>
              <w:t>Instituto</w:t>
            </w:r>
          </w:p>
        </w:tc>
        <w:tc>
          <w:tcPr>
            <w:tcW w:w="621" w:type="dxa"/>
            <w:noWrap/>
            <w:hideMark/>
          </w:tcPr>
          <w:p w:rsidR="007A18D4" w:rsidRPr="00C0599A" w:rsidRDefault="007A18D4" w:rsidP="005678E7">
            <w:pPr>
              <w:spacing w:after="0"/>
              <w:jc w:val="center"/>
              <w:cnfStyle w:val="100000000000" w:firstRow="1" w:lastRow="0" w:firstColumn="0" w:lastColumn="0" w:oddVBand="0" w:evenVBand="0" w:oddHBand="0" w:evenHBand="0" w:firstRowFirstColumn="0" w:firstRowLastColumn="0" w:lastRowFirstColumn="0" w:lastRowLastColumn="0"/>
              <w:rPr>
                <w:rFonts w:eastAsia="Times New Roman"/>
                <w:color w:val="000000"/>
                <w:sz w:val="16"/>
                <w:szCs w:val="16"/>
                <w:lang w:val="es-CO" w:eastAsia="es-CO"/>
              </w:rPr>
            </w:pPr>
            <w:r w:rsidRPr="00C0599A">
              <w:rPr>
                <w:rFonts w:eastAsia="Times New Roman"/>
                <w:color w:val="000000"/>
                <w:sz w:val="16"/>
                <w:szCs w:val="16"/>
                <w:lang w:val="es-CO" w:eastAsia="es-CO"/>
              </w:rPr>
              <w:t>2009</w:t>
            </w:r>
          </w:p>
        </w:tc>
        <w:tc>
          <w:tcPr>
            <w:tcW w:w="621" w:type="dxa"/>
            <w:noWrap/>
            <w:hideMark/>
          </w:tcPr>
          <w:p w:rsidR="007A18D4" w:rsidRPr="00C0599A" w:rsidRDefault="007A18D4" w:rsidP="005678E7">
            <w:pPr>
              <w:spacing w:after="0"/>
              <w:jc w:val="center"/>
              <w:cnfStyle w:val="100000000000" w:firstRow="1" w:lastRow="0" w:firstColumn="0" w:lastColumn="0" w:oddVBand="0" w:evenVBand="0" w:oddHBand="0" w:evenHBand="0" w:firstRowFirstColumn="0" w:firstRowLastColumn="0" w:lastRowFirstColumn="0" w:lastRowLastColumn="0"/>
              <w:rPr>
                <w:rFonts w:eastAsia="Times New Roman"/>
                <w:color w:val="000000"/>
                <w:sz w:val="16"/>
                <w:szCs w:val="16"/>
                <w:lang w:val="es-CO" w:eastAsia="es-CO"/>
              </w:rPr>
            </w:pPr>
            <w:r w:rsidRPr="00C0599A">
              <w:rPr>
                <w:rFonts w:eastAsia="Times New Roman"/>
                <w:color w:val="000000"/>
                <w:sz w:val="16"/>
                <w:szCs w:val="16"/>
                <w:lang w:val="es-CO" w:eastAsia="es-CO"/>
              </w:rPr>
              <w:t>2010</w:t>
            </w:r>
          </w:p>
        </w:tc>
        <w:tc>
          <w:tcPr>
            <w:tcW w:w="621" w:type="dxa"/>
            <w:noWrap/>
            <w:hideMark/>
          </w:tcPr>
          <w:p w:rsidR="007A18D4" w:rsidRPr="00C0599A" w:rsidRDefault="007A18D4" w:rsidP="005678E7">
            <w:pPr>
              <w:spacing w:after="0"/>
              <w:jc w:val="center"/>
              <w:cnfStyle w:val="100000000000" w:firstRow="1" w:lastRow="0" w:firstColumn="0" w:lastColumn="0" w:oddVBand="0" w:evenVBand="0" w:oddHBand="0" w:evenHBand="0" w:firstRowFirstColumn="0" w:firstRowLastColumn="0" w:lastRowFirstColumn="0" w:lastRowLastColumn="0"/>
              <w:rPr>
                <w:rFonts w:eastAsia="Times New Roman"/>
                <w:color w:val="000000"/>
                <w:sz w:val="16"/>
                <w:szCs w:val="16"/>
                <w:lang w:val="es-CO" w:eastAsia="es-CO"/>
              </w:rPr>
            </w:pPr>
            <w:r w:rsidRPr="00C0599A">
              <w:rPr>
                <w:rFonts w:eastAsia="Times New Roman"/>
                <w:color w:val="000000"/>
                <w:sz w:val="16"/>
                <w:szCs w:val="16"/>
                <w:lang w:val="es-CO" w:eastAsia="es-CO"/>
              </w:rPr>
              <w:t>2011</w:t>
            </w:r>
          </w:p>
        </w:tc>
        <w:tc>
          <w:tcPr>
            <w:tcW w:w="621" w:type="dxa"/>
            <w:noWrap/>
            <w:hideMark/>
          </w:tcPr>
          <w:p w:rsidR="007A18D4" w:rsidRPr="00C0599A" w:rsidRDefault="007A18D4" w:rsidP="005678E7">
            <w:pPr>
              <w:spacing w:after="0"/>
              <w:jc w:val="center"/>
              <w:cnfStyle w:val="100000000000" w:firstRow="1" w:lastRow="0" w:firstColumn="0" w:lastColumn="0" w:oddVBand="0" w:evenVBand="0" w:oddHBand="0" w:evenHBand="0" w:firstRowFirstColumn="0" w:firstRowLastColumn="0" w:lastRowFirstColumn="0" w:lastRowLastColumn="0"/>
              <w:rPr>
                <w:rFonts w:eastAsia="Times New Roman"/>
                <w:color w:val="000000"/>
                <w:sz w:val="16"/>
                <w:szCs w:val="16"/>
                <w:lang w:val="es-CO" w:eastAsia="es-CO"/>
              </w:rPr>
            </w:pPr>
            <w:r w:rsidRPr="00C0599A">
              <w:rPr>
                <w:rFonts w:eastAsia="Times New Roman"/>
                <w:color w:val="000000"/>
                <w:sz w:val="16"/>
                <w:szCs w:val="16"/>
                <w:lang w:val="es-CO" w:eastAsia="es-CO"/>
              </w:rPr>
              <w:t>2012</w:t>
            </w:r>
          </w:p>
        </w:tc>
        <w:tc>
          <w:tcPr>
            <w:tcW w:w="1169" w:type="dxa"/>
            <w:noWrap/>
            <w:hideMark/>
          </w:tcPr>
          <w:p w:rsidR="007A18D4" w:rsidRPr="00C0599A" w:rsidRDefault="007A18D4" w:rsidP="005678E7">
            <w:pPr>
              <w:spacing w:after="0"/>
              <w:jc w:val="center"/>
              <w:cnfStyle w:val="100000000000" w:firstRow="1" w:lastRow="0" w:firstColumn="0" w:lastColumn="0" w:oddVBand="0" w:evenVBand="0" w:oddHBand="0" w:evenHBand="0" w:firstRowFirstColumn="0" w:firstRowLastColumn="0" w:lastRowFirstColumn="0" w:lastRowLastColumn="0"/>
              <w:rPr>
                <w:rFonts w:eastAsia="Times New Roman"/>
                <w:color w:val="000000"/>
                <w:sz w:val="16"/>
                <w:szCs w:val="16"/>
                <w:lang w:val="es-CO" w:eastAsia="es-CO"/>
              </w:rPr>
            </w:pPr>
            <w:r w:rsidRPr="00C0599A">
              <w:rPr>
                <w:rFonts w:eastAsia="Times New Roman"/>
                <w:color w:val="000000"/>
                <w:sz w:val="16"/>
                <w:szCs w:val="16"/>
                <w:lang w:val="es-CO" w:eastAsia="es-CO"/>
              </w:rPr>
              <w:t>Total general</w:t>
            </w:r>
          </w:p>
        </w:tc>
      </w:tr>
      <w:tr w:rsidR="007A18D4" w:rsidRPr="00C0599A" w:rsidTr="005678E7">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2199" w:type="dxa"/>
            <w:noWrap/>
            <w:hideMark/>
          </w:tcPr>
          <w:p w:rsidR="007A18D4" w:rsidRPr="00C0599A" w:rsidRDefault="007A18D4" w:rsidP="005678E7">
            <w:pPr>
              <w:spacing w:after="0"/>
              <w:jc w:val="left"/>
              <w:rPr>
                <w:rFonts w:eastAsia="Times New Roman"/>
                <w:color w:val="000000"/>
                <w:sz w:val="16"/>
                <w:szCs w:val="16"/>
                <w:lang w:val="es-CO" w:eastAsia="es-CO"/>
              </w:rPr>
            </w:pPr>
            <w:r w:rsidRPr="00C0599A">
              <w:rPr>
                <w:rFonts w:eastAsia="Times New Roman"/>
                <w:color w:val="000000"/>
                <w:sz w:val="16"/>
                <w:szCs w:val="16"/>
                <w:lang w:val="es-CO" w:eastAsia="es-CO"/>
              </w:rPr>
              <w:t>Bristol, Inglaterra</w:t>
            </w:r>
          </w:p>
        </w:tc>
        <w:tc>
          <w:tcPr>
            <w:tcW w:w="1921" w:type="dxa"/>
            <w:noWrap/>
            <w:hideMark/>
          </w:tcPr>
          <w:p w:rsidR="007A18D4" w:rsidRPr="00C0599A" w:rsidRDefault="007A18D4" w:rsidP="005678E7">
            <w:pPr>
              <w:spacing w:after="0"/>
              <w:jc w:val="left"/>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lang w:val="es-CO" w:eastAsia="es-CO"/>
              </w:rPr>
            </w:pPr>
            <w:r w:rsidRPr="00C0599A">
              <w:rPr>
                <w:rFonts w:eastAsia="Times New Roman"/>
                <w:color w:val="000000"/>
                <w:sz w:val="16"/>
                <w:szCs w:val="16"/>
                <w:lang w:val="es-CO" w:eastAsia="es-CO"/>
              </w:rPr>
              <w:t xml:space="preserve">EC Bristol English </w:t>
            </w:r>
            <w:proofErr w:type="spellStart"/>
            <w:r w:rsidRPr="00C0599A">
              <w:rPr>
                <w:rFonts w:eastAsia="Times New Roman"/>
                <w:color w:val="000000"/>
                <w:sz w:val="16"/>
                <w:szCs w:val="16"/>
                <w:lang w:val="es-CO" w:eastAsia="es-CO"/>
              </w:rPr>
              <w:t>School</w:t>
            </w:r>
            <w:proofErr w:type="spellEnd"/>
          </w:p>
        </w:tc>
        <w:tc>
          <w:tcPr>
            <w:tcW w:w="621" w:type="dxa"/>
            <w:noWrap/>
            <w:hideMark/>
          </w:tcPr>
          <w:p w:rsidR="007A18D4" w:rsidRPr="00C0599A" w:rsidRDefault="007A18D4" w:rsidP="005678E7">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lang w:val="es-CO" w:eastAsia="es-CO"/>
              </w:rPr>
            </w:pPr>
          </w:p>
        </w:tc>
        <w:tc>
          <w:tcPr>
            <w:tcW w:w="621" w:type="dxa"/>
            <w:noWrap/>
            <w:hideMark/>
          </w:tcPr>
          <w:p w:rsidR="007A18D4" w:rsidRPr="00C0599A" w:rsidRDefault="007A18D4" w:rsidP="005678E7">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lang w:val="es-CO" w:eastAsia="es-CO"/>
              </w:rPr>
            </w:pPr>
          </w:p>
        </w:tc>
        <w:tc>
          <w:tcPr>
            <w:tcW w:w="621" w:type="dxa"/>
            <w:noWrap/>
            <w:hideMark/>
          </w:tcPr>
          <w:p w:rsidR="007A18D4" w:rsidRPr="00C0599A" w:rsidRDefault="007A18D4" w:rsidP="005678E7">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lang w:val="es-CO" w:eastAsia="es-CO"/>
              </w:rPr>
            </w:pPr>
            <w:r w:rsidRPr="00C0599A">
              <w:rPr>
                <w:rFonts w:eastAsia="Times New Roman"/>
                <w:color w:val="000000"/>
                <w:sz w:val="16"/>
                <w:szCs w:val="16"/>
                <w:lang w:val="es-CO" w:eastAsia="es-CO"/>
              </w:rPr>
              <w:t>6</w:t>
            </w:r>
          </w:p>
        </w:tc>
        <w:tc>
          <w:tcPr>
            <w:tcW w:w="621" w:type="dxa"/>
            <w:noWrap/>
            <w:hideMark/>
          </w:tcPr>
          <w:p w:rsidR="007A18D4" w:rsidRPr="00C0599A" w:rsidRDefault="007A18D4" w:rsidP="005678E7">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lang w:val="es-CO" w:eastAsia="es-CO"/>
              </w:rPr>
            </w:pPr>
          </w:p>
        </w:tc>
        <w:tc>
          <w:tcPr>
            <w:tcW w:w="1169" w:type="dxa"/>
            <w:noWrap/>
            <w:hideMark/>
          </w:tcPr>
          <w:p w:rsidR="007A18D4" w:rsidRPr="00C0599A" w:rsidRDefault="007A18D4" w:rsidP="005678E7">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lang w:val="es-CO" w:eastAsia="es-CO"/>
              </w:rPr>
            </w:pPr>
            <w:r w:rsidRPr="00C0599A">
              <w:rPr>
                <w:rFonts w:eastAsia="Times New Roman"/>
                <w:color w:val="000000"/>
                <w:sz w:val="16"/>
                <w:szCs w:val="16"/>
                <w:lang w:val="es-CO" w:eastAsia="es-CO"/>
              </w:rPr>
              <w:t>6</w:t>
            </w:r>
          </w:p>
        </w:tc>
      </w:tr>
      <w:tr w:rsidR="007A18D4" w:rsidRPr="00C0599A" w:rsidTr="005678E7">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2199" w:type="dxa"/>
            <w:noWrap/>
            <w:hideMark/>
          </w:tcPr>
          <w:p w:rsidR="007A18D4" w:rsidRPr="00C0599A" w:rsidRDefault="007A18D4" w:rsidP="005678E7">
            <w:pPr>
              <w:spacing w:after="0"/>
              <w:jc w:val="left"/>
              <w:rPr>
                <w:rFonts w:eastAsia="Times New Roman"/>
                <w:color w:val="000000"/>
                <w:sz w:val="16"/>
                <w:szCs w:val="16"/>
                <w:lang w:val="es-CO" w:eastAsia="es-CO"/>
              </w:rPr>
            </w:pPr>
            <w:proofErr w:type="spellStart"/>
            <w:r w:rsidRPr="00C0599A">
              <w:rPr>
                <w:rFonts w:eastAsia="Times New Roman"/>
                <w:color w:val="000000"/>
                <w:sz w:val="16"/>
                <w:szCs w:val="16"/>
                <w:lang w:val="es-CO" w:eastAsia="es-CO"/>
              </w:rPr>
              <w:t>Indianapolis</w:t>
            </w:r>
            <w:proofErr w:type="spellEnd"/>
            <w:r w:rsidRPr="00C0599A">
              <w:rPr>
                <w:rFonts w:eastAsia="Times New Roman"/>
                <w:color w:val="000000"/>
                <w:sz w:val="16"/>
                <w:szCs w:val="16"/>
                <w:lang w:val="es-CO" w:eastAsia="es-CO"/>
              </w:rPr>
              <w:t>, Estados Unidos</w:t>
            </w:r>
          </w:p>
        </w:tc>
        <w:tc>
          <w:tcPr>
            <w:tcW w:w="1921" w:type="dxa"/>
            <w:noWrap/>
            <w:hideMark/>
          </w:tcPr>
          <w:p w:rsidR="007A18D4" w:rsidRPr="00C0599A" w:rsidRDefault="007A18D4" w:rsidP="005678E7">
            <w:pPr>
              <w:spacing w:after="0"/>
              <w:jc w:val="left"/>
              <w:cnfStyle w:val="000000010000" w:firstRow="0" w:lastRow="0" w:firstColumn="0" w:lastColumn="0" w:oddVBand="0" w:evenVBand="0" w:oddHBand="0" w:evenHBand="1" w:firstRowFirstColumn="0" w:firstRowLastColumn="0" w:lastRowFirstColumn="0" w:lastRowLastColumn="0"/>
              <w:rPr>
                <w:rFonts w:eastAsia="Times New Roman"/>
                <w:color w:val="000000"/>
                <w:sz w:val="16"/>
                <w:szCs w:val="16"/>
                <w:lang w:val="es-CO" w:eastAsia="es-CO"/>
              </w:rPr>
            </w:pPr>
            <w:r w:rsidRPr="00C0599A">
              <w:rPr>
                <w:rFonts w:eastAsia="Times New Roman"/>
                <w:color w:val="000000"/>
                <w:sz w:val="16"/>
                <w:szCs w:val="16"/>
                <w:lang w:val="es-CO" w:eastAsia="es-CO"/>
              </w:rPr>
              <w:t xml:space="preserve">ELS </w:t>
            </w:r>
            <w:proofErr w:type="spellStart"/>
            <w:r w:rsidRPr="00C0599A">
              <w:rPr>
                <w:rFonts w:eastAsia="Times New Roman"/>
                <w:color w:val="000000"/>
                <w:sz w:val="16"/>
                <w:szCs w:val="16"/>
                <w:lang w:val="es-CO" w:eastAsia="es-CO"/>
              </w:rPr>
              <w:t>Language</w:t>
            </w:r>
            <w:proofErr w:type="spellEnd"/>
            <w:r w:rsidRPr="00C0599A">
              <w:rPr>
                <w:rFonts w:eastAsia="Times New Roman"/>
                <w:color w:val="000000"/>
                <w:sz w:val="16"/>
                <w:szCs w:val="16"/>
                <w:lang w:val="es-CO" w:eastAsia="es-CO"/>
              </w:rPr>
              <w:t xml:space="preserve"> Center</w:t>
            </w:r>
          </w:p>
        </w:tc>
        <w:tc>
          <w:tcPr>
            <w:tcW w:w="621" w:type="dxa"/>
            <w:noWrap/>
            <w:hideMark/>
          </w:tcPr>
          <w:p w:rsidR="007A18D4" w:rsidRPr="00C0599A" w:rsidRDefault="007A18D4" w:rsidP="005678E7">
            <w:pPr>
              <w:spacing w:after="0"/>
              <w:jc w:val="center"/>
              <w:cnfStyle w:val="000000010000" w:firstRow="0" w:lastRow="0" w:firstColumn="0" w:lastColumn="0" w:oddVBand="0" w:evenVBand="0" w:oddHBand="0" w:evenHBand="1" w:firstRowFirstColumn="0" w:firstRowLastColumn="0" w:lastRowFirstColumn="0" w:lastRowLastColumn="0"/>
              <w:rPr>
                <w:rFonts w:eastAsia="Times New Roman"/>
                <w:color w:val="000000"/>
                <w:sz w:val="16"/>
                <w:szCs w:val="16"/>
                <w:lang w:val="es-CO" w:eastAsia="es-CO"/>
              </w:rPr>
            </w:pPr>
          </w:p>
        </w:tc>
        <w:tc>
          <w:tcPr>
            <w:tcW w:w="621" w:type="dxa"/>
            <w:noWrap/>
            <w:hideMark/>
          </w:tcPr>
          <w:p w:rsidR="007A18D4" w:rsidRPr="00C0599A" w:rsidRDefault="007A18D4" w:rsidP="005678E7">
            <w:pPr>
              <w:spacing w:after="0"/>
              <w:jc w:val="center"/>
              <w:cnfStyle w:val="000000010000" w:firstRow="0" w:lastRow="0" w:firstColumn="0" w:lastColumn="0" w:oddVBand="0" w:evenVBand="0" w:oddHBand="0" w:evenHBand="1" w:firstRowFirstColumn="0" w:firstRowLastColumn="0" w:lastRowFirstColumn="0" w:lastRowLastColumn="0"/>
              <w:rPr>
                <w:rFonts w:eastAsia="Times New Roman"/>
                <w:color w:val="000000"/>
                <w:sz w:val="16"/>
                <w:szCs w:val="16"/>
                <w:lang w:val="es-CO" w:eastAsia="es-CO"/>
              </w:rPr>
            </w:pPr>
          </w:p>
        </w:tc>
        <w:tc>
          <w:tcPr>
            <w:tcW w:w="621" w:type="dxa"/>
            <w:noWrap/>
            <w:hideMark/>
          </w:tcPr>
          <w:p w:rsidR="007A18D4" w:rsidRPr="00C0599A" w:rsidRDefault="007A18D4" w:rsidP="005678E7">
            <w:pPr>
              <w:spacing w:after="0"/>
              <w:jc w:val="center"/>
              <w:cnfStyle w:val="000000010000" w:firstRow="0" w:lastRow="0" w:firstColumn="0" w:lastColumn="0" w:oddVBand="0" w:evenVBand="0" w:oddHBand="0" w:evenHBand="1" w:firstRowFirstColumn="0" w:firstRowLastColumn="0" w:lastRowFirstColumn="0" w:lastRowLastColumn="0"/>
              <w:rPr>
                <w:rFonts w:eastAsia="Times New Roman"/>
                <w:color w:val="000000"/>
                <w:sz w:val="16"/>
                <w:szCs w:val="16"/>
                <w:lang w:val="es-CO" w:eastAsia="es-CO"/>
              </w:rPr>
            </w:pPr>
          </w:p>
        </w:tc>
        <w:tc>
          <w:tcPr>
            <w:tcW w:w="621" w:type="dxa"/>
            <w:noWrap/>
            <w:hideMark/>
          </w:tcPr>
          <w:p w:rsidR="007A18D4" w:rsidRPr="00C0599A" w:rsidRDefault="007A18D4" w:rsidP="005678E7">
            <w:pPr>
              <w:spacing w:after="0"/>
              <w:jc w:val="center"/>
              <w:cnfStyle w:val="000000010000" w:firstRow="0" w:lastRow="0" w:firstColumn="0" w:lastColumn="0" w:oddVBand="0" w:evenVBand="0" w:oddHBand="0" w:evenHBand="1" w:firstRowFirstColumn="0" w:firstRowLastColumn="0" w:lastRowFirstColumn="0" w:lastRowLastColumn="0"/>
              <w:rPr>
                <w:rFonts w:eastAsia="Times New Roman"/>
                <w:color w:val="000000"/>
                <w:sz w:val="16"/>
                <w:szCs w:val="16"/>
                <w:lang w:val="es-CO" w:eastAsia="es-CO"/>
              </w:rPr>
            </w:pPr>
            <w:r w:rsidRPr="00C0599A">
              <w:rPr>
                <w:rFonts w:eastAsia="Times New Roman"/>
                <w:color w:val="000000"/>
                <w:sz w:val="16"/>
                <w:szCs w:val="16"/>
                <w:lang w:val="es-CO" w:eastAsia="es-CO"/>
              </w:rPr>
              <w:t>4</w:t>
            </w:r>
          </w:p>
        </w:tc>
        <w:tc>
          <w:tcPr>
            <w:tcW w:w="1169" w:type="dxa"/>
            <w:noWrap/>
            <w:hideMark/>
          </w:tcPr>
          <w:p w:rsidR="007A18D4" w:rsidRPr="00C0599A" w:rsidRDefault="007A18D4" w:rsidP="005678E7">
            <w:pPr>
              <w:spacing w:after="0"/>
              <w:jc w:val="center"/>
              <w:cnfStyle w:val="000000010000" w:firstRow="0" w:lastRow="0" w:firstColumn="0" w:lastColumn="0" w:oddVBand="0" w:evenVBand="0" w:oddHBand="0" w:evenHBand="1" w:firstRowFirstColumn="0" w:firstRowLastColumn="0" w:lastRowFirstColumn="0" w:lastRowLastColumn="0"/>
              <w:rPr>
                <w:rFonts w:eastAsia="Times New Roman"/>
                <w:color w:val="000000"/>
                <w:sz w:val="16"/>
                <w:szCs w:val="16"/>
                <w:lang w:val="es-CO" w:eastAsia="es-CO"/>
              </w:rPr>
            </w:pPr>
            <w:r w:rsidRPr="00C0599A">
              <w:rPr>
                <w:rFonts w:eastAsia="Times New Roman"/>
                <w:color w:val="000000"/>
                <w:sz w:val="16"/>
                <w:szCs w:val="16"/>
                <w:lang w:val="es-CO" w:eastAsia="es-CO"/>
              </w:rPr>
              <w:t>4</w:t>
            </w:r>
          </w:p>
        </w:tc>
      </w:tr>
      <w:tr w:rsidR="007A18D4" w:rsidRPr="00C0599A" w:rsidTr="005678E7">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2199" w:type="dxa"/>
            <w:noWrap/>
            <w:hideMark/>
          </w:tcPr>
          <w:p w:rsidR="007A18D4" w:rsidRPr="00C0599A" w:rsidRDefault="007A18D4" w:rsidP="005678E7">
            <w:pPr>
              <w:spacing w:after="0"/>
              <w:jc w:val="left"/>
              <w:rPr>
                <w:rFonts w:eastAsia="Times New Roman"/>
                <w:color w:val="000000"/>
                <w:sz w:val="16"/>
                <w:szCs w:val="16"/>
                <w:lang w:val="es-CO" w:eastAsia="es-CO"/>
              </w:rPr>
            </w:pPr>
            <w:r w:rsidRPr="00C0599A">
              <w:rPr>
                <w:rFonts w:eastAsia="Times New Roman"/>
                <w:color w:val="000000"/>
                <w:sz w:val="16"/>
                <w:szCs w:val="16"/>
                <w:lang w:val="es-CO" w:eastAsia="es-CO"/>
              </w:rPr>
              <w:t>Missouri, Estados Unidos</w:t>
            </w:r>
          </w:p>
        </w:tc>
        <w:tc>
          <w:tcPr>
            <w:tcW w:w="1921" w:type="dxa"/>
            <w:noWrap/>
            <w:hideMark/>
          </w:tcPr>
          <w:p w:rsidR="007A18D4" w:rsidRPr="00C0599A" w:rsidRDefault="007A18D4" w:rsidP="005678E7">
            <w:pPr>
              <w:spacing w:after="0"/>
              <w:jc w:val="left"/>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lang w:val="es-CO" w:eastAsia="es-CO"/>
              </w:rPr>
            </w:pPr>
            <w:r w:rsidRPr="00C0599A">
              <w:rPr>
                <w:rFonts w:eastAsia="Times New Roman"/>
                <w:color w:val="000000"/>
                <w:sz w:val="16"/>
                <w:szCs w:val="16"/>
                <w:lang w:val="es-CO" w:eastAsia="es-CO"/>
              </w:rPr>
              <w:t xml:space="preserve">Missouri </w:t>
            </w:r>
            <w:proofErr w:type="spellStart"/>
            <w:r w:rsidRPr="00C0599A">
              <w:rPr>
                <w:rFonts w:eastAsia="Times New Roman"/>
                <w:color w:val="000000"/>
                <w:sz w:val="16"/>
                <w:szCs w:val="16"/>
                <w:lang w:val="es-CO" w:eastAsia="es-CO"/>
              </w:rPr>
              <w:t>State</w:t>
            </w:r>
            <w:proofErr w:type="spellEnd"/>
            <w:r w:rsidRPr="00C0599A">
              <w:rPr>
                <w:rFonts w:eastAsia="Times New Roman"/>
                <w:color w:val="000000"/>
                <w:sz w:val="16"/>
                <w:szCs w:val="16"/>
                <w:lang w:val="es-CO" w:eastAsia="es-CO"/>
              </w:rPr>
              <w:t xml:space="preserve"> </w:t>
            </w:r>
            <w:proofErr w:type="spellStart"/>
            <w:r w:rsidRPr="00C0599A">
              <w:rPr>
                <w:rFonts w:eastAsia="Times New Roman"/>
                <w:color w:val="000000"/>
                <w:sz w:val="16"/>
                <w:szCs w:val="16"/>
                <w:lang w:val="es-CO" w:eastAsia="es-CO"/>
              </w:rPr>
              <w:t>University</w:t>
            </w:r>
            <w:proofErr w:type="spellEnd"/>
          </w:p>
        </w:tc>
        <w:tc>
          <w:tcPr>
            <w:tcW w:w="621" w:type="dxa"/>
            <w:noWrap/>
            <w:hideMark/>
          </w:tcPr>
          <w:p w:rsidR="007A18D4" w:rsidRPr="00C0599A" w:rsidRDefault="007A18D4" w:rsidP="005678E7">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lang w:val="es-CO" w:eastAsia="es-CO"/>
              </w:rPr>
            </w:pPr>
            <w:r w:rsidRPr="00C0599A">
              <w:rPr>
                <w:rFonts w:eastAsia="Times New Roman"/>
                <w:color w:val="000000"/>
                <w:sz w:val="16"/>
                <w:szCs w:val="16"/>
                <w:lang w:val="es-CO" w:eastAsia="es-CO"/>
              </w:rPr>
              <w:t>3</w:t>
            </w:r>
          </w:p>
        </w:tc>
        <w:tc>
          <w:tcPr>
            <w:tcW w:w="621" w:type="dxa"/>
            <w:noWrap/>
            <w:hideMark/>
          </w:tcPr>
          <w:p w:rsidR="007A18D4" w:rsidRPr="00C0599A" w:rsidRDefault="007A18D4" w:rsidP="005678E7">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lang w:val="es-CO" w:eastAsia="es-CO"/>
              </w:rPr>
            </w:pPr>
            <w:r w:rsidRPr="00C0599A">
              <w:rPr>
                <w:rFonts w:eastAsia="Times New Roman"/>
                <w:color w:val="000000"/>
                <w:sz w:val="16"/>
                <w:szCs w:val="16"/>
                <w:lang w:val="es-CO" w:eastAsia="es-CO"/>
              </w:rPr>
              <w:t>10</w:t>
            </w:r>
          </w:p>
        </w:tc>
        <w:tc>
          <w:tcPr>
            <w:tcW w:w="621" w:type="dxa"/>
            <w:noWrap/>
            <w:hideMark/>
          </w:tcPr>
          <w:p w:rsidR="007A18D4" w:rsidRPr="00C0599A" w:rsidRDefault="007A18D4" w:rsidP="005678E7">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lang w:val="es-CO" w:eastAsia="es-CO"/>
              </w:rPr>
            </w:pPr>
            <w:r w:rsidRPr="00C0599A">
              <w:rPr>
                <w:rFonts w:eastAsia="Times New Roman"/>
                <w:color w:val="000000"/>
                <w:sz w:val="16"/>
                <w:szCs w:val="16"/>
                <w:lang w:val="es-CO" w:eastAsia="es-CO"/>
              </w:rPr>
              <w:t>3</w:t>
            </w:r>
          </w:p>
        </w:tc>
        <w:tc>
          <w:tcPr>
            <w:tcW w:w="621" w:type="dxa"/>
            <w:noWrap/>
            <w:hideMark/>
          </w:tcPr>
          <w:p w:rsidR="007A18D4" w:rsidRPr="00C0599A" w:rsidRDefault="007A18D4" w:rsidP="005678E7">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lang w:val="es-CO" w:eastAsia="es-CO"/>
              </w:rPr>
            </w:pPr>
            <w:r w:rsidRPr="00C0599A">
              <w:rPr>
                <w:rFonts w:eastAsia="Times New Roman"/>
                <w:color w:val="000000"/>
                <w:sz w:val="16"/>
                <w:szCs w:val="16"/>
                <w:lang w:val="es-CO" w:eastAsia="es-CO"/>
              </w:rPr>
              <w:t>4</w:t>
            </w:r>
          </w:p>
        </w:tc>
        <w:tc>
          <w:tcPr>
            <w:tcW w:w="1169" w:type="dxa"/>
            <w:noWrap/>
            <w:hideMark/>
          </w:tcPr>
          <w:p w:rsidR="007A18D4" w:rsidRPr="00C0599A" w:rsidRDefault="007A18D4" w:rsidP="005678E7">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lang w:val="es-CO" w:eastAsia="es-CO"/>
              </w:rPr>
            </w:pPr>
            <w:r w:rsidRPr="00C0599A">
              <w:rPr>
                <w:rFonts w:eastAsia="Times New Roman"/>
                <w:color w:val="000000"/>
                <w:sz w:val="16"/>
                <w:szCs w:val="16"/>
                <w:lang w:val="es-CO" w:eastAsia="es-CO"/>
              </w:rPr>
              <w:t>20</w:t>
            </w:r>
          </w:p>
        </w:tc>
      </w:tr>
      <w:tr w:rsidR="007A18D4" w:rsidRPr="00C0599A" w:rsidTr="005678E7">
        <w:trPr>
          <w:cnfStyle w:val="000000010000" w:firstRow="0" w:lastRow="0" w:firstColumn="0" w:lastColumn="0" w:oddVBand="0" w:evenVBand="0" w:oddHBand="0" w:evenHBand="1"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4120" w:type="dxa"/>
            <w:gridSpan w:val="2"/>
            <w:noWrap/>
            <w:hideMark/>
          </w:tcPr>
          <w:p w:rsidR="007A18D4" w:rsidRPr="00C0599A" w:rsidRDefault="007A18D4" w:rsidP="005678E7">
            <w:pPr>
              <w:spacing w:after="0"/>
              <w:jc w:val="left"/>
              <w:rPr>
                <w:rFonts w:eastAsia="Times New Roman"/>
                <w:color w:val="000000"/>
                <w:sz w:val="16"/>
                <w:szCs w:val="16"/>
                <w:lang w:val="es-CO" w:eastAsia="es-CO"/>
              </w:rPr>
            </w:pPr>
            <w:r w:rsidRPr="00C0599A">
              <w:rPr>
                <w:rFonts w:eastAsia="Times New Roman"/>
                <w:color w:val="000000"/>
                <w:sz w:val="16"/>
                <w:szCs w:val="16"/>
                <w:lang w:val="es-CO" w:eastAsia="es-CO"/>
              </w:rPr>
              <w:t>Total general</w:t>
            </w:r>
          </w:p>
        </w:tc>
        <w:tc>
          <w:tcPr>
            <w:tcW w:w="621" w:type="dxa"/>
            <w:noWrap/>
            <w:hideMark/>
          </w:tcPr>
          <w:p w:rsidR="007A18D4" w:rsidRPr="00C0599A" w:rsidRDefault="007A18D4" w:rsidP="005678E7">
            <w:pPr>
              <w:spacing w:after="0"/>
              <w:jc w:val="center"/>
              <w:cnfStyle w:val="000000010000" w:firstRow="0" w:lastRow="0" w:firstColumn="0" w:lastColumn="0" w:oddVBand="0" w:evenVBand="0" w:oddHBand="0" w:evenHBand="1" w:firstRowFirstColumn="0" w:firstRowLastColumn="0" w:lastRowFirstColumn="0" w:lastRowLastColumn="0"/>
              <w:rPr>
                <w:rFonts w:eastAsia="Times New Roman"/>
                <w:b/>
                <w:bCs/>
                <w:color w:val="000000"/>
                <w:sz w:val="16"/>
                <w:szCs w:val="16"/>
                <w:lang w:val="es-CO" w:eastAsia="es-CO"/>
              </w:rPr>
            </w:pPr>
            <w:r w:rsidRPr="00C0599A">
              <w:rPr>
                <w:rFonts w:eastAsia="Times New Roman"/>
                <w:b/>
                <w:bCs/>
                <w:color w:val="000000"/>
                <w:sz w:val="16"/>
                <w:szCs w:val="16"/>
                <w:lang w:val="es-CO" w:eastAsia="es-CO"/>
              </w:rPr>
              <w:t>3</w:t>
            </w:r>
          </w:p>
        </w:tc>
        <w:tc>
          <w:tcPr>
            <w:tcW w:w="621" w:type="dxa"/>
            <w:noWrap/>
            <w:hideMark/>
          </w:tcPr>
          <w:p w:rsidR="007A18D4" w:rsidRPr="00C0599A" w:rsidRDefault="007A18D4" w:rsidP="005678E7">
            <w:pPr>
              <w:spacing w:after="0"/>
              <w:jc w:val="center"/>
              <w:cnfStyle w:val="000000010000" w:firstRow="0" w:lastRow="0" w:firstColumn="0" w:lastColumn="0" w:oddVBand="0" w:evenVBand="0" w:oddHBand="0" w:evenHBand="1" w:firstRowFirstColumn="0" w:firstRowLastColumn="0" w:lastRowFirstColumn="0" w:lastRowLastColumn="0"/>
              <w:rPr>
                <w:rFonts w:eastAsia="Times New Roman"/>
                <w:b/>
                <w:bCs/>
                <w:color w:val="000000"/>
                <w:sz w:val="16"/>
                <w:szCs w:val="16"/>
                <w:lang w:val="es-CO" w:eastAsia="es-CO"/>
              </w:rPr>
            </w:pPr>
            <w:r w:rsidRPr="00C0599A">
              <w:rPr>
                <w:rFonts w:eastAsia="Times New Roman"/>
                <w:b/>
                <w:bCs/>
                <w:color w:val="000000"/>
                <w:sz w:val="16"/>
                <w:szCs w:val="16"/>
                <w:lang w:val="es-CO" w:eastAsia="es-CO"/>
              </w:rPr>
              <w:t>10</w:t>
            </w:r>
          </w:p>
        </w:tc>
        <w:tc>
          <w:tcPr>
            <w:tcW w:w="621" w:type="dxa"/>
            <w:noWrap/>
            <w:hideMark/>
          </w:tcPr>
          <w:p w:rsidR="007A18D4" w:rsidRPr="00C0599A" w:rsidRDefault="007A18D4" w:rsidP="005678E7">
            <w:pPr>
              <w:spacing w:after="0"/>
              <w:jc w:val="center"/>
              <w:cnfStyle w:val="000000010000" w:firstRow="0" w:lastRow="0" w:firstColumn="0" w:lastColumn="0" w:oddVBand="0" w:evenVBand="0" w:oddHBand="0" w:evenHBand="1" w:firstRowFirstColumn="0" w:firstRowLastColumn="0" w:lastRowFirstColumn="0" w:lastRowLastColumn="0"/>
              <w:rPr>
                <w:rFonts w:eastAsia="Times New Roman"/>
                <w:b/>
                <w:bCs/>
                <w:color w:val="000000"/>
                <w:sz w:val="16"/>
                <w:szCs w:val="16"/>
                <w:lang w:val="es-CO" w:eastAsia="es-CO"/>
              </w:rPr>
            </w:pPr>
            <w:r w:rsidRPr="00C0599A">
              <w:rPr>
                <w:rFonts w:eastAsia="Times New Roman"/>
                <w:b/>
                <w:bCs/>
                <w:color w:val="000000"/>
                <w:sz w:val="16"/>
                <w:szCs w:val="16"/>
                <w:lang w:val="es-CO" w:eastAsia="es-CO"/>
              </w:rPr>
              <w:t>9</w:t>
            </w:r>
          </w:p>
        </w:tc>
        <w:tc>
          <w:tcPr>
            <w:tcW w:w="621" w:type="dxa"/>
            <w:noWrap/>
            <w:hideMark/>
          </w:tcPr>
          <w:p w:rsidR="007A18D4" w:rsidRPr="00C0599A" w:rsidRDefault="007A18D4" w:rsidP="005678E7">
            <w:pPr>
              <w:spacing w:after="0"/>
              <w:jc w:val="center"/>
              <w:cnfStyle w:val="000000010000" w:firstRow="0" w:lastRow="0" w:firstColumn="0" w:lastColumn="0" w:oddVBand="0" w:evenVBand="0" w:oddHBand="0" w:evenHBand="1" w:firstRowFirstColumn="0" w:firstRowLastColumn="0" w:lastRowFirstColumn="0" w:lastRowLastColumn="0"/>
              <w:rPr>
                <w:rFonts w:eastAsia="Times New Roman"/>
                <w:b/>
                <w:bCs/>
                <w:color w:val="000000"/>
                <w:sz w:val="16"/>
                <w:szCs w:val="16"/>
                <w:lang w:val="es-CO" w:eastAsia="es-CO"/>
              </w:rPr>
            </w:pPr>
            <w:r w:rsidRPr="00C0599A">
              <w:rPr>
                <w:rFonts w:eastAsia="Times New Roman"/>
                <w:b/>
                <w:bCs/>
                <w:color w:val="000000"/>
                <w:sz w:val="16"/>
                <w:szCs w:val="16"/>
                <w:lang w:val="es-CO" w:eastAsia="es-CO"/>
              </w:rPr>
              <w:t>8</w:t>
            </w:r>
          </w:p>
        </w:tc>
        <w:tc>
          <w:tcPr>
            <w:tcW w:w="1169" w:type="dxa"/>
            <w:noWrap/>
            <w:hideMark/>
          </w:tcPr>
          <w:p w:rsidR="007A18D4" w:rsidRPr="00C0599A" w:rsidRDefault="007A18D4" w:rsidP="005678E7">
            <w:pPr>
              <w:spacing w:after="0"/>
              <w:jc w:val="center"/>
              <w:cnfStyle w:val="000000010000" w:firstRow="0" w:lastRow="0" w:firstColumn="0" w:lastColumn="0" w:oddVBand="0" w:evenVBand="0" w:oddHBand="0" w:evenHBand="1" w:firstRowFirstColumn="0" w:firstRowLastColumn="0" w:lastRowFirstColumn="0" w:lastRowLastColumn="0"/>
              <w:rPr>
                <w:rFonts w:eastAsia="Times New Roman"/>
                <w:b/>
                <w:bCs/>
                <w:color w:val="000000"/>
                <w:sz w:val="16"/>
                <w:szCs w:val="16"/>
                <w:lang w:val="es-CO" w:eastAsia="es-CO"/>
              </w:rPr>
            </w:pPr>
            <w:r w:rsidRPr="00C0599A">
              <w:rPr>
                <w:rFonts w:eastAsia="Times New Roman"/>
                <w:b/>
                <w:bCs/>
                <w:color w:val="000000"/>
                <w:sz w:val="16"/>
                <w:szCs w:val="16"/>
                <w:lang w:val="es-CO" w:eastAsia="es-CO"/>
              </w:rPr>
              <w:t>30</w:t>
            </w:r>
          </w:p>
        </w:tc>
      </w:tr>
    </w:tbl>
    <w:p w:rsidR="007A18D4" w:rsidRDefault="007A18D4" w:rsidP="007A18D4">
      <w:pPr>
        <w:jc w:val="center"/>
        <w:rPr>
          <w:b/>
        </w:rPr>
      </w:pPr>
      <w:r w:rsidRPr="00C60335">
        <w:rPr>
          <w:b/>
        </w:rPr>
        <w:t>Fuente: Oficina de Relaciones Internacionales</w:t>
      </w:r>
    </w:p>
    <w:p w:rsidR="002D1C0D" w:rsidRDefault="002D1C0D" w:rsidP="007A18D4">
      <w:pPr>
        <w:jc w:val="cente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89"/>
        <w:gridCol w:w="4489"/>
      </w:tblGrid>
      <w:tr w:rsidR="002D1C0D" w:rsidTr="002D1C0D">
        <w:tc>
          <w:tcPr>
            <w:tcW w:w="4489" w:type="dxa"/>
            <w:vAlign w:val="center"/>
          </w:tcPr>
          <w:p w:rsidR="002D1C0D" w:rsidRDefault="002D1C0D" w:rsidP="002D1C0D">
            <w:r>
              <w:t>E</w:t>
            </w:r>
            <w:r w:rsidRPr="008652D6">
              <w:t xml:space="preserve">n la vigencia </w:t>
            </w:r>
            <w:r w:rsidRPr="005E122A">
              <w:rPr>
                <w:b/>
              </w:rPr>
              <w:t>2009</w:t>
            </w:r>
            <w:r w:rsidRPr="008652D6">
              <w:t xml:space="preserve"> participaron </w:t>
            </w:r>
            <w:r>
              <w:t>tres funcionarios</w:t>
            </w:r>
            <w:r w:rsidRPr="008652D6">
              <w:t xml:space="preserve"> administrativos en cursos de inmersión en el extranjero</w:t>
            </w:r>
            <w:r>
              <w:t xml:space="preserve">.  Para la estrategia de cursos de inmersión durante el </w:t>
            </w:r>
            <w:r w:rsidRPr="008B2673">
              <w:rPr>
                <w:b/>
              </w:rPr>
              <w:t>2010</w:t>
            </w:r>
            <w:r>
              <w:t xml:space="preserve"> s</w:t>
            </w:r>
            <w:r w:rsidRPr="008652D6">
              <w:t xml:space="preserve">e estableció  la línea base mediante la aplicación y estudio de los resultados obtenidos en la presentación del examen de ubicación en línea </w:t>
            </w:r>
            <w:r w:rsidRPr="006448F2">
              <w:rPr>
                <w:b/>
              </w:rPr>
              <w:t xml:space="preserve">Oxford </w:t>
            </w:r>
            <w:proofErr w:type="spellStart"/>
            <w:r w:rsidRPr="006448F2">
              <w:rPr>
                <w:b/>
              </w:rPr>
              <w:t>Place</w:t>
            </w:r>
            <w:r>
              <w:rPr>
                <w:b/>
              </w:rPr>
              <w:t>m</w:t>
            </w:r>
            <w:r w:rsidRPr="006448F2">
              <w:rPr>
                <w:b/>
              </w:rPr>
              <w:t>en</w:t>
            </w:r>
            <w:r>
              <w:rPr>
                <w:b/>
              </w:rPr>
              <w:t>t</w:t>
            </w:r>
            <w:proofErr w:type="spellEnd"/>
            <w:r w:rsidRPr="006448F2">
              <w:rPr>
                <w:b/>
              </w:rPr>
              <w:t xml:space="preserve"> Test</w:t>
            </w:r>
            <w:r w:rsidRPr="008652D6">
              <w:t xml:space="preserve">, adquirido por la universidad y tomado </w:t>
            </w:r>
            <w:r w:rsidRPr="005E122A">
              <w:rPr>
                <w:b/>
              </w:rPr>
              <w:t>216</w:t>
            </w:r>
            <w:r w:rsidRPr="008652D6">
              <w:t xml:space="preserve"> funcionarios, de los cuales </w:t>
            </w:r>
            <w:r>
              <w:t>10 funcionarios administrativos participaron de cursos de Inmersión en Missouri. Para el año</w:t>
            </w:r>
            <w:r w:rsidRPr="008652D6">
              <w:t xml:space="preserve"> </w:t>
            </w:r>
            <w:r w:rsidRPr="005E122A">
              <w:rPr>
                <w:b/>
              </w:rPr>
              <w:t>2011</w:t>
            </w:r>
            <w:r w:rsidRPr="008652D6">
              <w:t xml:space="preserve">, </w:t>
            </w:r>
            <w:r w:rsidRPr="00E25FD4">
              <w:rPr>
                <w:b/>
              </w:rPr>
              <w:t>nueve</w:t>
            </w:r>
            <w:r>
              <w:t xml:space="preserve"> </w:t>
            </w:r>
            <w:r w:rsidRPr="008652D6">
              <w:t xml:space="preserve">funcionarios de la administración participaron dos meses en los cursos de inmersión en la lengua inglesa. </w:t>
            </w:r>
            <w:proofErr w:type="gramStart"/>
            <w:r w:rsidRPr="003B2EEE">
              <w:rPr>
                <w:b/>
              </w:rPr>
              <w:t>tres</w:t>
            </w:r>
            <w:proofErr w:type="gramEnd"/>
            <w:r w:rsidRPr="008652D6">
              <w:t xml:space="preserve"> estuvieron en Missouri </w:t>
            </w:r>
            <w:proofErr w:type="spellStart"/>
            <w:r w:rsidRPr="008652D6">
              <w:t>State</w:t>
            </w:r>
            <w:proofErr w:type="spellEnd"/>
            <w:r w:rsidRPr="008652D6">
              <w:t xml:space="preserve"> </w:t>
            </w:r>
            <w:proofErr w:type="spellStart"/>
            <w:r w:rsidRPr="008652D6">
              <w:t>University</w:t>
            </w:r>
            <w:proofErr w:type="spellEnd"/>
            <w:r w:rsidRPr="008652D6">
              <w:t xml:space="preserve">, Estados Unidos, y </w:t>
            </w:r>
            <w:r w:rsidRPr="003B2EEE">
              <w:rPr>
                <w:b/>
              </w:rPr>
              <w:t>seis</w:t>
            </w:r>
            <w:r w:rsidRPr="008652D6">
              <w:t xml:space="preserve"> se desplazaron a Inglaterra al Instituto de </w:t>
            </w:r>
            <w:proofErr w:type="spellStart"/>
            <w:r w:rsidRPr="008652D6">
              <w:t>Bournemouth</w:t>
            </w:r>
            <w:proofErr w:type="spellEnd"/>
            <w:r w:rsidRPr="008652D6">
              <w:t xml:space="preserve">. </w:t>
            </w:r>
          </w:p>
        </w:tc>
        <w:tc>
          <w:tcPr>
            <w:tcW w:w="4489" w:type="dxa"/>
            <w:vAlign w:val="center"/>
          </w:tcPr>
          <w:p w:rsidR="002D1C0D" w:rsidRDefault="002D1C0D" w:rsidP="002D1C0D">
            <w:pPr>
              <w:jc w:val="center"/>
            </w:pPr>
            <w:r>
              <w:rPr>
                <w:rFonts w:cs="Calibri"/>
                <w:noProof/>
                <w:color w:val="000000"/>
                <w:sz w:val="24"/>
                <w:szCs w:val="24"/>
                <w:lang w:eastAsia="es-CO"/>
              </w:rPr>
              <w:drawing>
                <wp:inline distT="0" distB="0" distL="0" distR="0">
                  <wp:extent cx="1684095" cy="2242267"/>
                  <wp:effectExtent l="19050" t="0" r="0" b="0"/>
                  <wp:docPr id="69" name="Imagen 1" descr="Inmersion Ingles 2012 (768x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nmersion Ingles 2012 (768x1024)"/>
                          <pic:cNvPicPr>
                            <a:picLocks noChangeAspect="1" noChangeArrowheads="1"/>
                          </pic:cNvPicPr>
                        </pic:nvPicPr>
                        <pic:blipFill>
                          <a:blip r:embed="rId82" cstate="print"/>
                          <a:srcRect/>
                          <a:stretch>
                            <a:fillRect/>
                          </a:stretch>
                        </pic:blipFill>
                        <pic:spPr bwMode="auto">
                          <a:xfrm>
                            <a:off x="0" y="0"/>
                            <a:ext cx="1685800" cy="2244537"/>
                          </a:xfrm>
                          <a:prstGeom prst="rect">
                            <a:avLst/>
                          </a:prstGeom>
                          <a:ln>
                            <a:noFill/>
                          </a:ln>
                          <a:effectLst>
                            <a:softEdge rad="112500"/>
                          </a:effectLst>
                        </pic:spPr>
                      </pic:pic>
                    </a:graphicData>
                  </a:graphic>
                </wp:inline>
              </w:drawing>
            </w:r>
          </w:p>
          <w:p w:rsidR="002D1C0D" w:rsidRDefault="002D1C0D" w:rsidP="002D1C0D">
            <w:pPr>
              <w:autoSpaceDE w:val="0"/>
              <w:autoSpaceDN w:val="0"/>
              <w:adjustRightInd w:val="0"/>
              <w:spacing w:after="0"/>
              <w:jc w:val="center"/>
              <w:outlineLvl w:val="0"/>
            </w:pPr>
            <w:bookmarkStart w:id="144" w:name="_Toc354671360"/>
            <w:r w:rsidRPr="006448F2">
              <w:rPr>
                <w:rFonts w:cs="Calibri"/>
                <w:b/>
                <w:color w:val="000000"/>
                <w:sz w:val="16"/>
                <w:szCs w:val="24"/>
              </w:rPr>
              <w:t xml:space="preserve">Grupo de funcionarios administrativos de la Universidad Tecnológica de Pereira en ELS </w:t>
            </w:r>
            <w:proofErr w:type="spellStart"/>
            <w:r w:rsidRPr="006448F2">
              <w:rPr>
                <w:rFonts w:cs="Calibri"/>
                <w:b/>
                <w:color w:val="000000"/>
                <w:sz w:val="16"/>
                <w:szCs w:val="24"/>
              </w:rPr>
              <w:t>Indianapolis</w:t>
            </w:r>
            <w:proofErr w:type="spellEnd"/>
            <w:r w:rsidRPr="006448F2">
              <w:rPr>
                <w:rFonts w:cs="Calibri"/>
                <w:b/>
                <w:color w:val="000000"/>
                <w:sz w:val="16"/>
                <w:szCs w:val="24"/>
              </w:rPr>
              <w:t>.</w:t>
            </w:r>
            <w:bookmarkEnd w:id="144"/>
          </w:p>
        </w:tc>
      </w:tr>
    </w:tbl>
    <w:p w:rsidR="002D1C0D" w:rsidRDefault="002D1C0D" w:rsidP="007A18D4"/>
    <w:p w:rsidR="007A18D4" w:rsidRDefault="007A18D4" w:rsidP="007A18D4">
      <w:pPr>
        <w:pStyle w:val="Ttulo5"/>
      </w:pPr>
      <w:r>
        <w:t>Docentes</w:t>
      </w:r>
    </w:p>
    <w:p w:rsidR="007A18D4" w:rsidRDefault="007A18D4" w:rsidP="007A18D4"/>
    <w:p w:rsidR="007A18D4" w:rsidRPr="00D759A3" w:rsidRDefault="007A18D4" w:rsidP="007A18D4">
      <w:r>
        <w:t xml:space="preserve">En esta estrategia, se trabaja con dos líneas, </w:t>
      </w:r>
      <w:r w:rsidRPr="00A17481">
        <w:t>cursos de formación en coordinación con el Colombo Americano en Pereira y los programas de inmersión en Estados Unidos</w:t>
      </w:r>
      <w:r>
        <w:t>. En e</w:t>
      </w:r>
      <w:r w:rsidRPr="00D759A3">
        <w:t xml:space="preserve">l cierre para la vigencia </w:t>
      </w:r>
      <w:r w:rsidRPr="00A61135">
        <w:rPr>
          <w:b/>
        </w:rPr>
        <w:t>2012</w:t>
      </w:r>
      <w:r>
        <w:t xml:space="preserve"> se alcanzó un total d</w:t>
      </w:r>
      <w:r w:rsidRPr="00D759A3">
        <w:t xml:space="preserve">e </w:t>
      </w:r>
      <w:r w:rsidRPr="00A61135">
        <w:rPr>
          <w:b/>
        </w:rPr>
        <w:t>79</w:t>
      </w:r>
      <w:r>
        <w:t xml:space="preserve"> Docentes en formación de una meta de </w:t>
      </w:r>
      <w:r w:rsidRPr="00A61135">
        <w:rPr>
          <w:b/>
        </w:rPr>
        <w:t>80</w:t>
      </w:r>
      <w:r>
        <w:t xml:space="preserve"> Docentes, lo cual evidencia el éxito de la estrategia.</w:t>
      </w:r>
    </w:p>
    <w:p w:rsidR="007A18D4" w:rsidRDefault="007A18D4" w:rsidP="007A18D4">
      <w:r>
        <w:t xml:space="preserve">Para el año </w:t>
      </w:r>
      <w:r w:rsidRPr="00C60335">
        <w:rPr>
          <w:b/>
        </w:rPr>
        <w:t>2012</w:t>
      </w:r>
      <w:r>
        <w:t xml:space="preserve">, </w:t>
      </w:r>
      <w:r w:rsidRPr="00C60335">
        <w:rPr>
          <w:b/>
        </w:rPr>
        <w:t>cuatro</w:t>
      </w:r>
      <w:r>
        <w:t xml:space="preserve"> docentes participaron de cursos de inmersión en el extranjero, entre los institutos ELS </w:t>
      </w:r>
      <w:proofErr w:type="spellStart"/>
      <w:r>
        <w:t>Language</w:t>
      </w:r>
      <w:proofErr w:type="spellEnd"/>
      <w:r>
        <w:t xml:space="preserve"> Center, LSI New York y Missouri </w:t>
      </w:r>
      <w:proofErr w:type="spellStart"/>
      <w:r>
        <w:t>State</w:t>
      </w:r>
      <w:proofErr w:type="spellEnd"/>
      <w:r>
        <w:t xml:space="preserve"> </w:t>
      </w:r>
      <w:proofErr w:type="spellStart"/>
      <w:r>
        <w:t>University</w:t>
      </w:r>
      <w:proofErr w:type="spellEnd"/>
      <w:r>
        <w:t>.</w:t>
      </w:r>
    </w:p>
    <w:p w:rsidR="007A18D4" w:rsidRDefault="007A18D4" w:rsidP="007A18D4"/>
    <w:p w:rsidR="007A18D4" w:rsidRPr="00C60335" w:rsidRDefault="007A18D4" w:rsidP="007A18D4">
      <w:pPr>
        <w:jc w:val="center"/>
        <w:rPr>
          <w:b/>
        </w:rPr>
      </w:pPr>
      <w:r>
        <w:rPr>
          <w:b/>
        </w:rPr>
        <w:t xml:space="preserve">Personal </w:t>
      </w:r>
      <w:r w:rsidRPr="00C60335">
        <w:rPr>
          <w:b/>
        </w:rPr>
        <w:t xml:space="preserve">Docente en Inmersión Internacional </w:t>
      </w:r>
      <w:r>
        <w:rPr>
          <w:b/>
        </w:rPr>
        <w:t xml:space="preserve">por Ciudad e Instituto </w:t>
      </w:r>
      <w:r w:rsidRPr="00C60335">
        <w:rPr>
          <w:b/>
        </w:rPr>
        <w:t>2009 - 2012</w:t>
      </w:r>
    </w:p>
    <w:tbl>
      <w:tblPr>
        <w:tblStyle w:val="Cuadrculaclara-nfasis1"/>
        <w:tblW w:w="7533" w:type="dxa"/>
        <w:jc w:val="center"/>
        <w:tblLook w:val="04A0" w:firstRow="1" w:lastRow="0" w:firstColumn="1" w:lastColumn="0" w:noHBand="0" w:noVBand="1"/>
      </w:tblPr>
      <w:tblGrid>
        <w:gridCol w:w="2199"/>
        <w:gridCol w:w="1921"/>
        <w:gridCol w:w="621"/>
        <w:gridCol w:w="541"/>
        <w:gridCol w:w="541"/>
        <w:gridCol w:w="541"/>
        <w:gridCol w:w="1169"/>
      </w:tblGrid>
      <w:tr w:rsidR="007A18D4" w:rsidRPr="00C60335" w:rsidTr="005678E7">
        <w:trPr>
          <w:cnfStyle w:val="100000000000" w:firstRow="1" w:lastRow="0" w:firstColumn="0" w:lastColumn="0" w:oddVBand="0" w:evenVBand="0" w:oddHBand="0" w:evenHBand="0" w:firstRowFirstColumn="0" w:firstRowLastColumn="0" w:lastRowFirstColumn="0" w:lastRowLastColumn="0"/>
          <w:trHeight w:val="57"/>
          <w:jc w:val="center"/>
        </w:trPr>
        <w:tc>
          <w:tcPr>
            <w:cnfStyle w:val="001000000000" w:firstRow="0" w:lastRow="0" w:firstColumn="1" w:lastColumn="0" w:oddVBand="0" w:evenVBand="0" w:oddHBand="0" w:evenHBand="0" w:firstRowFirstColumn="0" w:firstRowLastColumn="0" w:lastRowFirstColumn="0" w:lastRowLastColumn="0"/>
            <w:tcW w:w="2199" w:type="dxa"/>
            <w:noWrap/>
            <w:hideMark/>
          </w:tcPr>
          <w:p w:rsidR="007A18D4" w:rsidRPr="00C60335" w:rsidRDefault="007A18D4" w:rsidP="005678E7">
            <w:pPr>
              <w:spacing w:after="0"/>
              <w:jc w:val="center"/>
              <w:rPr>
                <w:rFonts w:eastAsia="Times New Roman"/>
                <w:color w:val="000000"/>
                <w:sz w:val="16"/>
                <w:szCs w:val="16"/>
                <w:lang w:val="es-CO" w:eastAsia="es-CO"/>
              </w:rPr>
            </w:pPr>
            <w:r>
              <w:rPr>
                <w:rFonts w:eastAsia="Times New Roman"/>
                <w:color w:val="000000"/>
                <w:sz w:val="16"/>
                <w:szCs w:val="16"/>
                <w:lang w:val="es-CO" w:eastAsia="es-CO"/>
              </w:rPr>
              <w:t>Ciudad - País</w:t>
            </w:r>
          </w:p>
        </w:tc>
        <w:tc>
          <w:tcPr>
            <w:tcW w:w="1921" w:type="dxa"/>
          </w:tcPr>
          <w:p w:rsidR="007A18D4" w:rsidRPr="00C60335" w:rsidRDefault="007A18D4" w:rsidP="005678E7">
            <w:pPr>
              <w:spacing w:after="0"/>
              <w:jc w:val="center"/>
              <w:cnfStyle w:val="100000000000" w:firstRow="1" w:lastRow="0" w:firstColumn="0" w:lastColumn="0" w:oddVBand="0" w:evenVBand="0" w:oddHBand="0" w:evenHBand="0" w:firstRowFirstColumn="0" w:firstRowLastColumn="0" w:lastRowFirstColumn="0" w:lastRowLastColumn="0"/>
              <w:rPr>
                <w:rFonts w:eastAsia="Times New Roman"/>
                <w:bCs w:val="0"/>
                <w:color w:val="000000"/>
                <w:sz w:val="16"/>
                <w:szCs w:val="16"/>
                <w:lang w:val="es-CO" w:eastAsia="es-CO"/>
              </w:rPr>
            </w:pPr>
            <w:r w:rsidRPr="00C60335">
              <w:rPr>
                <w:rFonts w:eastAsia="Times New Roman"/>
                <w:bCs w:val="0"/>
                <w:color w:val="000000"/>
                <w:sz w:val="16"/>
                <w:szCs w:val="16"/>
                <w:lang w:val="es-CO" w:eastAsia="es-CO"/>
              </w:rPr>
              <w:t>Instituto</w:t>
            </w:r>
          </w:p>
        </w:tc>
        <w:tc>
          <w:tcPr>
            <w:tcW w:w="621" w:type="dxa"/>
            <w:noWrap/>
            <w:hideMark/>
          </w:tcPr>
          <w:p w:rsidR="007A18D4" w:rsidRPr="00C60335" w:rsidRDefault="007A18D4" w:rsidP="005678E7">
            <w:pPr>
              <w:spacing w:after="0"/>
              <w:jc w:val="center"/>
              <w:cnfStyle w:val="100000000000" w:firstRow="1" w:lastRow="0" w:firstColumn="0" w:lastColumn="0" w:oddVBand="0" w:evenVBand="0" w:oddHBand="0" w:evenHBand="0" w:firstRowFirstColumn="0" w:firstRowLastColumn="0" w:lastRowFirstColumn="0" w:lastRowLastColumn="0"/>
              <w:rPr>
                <w:rFonts w:eastAsia="Times New Roman"/>
                <w:color w:val="000000"/>
                <w:sz w:val="16"/>
                <w:szCs w:val="16"/>
                <w:lang w:val="es-CO" w:eastAsia="es-CO"/>
              </w:rPr>
            </w:pPr>
            <w:r w:rsidRPr="00C60335">
              <w:rPr>
                <w:rFonts w:eastAsia="Times New Roman"/>
                <w:color w:val="000000"/>
                <w:sz w:val="16"/>
                <w:szCs w:val="16"/>
                <w:lang w:val="es-CO" w:eastAsia="es-CO"/>
              </w:rPr>
              <w:t>2009</w:t>
            </w:r>
          </w:p>
        </w:tc>
        <w:tc>
          <w:tcPr>
            <w:tcW w:w="541" w:type="dxa"/>
            <w:noWrap/>
            <w:hideMark/>
          </w:tcPr>
          <w:p w:rsidR="007A18D4" w:rsidRPr="00C60335" w:rsidRDefault="007A18D4" w:rsidP="005678E7">
            <w:pPr>
              <w:spacing w:after="0"/>
              <w:jc w:val="center"/>
              <w:cnfStyle w:val="100000000000" w:firstRow="1" w:lastRow="0" w:firstColumn="0" w:lastColumn="0" w:oddVBand="0" w:evenVBand="0" w:oddHBand="0" w:evenHBand="0" w:firstRowFirstColumn="0" w:firstRowLastColumn="0" w:lastRowFirstColumn="0" w:lastRowLastColumn="0"/>
              <w:rPr>
                <w:rFonts w:eastAsia="Times New Roman"/>
                <w:color w:val="000000"/>
                <w:sz w:val="16"/>
                <w:szCs w:val="16"/>
                <w:lang w:val="es-CO" w:eastAsia="es-CO"/>
              </w:rPr>
            </w:pPr>
            <w:r w:rsidRPr="00C60335">
              <w:rPr>
                <w:rFonts w:eastAsia="Times New Roman"/>
                <w:color w:val="000000"/>
                <w:sz w:val="16"/>
                <w:szCs w:val="16"/>
                <w:lang w:val="es-CO" w:eastAsia="es-CO"/>
              </w:rPr>
              <w:t>2010</w:t>
            </w:r>
          </w:p>
        </w:tc>
        <w:tc>
          <w:tcPr>
            <w:tcW w:w="541" w:type="dxa"/>
            <w:noWrap/>
            <w:hideMark/>
          </w:tcPr>
          <w:p w:rsidR="007A18D4" w:rsidRPr="00C60335" w:rsidRDefault="007A18D4" w:rsidP="005678E7">
            <w:pPr>
              <w:spacing w:after="0"/>
              <w:jc w:val="center"/>
              <w:cnfStyle w:val="100000000000" w:firstRow="1" w:lastRow="0" w:firstColumn="0" w:lastColumn="0" w:oddVBand="0" w:evenVBand="0" w:oddHBand="0" w:evenHBand="0" w:firstRowFirstColumn="0" w:firstRowLastColumn="0" w:lastRowFirstColumn="0" w:lastRowLastColumn="0"/>
              <w:rPr>
                <w:rFonts w:eastAsia="Times New Roman"/>
                <w:color w:val="000000"/>
                <w:sz w:val="16"/>
                <w:szCs w:val="16"/>
                <w:lang w:val="es-CO" w:eastAsia="es-CO"/>
              </w:rPr>
            </w:pPr>
            <w:r w:rsidRPr="00C60335">
              <w:rPr>
                <w:rFonts w:eastAsia="Times New Roman"/>
                <w:color w:val="000000"/>
                <w:sz w:val="16"/>
                <w:szCs w:val="16"/>
                <w:lang w:val="es-CO" w:eastAsia="es-CO"/>
              </w:rPr>
              <w:t>2011</w:t>
            </w:r>
          </w:p>
        </w:tc>
        <w:tc>
          <w:tcPr>
            <w:tcW w:w="541" w:type="dxa"/>
            <w:noWrap/>
            <w:hideMark/>
          </w:tcPr>
          <w:p w:rsidR="007A18D4" w:rsidRPr="00C60335" w:rsidRDefault="007A18D4" w:rsidP="005678E7">
            <w:pPr>
              <w:spacing w:after="0"/>
              <w:jc w:val="center"/>
              <w:cnfStyle w:val="100000000000" w:firstRow="1" w:lastRow="0" w:firstColumn="0" w:lastColumn="0" w:oddVBand="0" w:evenVBand="0" w:oddHBand="0" w:evenHBand="0" w:firstRowFirstColumn="0" w:firstRowLastColumn="0" w:lastRowFirstColumn="0" w:lastRowLastColumn="0"/>
              <w:rPr>
                <w:rFonts w:eastAsia="Times New Roman"/>
                <w:color w:val="000000"/>
                <w:sz w:val="16"/>
                <w:szCs w:val="16"/>
                <w:lang w:val="es-CO" w:eastAsia="es-CO"/>
              </w:rPr>
            </w:pPr>
            <w:r w:rsidRPr="00C60335">
              <w:rPr>
                <w:rFonts w:eastAsia="Times New Roman"/>
                <w:color w:val="000000"/>
                <w:sz w:val="16"/>
                <w:szCs w:val="16"/>
                <w:lang w:val="es-CO" w:eastAsia="es-CO"/>
              </w:rPr>
              <w:t>2012</w:t>
            </w:r>
          </w:p>
        </w:tc>
        <w:tc>
          <w:tcPr>
            <w:tcW w:w="1169" w:type="dxa"/>
            <w:noWrap/>
            <w:hideMark/>
          </w:tcPr>
          <w:p w:rsidR="007A18D4" w:rsidRPr="00C60335" w:rsidRDefault="007A18D4" w:rsidP="005678E7">
            <w:pPr>
              <w:spacing w:after="0"/>
              <w:jc w:val="center"/>
              <w:cnfStyle w:val="100000000000" w:firstRow="1" w:lastRow="0" w:firstColumn="0" w:lastColumn="0" w:oddVBand="0" w:evenVBand="0" w:oddHBand="0" w:evenHBand="0" w:firstRowFirstColumn="0" w:firstRowLastColumn="0" w:lastRowFirstColumn="0" w:lastRowLastColumn="0"/>
              <w:rPr>
                <w:rFonts w:eastAsia="Times New Roman"/>
                <w:color w:val="000000"/>
                <w:sz w:val="16"/>
                <w:szCs w:val="16"/>
                <w:lang w:val="es-CO" w:eastAsia="es-CO"/>
              </w:rPr>
            </w:pPr>
            <w:r w:rsidRPr="00C60335">
              <w:rPr>
                <w:rFonts w:eastAsia="Times New Roman"/>
                <w:color w:val="000000"/>
                <w:sz w:val="16"/>
                <w:szCs w:val="16"/>
                <w:lang w:val="es-CO" w:eastAsia="es-CO"/>
              </w:rPr>
              <w:t>Total general</w:t>
            </w:r>
          </w:p>
        </w:tc>
      </w:tr>
      <w:tr w:rsidR="007A18D4" w:rsidRPr="00C60335" w:rsidTr="005678E7">
        <w:trPr>
          <w:cnfStyle w:val="000000100000" w:firstRow="0" w:lastRow="0" w:firstColumn="0" w:lastColumn="0" w:oddVBand="0" w:evenVBand="0" w:oddHBand="1" w:evenHBand="0" w:firstRowFirstColumn="0" w:firstRowLastColumn="0" w:lastRowFirstColumn="0" w:lastRowLastColumn="0"/>
          <w:trHeight w:val="57"/>
          <w:jc w:val="center"/>
        </w:trPr>
        <w:tc>
          <w:tcPr>
            <w:cnfStyle w:val="001000000000" w:firstRow="0" w:lastRow="0" w:firstColumn="1" w:lastColumn="0" w:oddVBand="0" w:evenVBand="0" w:oddHBand="0" w:evenHBand="0" w:firstRowFirstColumn="0" w:firstRowLastColumn="0" w:lastRowFirstColumn="0" w:lastRowLastColumn="0"/>
            <w:tcW w:w="2199" w:type="dxa"/>
            <w:noWrap/>
            <w:hideMark/>
          </w:tcPr>
          <w:p w:rsidR="007A18D4" w:rsidRPr="00C60335" w:rsidRDefault="007A18D4" w:rsidP="005678E7">
            <w:pPr>
              <w:spacing w:after="0"/>
              <w:jc w:val="left"/>
              <w:rPr>
                <w:rFonts w:eastAsia="Times New Roman"/>
                <w:color w:val="000000"/>
                <w:sz w:val="16"/>
                <w:szCs w:val="16"/>
                <w:lang w:val="es-CO" w:eastAsia="es-CO"/>
              </w:rPr>
            </w:pPr>
            <w:proofErr w:type="spellStart"/>
            <w:r w:rsidRPr="00C60335">
              <w:rPr>
                <w:rFonts w:eastAsia="Times New Roman"/>
                <w:color w:val="000000"/>
                <w:sz w:val="16"/>
                <w:szCs w:val="16"/>
                <w:lang w:val="es-CO" w:eastAsia="es-CO"/>
              </w:rPr>
              <w:t>Bournemouth</w:t>
            </w:r>
            <w:proofErr w:type="spellEnd"/>
            <w:r w:rsidRPr="00C60335">
              <w:rPr>
                <w:rFonts w:eastAsia="Times New Roman"/>
                <w:color w:val="000000"/>
                <w:sz w:val="16"/>
                <w:szCs w:val="16"/>
                <w:lang w:val="es-CO" w:eastAsia="es-CO"/>
              </w:rPr>
              <w:t>, Inglaterra</w:t>
            </w:r>
          </w:p>
        </w:tc>
        <w:tc>
          <w:tcPr>
            <w:tcW w:w="1921" w:type="dxa"/>
            <w:vAlign w:val="bottom"/>
          </w:tcPr>
          <w:p w:rsidR="007A18D4" w:rsidRPr="00C60335" w:rsidRDefault="007A18D4" w:rsidP="005678E7">
            <w:pPr>
              <w:spacing w:after="0"/>
              <w:cnfStyle w:val="000000100000" w:firstRow="0" w:lastRow="0" w:firstColumn="0" w:lastColumn="0" w:oddVBand="0" w:evenVBand="0" w:oddHBand="1" w:evenHBand="0" w:firstRowFirstColumn="0" w:firstRowLastColumn="0" w:lastRowFirstColumn="0" w:lastRowLastColumn="0"/>
              <w:rPr>
                <w:color w:val="000000"/>
                <w:sz w:val="16"/>
                <w:szCs w:val="16"/>
              </w:rPr>
            </w:pPr>
            <w:r w:rsidRPr="00C60335">
              <w:rPr>
                <w:color w:val="000000"/>
                <w:sz w:val="16"/>
                <w:szCs w:val="16"/>
              </w:rPr>
              <w:t xml:space="preserve">British </w:t>
            </w:r>
            <w:proofErr w:type="spellStart"/>
            <w:r w:rsidRPr="00C60335">
              <w:rPr>
                <w:color w:val="000000"/>
                <w:sz w:val="16"/>
                <w:szCs w:val="16"/>
              </w:rPr>
              <w:t>Study</w:t>
            </w:r>
            <w:proofErr w:type="spellEnd"/>
            <w:r w:rsidRPr="00C60335">
              <w:rPr>
                <w:color w:val="000000"/>
                <w:sz w:val="16"/>
                <w:szCs w:val="16"/>
              </w:rPr>
              <w:t xml:space="preserve"> Centres</w:t>
            </w:r>
          </w:p>
        </w:tc>
        <w:tc>
          <w:tcPr>
            <w:tcW w:w="621" w:type="dxa"/>
            <w:noWrap/>
            <w:hideMark/>
          </w:tcPr>
          <w:p w:rsidR="007A18D4" w:rsidRPr="00C60335" w:rsidRDefault="007A18D4" w:rsidP="005678E7">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lang w:val="es-CO" w:eastAsia="es-CO"/>
              </w:rPr>
            </w:pPr>
          </w:p>
        </w:tc>
        <w:tc>
          <w:tcPr>
            <w:tcW w:w="541" w:type="dxa"/>
            <w:noWrap/>
            <w:hideMark/>
          </w:tcPr>
          <w:p w:rsidR="007A18D4" w:rsidRPr="00C60335" w:rsidRDefault="007A18D4" w:rsidP="005678E7">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lang w:val="es-CO" w:eastAsia="es-CO"/>
              </w:rPr>
            </w:pPr>
          </w:p>
        </w:tc>
        <w:tc>
          <w:tcPr>
            <w:tcW w:w="541" w:type="dxa"/>
            <w:noWrap/>
            <w:hideMark/>
          </w:tcPr>
          <w:p w:rsidR="007A18D4" w:rsidRPr="00C60335" w:rsidRDefault="007A18D4" w:rsidP="005678E7">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lang w:val="es-CO" w:eastAsia="es-CO"/>
              </w:rPr>
            </w:pPr>
            <w:r w:rsidRPr="00C60335">
              <w:rPr>
                <w:rFonts w:eastAsia="Times New Roman"/>
                <w:color w:val="000000"/>
                <w:sz w:val="16"/>
                <w:szCs w:val="16"/>
                <w:lang w:val="es-CO" w:eastAsia="es-CO"/>
              </w:rPr>
              <w:t>6</w:t>
            </w:r>
          </w:p>
        </w:tc>
        <w:tc>
          <w:tcPr>
            <w:tcW w:w="541" w:type="dxa"/>
            <w:noWrap/>
            <w:hideMark/>
          </w:tcPr>
          <w:p w:rsidR="007A18D4" w:rsidRPr="00C60335" w:rsidRDefault="007A18D4" w:rsidP="005678E7">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lang w:val="es-CO" w:eastAsia="es-CO"/>
              </w:rPr>
            </w:pPr>
          </w:p>
        </w:tc>
        <w:tc>
          <w:tcPr>
            <w:tcW w:w="1169" w:type="dxa"/>
            <w:noWrap/>
            <w:hideMark/>
          </w:tcPr>
          <w:p w:rsidR="007A18D4" w:rsidRPr="00C60335" w:rsidRDefault="007A18D4" w:rsidP="005678E7">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lang w:val="es-CO" w:eastAsia="es-CO"/>
              </w:rPr>
            </w:pPr>
            <w:r w:rsidRPr="00C60335">
              <w:rPr>
                <w:rFonts w:eastAsia="Times New Roman"/>
                <w:color w:val="000000"/>
                <w:sz w:val="16"/>
                <w:szCs w:val="16"/>
                <w:lang w:val="es-CO" w:eastAsia="es-CO"/>
              </w:rPr>
              <w:t>6</w:t>
            </w:r>
          </w:p>
        </w:tc>
      </w:tr>
      <w:tr w:rsidR="007A18D4" w:rsidRPr="00C60335" w:rsidTr="005678E7">
        <w:trPr>
          <w:cnfStyle w:val="000000010000" w:firstRow="0" w:lastRow="0" w:firstColumn="0" w:lastColumn="0" w:oddVBand="0" w:evenVBand="0" w:oddHBand="0" w:evenHBand="1" w:firstRowFirstColumn="0" w:firstRowLastColumn="0" w:lastRowFirstColumn="0" w:lastRowLastColumn="0"/>
          <w:trHeight w:val="57"/>
          <w:jc w:val="center"/>
        </w:trPr>
        <w:tc>
          <w:tcPr>
            <w:cnfStyle w:val="001000000000" w:firstRow="0" w:lastRow="0" w:firstColumn="1" w:lastColumn="0" w:oddVBand="0" w:evenVBand="0" w:oddHBand="0" w:evenHBand="0" w:firstRowFirstColumn="0" w:firstRowLastColumn="0" w:lastRowFirstColumn="0" w:lastRowLastColumn="0"/>
            <w:tcW w:w="2199" w:type="dxa"/>
            <w:noWrap/>
            <w:hideMark/>
          </w:tcPr>
          <w:p w:rsidR="007A18D4" w:rsidRPr="00C60335" w:rsidRDefault="007A18D4" w:rsidP="005678E7">
            <w:pPr>
              <w:spacing w:after="0"/>
              <w:jc w:val="left"/>
              <w:rPr>
                <w:rFonts w:eastAsia="Times New Roman"/>
                <w:color w:val="000000"/>
                <w:sz w:val="16"/>
                <w:szCs w:val="16"/>
                <w:lang w:val="es-CO" w:eastAsia="es-CO"/>
              </w:rPr>
            </w:pPr>
            <w:r w:rsidRPr="00C60335">
              <w:rPr>
                <w:rFonts w:eastAsia="Times New Roman"/>
                <w:color w:val="000000"/>
                <w:sz w:val="16"/>
                <w:szCs w:val="16"/>
                <w:lang w:val="es-CO" w:eastAsia="es-CO"/>
              </w:rPr>
              <w:lastRenderedPageBreak/>
              <w:t>Bristol, Inglaterra</w:t>
            </w:r>
          </w:p>
        </w:tc>
        <w:tc>
          <w:tcPr>
            <w:tcW w:w="1921" w:type="dxa"/>
            <w:vAlign w:val="bottom"/>
          </w:tcPr>
          <w:p w:rsidR="007A18D4" w:rsidRPr="00C60335" w:rsidRDefault="007A18D4" w:rsidP="005678E7">
            <w:pPr>
              <w:spacing w:after="0"/>
              <w:cnfStyle w:val="000000010000" w:firstRow="0" w:lastRow="0" w:firstColumn="0" w:lastColumn="0" w:oddVBand="0" w:evenVBand="0" w:oddHBand="0" w:evenHBand="1" w:firstRowFirstColumn="0" w:firstRowLastColumn="0" w:lastRowFirstColumn="0" w:lastRowLastColumn="0"/>
              <w:rPr>
                <w:color w:val="000000"/>
                <w:sz w:val="16"/>
                <w:szCs w:val="16"/>
              </w:rPr>
            </w:pPr>
            <w:r w:rsidRPr="00C60335">
              <w:rPr>
                <w:color w:val="000000"/>
                <w:sz w:val="16"/>
                <w:szCs w:val="16"/>
              </w:rPr>
              <w:t xml:space="preserve">EC Bristol English </w:t>
            </w:r>
            <w:proofErr w:type="spellStart"/>
            <w:r w:rsidRPr="00C60335">
              <w:rPr>
                <w:color w:val="000000"/>
                <w:sz w:val="16"/>
                <w:szCs w:val="16"/>
              </w:rPr>
              <w:t>School</w:t>
            </w:r>
            <w:proofErr w:type="spellEnd"/>
          </w:p>
        </w:tc>
        <w:tc>
          <w:tcPr>
            <w:tcW w:w="621" w:type="dxa"/>
            <w:noWrap/>
            <w:hideMark/>
          </w:tcPr>
          <w:p w:rsidR="007A18D4" w:rsidRPr="00C60335" w:rsidRDefault="007A18D4" w:rsidP="005678E7">
            <w:pPr>
              <w:spacing w:after="0"/>
              <w:jc w:val="center"/>
              <w:cnfStyle w:val="000000010000" w:firstRow="0" w:lastRow="0" w:firstColumn="0" w:lastColumn="0" w:oddVBand="0" w:evenVBand="0" w:oddHBand="0" w:evenHBand="1" w:firstRowFirstColumn="0" w:firstRowLastColumn="0" w:lastRowFirstColumn="0" w:lastRowLastColumn="0"/>
              <w:rPr>
                <w:rFonts w:eastAsia="Times New Roman"/>
                <w:color w:val="000000"/>
                <w:sz w:val="16"/>
                <w:szCs w:val="16"/>
                <w:lang w:val="es-CO" w:eastAsia="es-CO"/>
              </w:rPr>
            </w:pPr>
          </w:p>
        </w:tc>
        <w:tc>
          <w:tcPr>
            <w:tcW w:w="541" w:type="dxa"/>
            <w:noWrap/>
            <w:hideMark/>
          </w:tcPr>
          <w:p w:rsidR="007A18D4" w:rsidRPr="00C60335" w:rsidRDefault="007A18D4" w:rsidP="005678E7">
            <w:pPr>
              <w:spacing w:after="0"/>
              <w:jc w:val="center"/>
              <w:cnfStyle w:val="000000010000" w:firstRow="0" w:lastRow="0" w:firstColumn="0" w:lastColumn="0" w:oddVBand="0" w:evenVBand="0" w:oddHBand="0" w:evenHBand="1" w:firstRowFirstColumn="0" w:firstRowLastColumn="0" w:lastRowFirstColumn="0" w:lastRowLastColumn="0"/>
              <w:rPr>
                <w:rFonts w:eastAsia="Times New Roman"/>
                <w:color w:val="000000"/>
                <w:sz w:val="16"/>
                <w:szCs w:val="16"/>
                <w:lang w:val="es-CO" w:eastAsia="es-CO"/>
              </w:rPr>
            </w:pPr>
          </w:p>
        </w:tc>
        <w:tc>
          <w:tcPr>
            <w:tcW w:w="541" w:type="dxa"/>
            <w:noWrap/>
            <w:hideMark/>
          </w:tcPr>
          <w:p w:rsidR="007A18D4" w:rsidRPr="00C60335" w:rsidRDefault="007A18D4" w:rsidP="005678E7">
            <w:pPr>
              <w:spacing w:after="0"/>
              <w:jc w:val="center"/>
              <w:cnfStyle w:val="000000010000" w:firstRow="0" w:lastRow="0" w:firstColumn="0" w:lastColumn="0" w:oddVBand="0" w:evenVBand="0" w:oddHBand="0" w:evenHBand="1" w:firstRowFirstColumn="0" w:firstRowLastColumn="0" w:lastRowFirstColumn="0" w:lastRowLastColumn="0"/>
              <w:rPr>
                <w:rFonts w:eastAsia="Times New Roman"/>
                <w:color w:val="000000"/>
                <w:sz w:val="16"/>
                <w:szCs w:val="16"/>
                <w:lang w:val="es-CO" w:eastAsia="es-CO"/>
              </w:rPr>
            </w:pPr>
            <w:r w:rsidRPr="00C60335">
              <w:rPr>
                <w:rFonts w:eastAsia="Times New Roman"/>
                <w:color w:val="000000"/>
                <w:sz w:val="16"/>
                <w:szCs w:val="16"/>
                <w:lang w:val="es-CO" w:eastAsia="es-CO"/>
              </w:rPr>
              <w:t>12</w:t>
            </w:r>
          </w:p>
        </w:tc>
        <w:tc>
          <w:tcPr>
            <w:tcW w:w="541" w:type="dxa"/>
            <w:noWrap/>
            <w:hideMark/>
          </w:tcPr>
          <w:p w:rsidR="007A18D4" w:rsidRPr="00C60335" w:rsidRDefault="007A18D4" w:rsidP="005678E7">
            <w:pPr>
              <w:spacing w:after="0"/>
              <w:jc w:val="center"/>
              <w:cnfStyle w:val="000000010000" w:firstRow="0" w:lastRow="0" w:firstColumn="0" w:lastColumn="0" w:oddVBand="0" w:evenVBand="0" w:oddHBand="0" w:evenHBand="1" w:firstRowFirstColumn="0" w:firstRowLastColumn="0" w:lastRowFirstColumn="0" w:lastRowLastColumn="0"/>
              <w:rPr>
                <w:rFonts w:eastAsia="Times New Roman"/>
                <w:color w:val="000000"/>
                <w:sz w:val="16"/>
                <w:szCs w:val="16"/>
                <w:lang w:val="es-CO" w:eastAsia="es-CO"/>
              </w:rPr>
            </w:pPr>
          </w:p>
        </w:tc>
        <w:tc>
          <w:tcPr>
            <w:tcW w:w="1169" w:type="dxa"/>
            <w:noWrap/>
            <w:hideMark/>
          </w:tcPr>
          <w:p w:rsidR="007A18D4" w:rsidRPr="00C60335" w:rsidRDefault="007A18D4" w:rsidP="005678E7">
            <w:pPr>
              <w:spacing w:after="0"/>
              <w:jc w:val="center"/>
              <w:cnfStyle w:val="000000010000" w:firstRow="0" w:lastRow="0" w:firstColumn="0" w:lastColumn="0" w:oddVBand="0" w:evenVBand="0" w:oddHBand="0" w:evenHBand="1" w:firstRowFirstColumn="0" w:firstRowLastColumn="0" w:lastRowFirstColumn="0" w:lastRowLastColumn="0"/>
              <w:rPr>
                <w:rFonts w:eastAsia="Times New Roman"/>
                <w:color w:val="000000"/>
                <w:sz w:val="16"/>
                <w:szCs w:val="16"/>
                <w:lang w:val="es-CO" w:eastAsia="es-CO"/>
              </w:rPr>
            </w:pPr>
            <w:r w:rsidRPr="00C60335">
              <w:rPr>
                <w:rFonts w:eastAsia="Times New Roman"/>
                <w:color w:val="000000"/>
                <w:sz w:val="16"/>
                <w:szCs w:val="16"/>
                <w:lang w:val="es-CO" w:eastAsia="es-CO"/>
              </w:rPr>
              <w:t>12</w:t>
            </w:r>
          </w:p>
        </w:tc>
      </w:tr>
      <w:tr w:rsidR="007A18D4" w:rsidRPr="00C60335" w:rsidTr="005678E7">
        <w:trPr>
          <w:cnfStyle w:val="000000100000" w:firstRow="0" w:lastRow="0" w:firstColumn="0" w:lastColumn="0" w:oddVBand="0" w:evenVBand="0" w:oddHBand="1" w:evenHBand="0" w:firstRowFirstColumn="0" w:firstRowLastColumn="0" w:lastRowFirstColumn="0" w:lastRowLastColumn="0"/>
          <w:trHeight w:val="57"/>
          <w:jc w:val="center"/>
        </w:trPr>
        <w:tc>
          <w:tcPr>
            <w:cnfStyle w:val="001000000000" w:firstRow="0" w:lastRow="0" w:firstColumn="1" w:lastColumn="0" w:oddVBand="0" w:evenVBand="0" w:oddHBand="0" w:evenHBand="0" w:firstRowFirstColumn="0" w:firstRowLastColumn="0" w:lastRowFirstColumn="0" w:lastRowLastColumn="0"/>
            <w:tcW w:w="2199" w:type="dxa"/>
            <w:noWrap/>
            <w:hideMark/>
          </w:tcPr>
          <w:p w:rsidR="007A18D4" w:rsidRPr="00C60335" w:rsidRDefault="007A18D4" w:rsidP="005678E7">
            <w:pPr>
              <w:spacing w:after="0"/>
              <w:jc w:val="left"/>
              <w:rPr>
                <w:rFonts w:eastAsia="Times New Roman"/>
                <w:color w:val="000000"/>
                <w:sz w:val="16"/>
                <w:szCs w:val="16"/>
                <w:lang w:val="es-CO" w:eastAsia="es-CO"/>
              </w:rPr>
            </w:pPr>
            <w:proofErr w:type="spellStart"/>
            <w:r w:rsidRPr="00C60335">
              <w:rPr>
                <w:rFonts w:eastAsia="Times New Roman"/>
                <w:color w:val="000000"/>
                <w:sz w:val="16"/>
                <w:szCs w:val="16"/>
                <w:lang w:val="es-CO" w:eastAsia="es-CO"/>
              </w:rPr>
              <w:t>Indianapolis</w:t>
            </w:r>
            <w:proofErr w:type="spellEnd"/>
            <w:r w:rsidRPr="00C60335">
              <w:rPr>
                <w:rFonts w:eastAsia="Times New Roman"/>
                <w:color w:val="000000"/>
                <w:sz w:val="16"/>
                <w:szCs w:val="16"/>
                <w:lang w:val="es-CO" w:eastAsia="es-CO"/>
              </w:rPr>
              <w:t>, Estados Unidos</w:t>
            </w:r>
          </w:p>
        </w:tc>
        <w:tc>
          <w:tcPr>
            <w:tcW w:w="1921" w:type="dxa"/>
            <w:vAlign w:val="bottom"/>
          </w:tcPr>
          <w:p w:rsidR="007A18D4" w:rsidRPr="00C60335" w:rsidRDefault="007A18D4" w:rsidP="005678E7">
            <w:pPr>
              <w:spacing w:after="0"/>
              <w:cnfStyle w:val="000000100000" w:firstRow="0" w:lastRow="0" w:firstColumn="0" w:lastColumn="0" w:oddVBand="0" w:evenVBand="0" w:oddHBand="1" w:evenHBand="0" w:firstRowFirstColumn="0" w:firstRowLastColumn="0" w:lastRowFirstColumn="0" w:lastRowLastColumn="0"/>
              <w:rPr>
                <w:color w:val="000000"/>
                <w:sz w:val="16"/>
                <w:szCs w:val="16"/>
              </w:rPr>
            </w:pPr>
            <w:r w:rsidRPr="00C60335">
              <w:rPr>
                <w:color w:val="000000"/>
                <w:sz w:val="16"/>
                <w:szCs w:val="16"/>
              </w:rPr>
              <w:t xml:space="preserve">ELS </w:t>
            </w:r>
            <w:proofErr w:type="spellStart"/>
            <w:r w:rsidRPr="00C60335">
              <w:rPr>
                <w:color w:val="000000"/>
                <w:sz w:val="16"/>
                <w:szCs w:val="16"/>
              </w:rPr>
              <w:t>Language</w:t>
            </w:r>
            <w:proofErr w:type="spellEnd"/>
            <w:r w:rsidRPr="00C60335">
              <w:rPr>
                <w:color w:val="000000"/>
                <w:sz w:val="16"/>
                <w:szCs w:val="16"/>
              </w:rPr>
              <w:t xml:space="preserve"> Center</w:t>
            </w:r>
          </w:p>
        </w:tc>
        <w:tc>
          <w:tcPr>
            <w:tcW w:w="621" w:type="dxa"/>
            <w:noWrap/>
            <w:hideMark/>
          </w:tcPr>
          <w:p w:rsidR="007A18D4" w:rsidRPr="00C60335" w:rsidRDefault="007A18D4" w:rsidP="005678E7">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lang w:val="es-CO" w:eastAsia="es-CO"/>
              </w:rPr>
            </w:pPr>
          </w:p>
        </w:tc>
        <w:tc>
          <w:tcPr>
            <w:tcW w:w="541" w:type="dxa"/>
            <w:noWrap/>
            <w:hideMark/>
          </w:tcPr>
          <w:p w:rsidR="007A18D4" w:rsidRPr="00C60335" w:rsidRDefault="007A18D4" w:rsidP="005678E7">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lang w:val="es-CO" w:eastAsia="es-CO"/>
              </w:rPr>
            </w:pPr>
          </w:p>
        </w:tc>
        <w:tc>
          <w:tcPr>
            <w:tcW w:w="541" w:type="dxa"/>
            <w:noWrap/>
            <w:hideMark/>
          </w:tcPr>
          <w:p w:rsidR="007A18D4" w:rsidRPr="00C60335" w:rsidRDefault="007A18D4" w:rsidP="005678E7">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lang w:val="es-CO" w:eastAsia="es-CO"/>
              </w:rPr>
            </w:pPr>
          </w:p>
        </w:tc>
        <w:tc>
          <w:tcPr>
            <w:tcW w:w="541" w:type="dxa"/>
            <w:noWrap/>
            <w:hideMark/>
          </w:tcPr>
          <w:p w:rsidR="007A18D4" w:rsidRPr="00C60335" w:rsidRDefault="007A18D4" w:rsidP="005678E7">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lang w:val="es-CO" w:eastAsia="es-CO"/>
              </w:rPr>
            </w:pPr>
            <w:r w:rsidRPr="00C60335">
              <w:rPr>
                <w:rFonts w:eastAsia="Times New Roman"/>
                <w:color w:val="000000"/>
                <w:sz w:val="16"/>
                <w:szCs w:val="16"/>
                <w:lang w:val="es-CO" w:eastAsia="es-CO"/>
              </w:rPr>
              <w:t>2</w:t>
            </w:r>
          </w:p>
        </w:tc>
        <w:tc>
          <w:tcPr>
            <w:tcW w:w="1169" w:type="dxa"/>
            <w:noWrap/>
            <w:hideMark/>
          </w:tcPr>
          <w:p w:rsidR="007A18D4" w:rsidRPr="00C60335" w:rsidRDefault="007A18D4" w:rsidP="005678E7">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lang w:val="es-CO" w:eastAsia="es-CO"/>
              </w:rPr>
            </w:pPr>
            <w:r w:rsidRPr="00C60335">
              <w:rPr>
                <w:rFonts w:eastAsia="Times New Roman"/>
                <w:color w:val="000000"/>
                <w:sz w:val="16"/>
                <w:szCs w:val="16"/>
                <w:lang w:val="es-CO" w:eastAsia="es-CO"/>
              </w:rPr>
              <w:t>2</w:t>
            </w:r>
          </w:p>
        </w:tc>
      </w:tr>
      <w:tr w:rsidR="007A18D4" w:rsidRPr="00C60335" w:rsidTr="005678E7">
        <w:trPr>
          <w:cnfStyle w:val="000000010000" w:firstRow="0" w:lastRow="0" w:firstColumn="0" w:lastColumn="0" w:oddVBand="0" w:evenVBand="0" w:oddHBand="0" w:evenHBand="1" w:firstRowFirstColumn="0" w:firstRowLastColumn="0" w:lastRowFirstColumn="0" w:lastRowLastColumn="0"/>
          <w:trHeight w:val="57"/>
          <w:jc w:val="center"/>
        </w:trPr>
        <w:tc>
          <w:tcPr>
            <w:cnfStyle w:val="001000000000" w:firstRow="0" w:lastRow="0" w:firstColumn="1" w:lastColumn="0" w:oddVBand="0" w:evenVBand="0" w:oddHBand="0" w:evenHBand="0" w:firstRowFirstColumn="0" w:firstRowLastColumn="0" w:lastRowFirstColumn="0" w:lastRowLastColumn="0"/>
            <w:tcW w:w="2199" w:type="dxa"/>
            <w:noWrap/>
            <w:hideMark/>
          </w:tcPr>
          <w:p w:rsidR="007A18D4" w:rsidRPr="00C60335" w:rsidRDefault="007A18D4" w:rsidP="005678E7">
            <w:pPr>
              <w:spacing w:after="0"/>
              <w:jc w:val="left"/>
              <w:rPr>
                <w:rFonts w:eastAsia="Times New Roman"/>
                <w:color w:val="000000"/>
                <w:sz w:val="16"/>
                <w:szCs w:val="16"/>
                <w:lang w:val="es-CO" w:eastAsia="es-CO"/>
              </w:rPr>
            </w:pPr>
            <w:r w:rsidRPr="00C60335">
              <w:rPr>
                <w:rFonts w:eastAsia="Times New Roman"/>
                <w:color w:val="000000"/>
                <w:sz w:val="16"/>
                <w:szCs w:val="16"/>
                <w:lang w:val="es-CO" w:eastAsia="es-CO"/>
              </w:rPr>
              <w:t>Missouri, Estados Unidos</w:t>
            </w:r>
          </w:p>
        </w:tc>
        <w:tc>
          <w:tcPr>
            <w:tcW w:w="1921" w:type="dxa"/>
            <w:vAlign w:val="bottom"/>
          </w:tcPr>
          <w:p w:rsidR="007A18D4" w:rsidRPr="00C60335" w:rsidRDefault="007A18D4" w:rsidP="005678E7">
            <w:pPr>
              <w:spacing w:after="0"/>
              <w:cnfStyle w:val="000000010000" w:firstRow="0" w:lastRow="0" w:firstColumn="0" w:lastColumn="0" w:oddVBand="0" w:evenVBand="0" w:oddHBand="0" w:evenHBand="1" w:firstRowFirstColumn="0" w:firstRowLastColumn="0" w:lastRowFirstColumn="0" w:lastRowLastColumn="0"/>
              <w:rPr>
                <w:color w:val="000000"/>
                <w:sz w:val="16"/>
                <w:szCs w:val="16"/>
              </w:rPr>
            </w:pPr>
            <w:r w:rsidRPr="00C60335">
              <w:rPr>
                <w:color w:val="000000"/>
                <w:sz w:val="16"/>
                <w:szCs w:val="16"/>
              </w:rPr>
              <w:t xml:space="preserve">Missouri </w:t>
            </w:r>
            <w:proofErr w:type="spellStart"/>
            <w:r w:rsidRPr="00C60335">
              <w:rPr>
                <w:color w:val="000000"/>
                <w:sz w:val="16"/>
                <w:szCs w:val="16"/>
              </w:rPr>
              <w:t>State</w:t>
            </w:r>
            <w:proofErr w:type="spellEnd"/>
            <w:r w:rsidRPr="00C60335">
              <w:rPr>
                <w:color w:val="000000"/>
                <w:sz w:val="16"/>
                <w:szCs w:val="16"/>
              </w:rPr>
              <w:t xml:space="preserve"> </w:t>
            </w:r>
            <w:proofErr w:type="spellStart"/>
            <w:r w:rsidRPr="00C60335">
              <w:rPr>
                <w:color w:val="000000"/>
                <w:sz w:val="16"/>
                <w:szCs w:val="16"/>
              </w:rPr>
              <w:t>University</w:t>
            </w:r>
            <w:proofErr w:type="spellEnd"/>
          </w:p>
        </w:tc>
        <w:tc>
          <w:tcPr>
            <w:tcW w:w="621" w:type="dxa"/>
            <w:noWrap/>
            <w:hideMark/>
          </w:tcPr>
          <w:p w:rsidR="007A18D4" w:rsidRPr="00C60335" w:rsidRDefault="007A18D4" w:rsidP="005678E7">
            <w:pPr>
              <w:spacing w:after="0"/>
              <w:jc w:val="center"/>
              <w:cnfStyle w:val="000000010000" w:firstRow="0" w:lastRow="0" w:firstColumn="0" w:lastColumn="0" w:oddVBand="0" w:evenVBand="0" w:oddHBand="0" w:evenHBand="1" w:firstRowFirstColumn="0" w:firstRowLastColumn="0" w:lastRowFirstColumn="0" w:lastRowLastColumn="0"/>
              <w:rPr>
                <w:rFonts w:eastAsia="Times New Roman"/>
                <w:color w:val="000000"/>
                <w:sz w:val="16"/>
                <w:szCs w:val="16"/>
                <w:lang w:val="es-CO" w:eastAsia="es-CO"/>
              </w:rPr>
            </w:pPr>
            <w:r w:rsidRPr="00C60335">
              <w:rPr>
                <w:rFonts w:eastAsia="Times New Roman"/>
                <w:color w:val="000000"/>
                <w:sz w:val="16"/>
                <w:szCs w:val="16"/>
                <w:lang w:val="es-CO" w:eastAsia="es-CO"/>
              </w:rPr>
              <w:t>11</w:t>
            </w:r>
          </w:p>
        </w:tc>
        <w:tc>
          <w:tcPr>
            <w:tcW w:w="541" w:type="dxa"/>
            <w:noWrap/>
            <w:hideMark/>
          </w:tcPr>
          <w:p w:rsidR="007A18D4" w:rsidRPr="00C60335" w:rsidRDefault="007A18D4" w:rsidP="005678E7">
            <w:pPr>
              <w:spacing w:after="0"/>
              <w:jc w:val="center"/>
              <w:cnfStyle w:val="000000010000" w:firstRow="0" w:lastRow="0" w:firstColumn="0" w:lastColumn="0" w:oddVBand="0" w:evenVBand="0" w:oddHBand="0" w:evenHBand="1" w:firstRowFirstColumn="0" w:firstRowLastColumn="0" w:lastRowFirstColumn="0" w:lastRowLastColumn="0"/>
              <w:rPr>
                <w:rFonts w:eastAsia="Times New Roman"/>
                <w:color w:val="000000"/>
                <w:sz w:val="16"/>
                <w:szCs w:val="16"/>
                <w:lang w:val="es-CO" w:eastAsia="es-CO"/>
              </w:rPr>
            </w:pPr>
            <w:r w:rsidRPr="00C60335">
              <w:rPr>
                <w:rFonts w:eastAsia="Times New Roman"/>
                <w:color w:val="000000"/>
                <w:sz w:val="16"/>
                <w:szCs w:val="16"/>
                <w:lang w:val="es-CO" w:eastAsia="es-CO"/>
              </w:rPr>
              <w:t>12</w:t>
            </w:r>
          </w:p>
        </w:tc>
        <w:tc>
          <w:tcPr>
            <w:tcW w:w="541" w:type="dxa"/>
            <w:noWrap/>
            <w:hideMark/>
          </w:tcPr>
          <w:p w:rsidR="007A18D4" w:rsidRPr="00C60335" w:rsidRDefault="007A18D4" w:rsidP="005678E7">
            <w:pPr>
              <w:spacing w:after="0"/>
              <w:jc w:val="center"/>
              <w:cnfStyle w:val="000000010000" w:firstRow="0" w:lastRow="0" w:firstColumn="0" w:lastColumn="0" w:oddVBand="0" w:evenVBand="0" w:oddHBand="0" w:evenHBand="1" w:firstRowFirstColumn="0" w:firstRowLastColumn="0" w:lastRowFirstColumn="0" w:lastRowLastColumn="0"/>
              <w:rPr>
                <w:rFonts w:eastAsia="Times New Roman"/>
                <w:color w:val="000000"/>
                <w:sz w:val="16"/>
                <w:szCs w:val="16"/>
                <w:lang w:val="es-CO" w:eastAsia="es-CO"/>
              </w:rPr>
            </w:pPr>
            <w:r w:rsidRPr="00C60335">
              <w:rPr>
                <w:rFonts w:eastAsia="Times New Roman"/>
                <w:color w:val="000000"/>
                <w:sz w:val="16"/>
                <w:szCs w:val="16"/>
                <w:lang w:val="es-CO" w:eastAsia="es-CO"/>
              </w:rPr>
              <w:t>2</w:t>
            </w:r>
          </w:p>
        </w:tc>
        <w:tc>
          <w:tcPr>
            <w:tcW w:w="541" w:type="dxa"/>
            <w:noWrap/>
            <w:hideMark/>
          </w:tcPr>
          <w:p w:rsidR="007A18D4" w:rsidRPr="00C60335" w:rsidRDefault="007A18D4" w:rsidP="005678E7">
            <w:pPr>
              <w:spacing w:after="0"/>
              <w:jc w:val="center"/>
              <w:cnfStyle w:val="000000010000" w:firstRow="0" w:lastRow="0" w:firstColumn="0" w:lastColumn="0" w:oddVBand="0" w:evenVBand="0" w:oddHBand="0" w:evenHBand="1" w:firstRowFirstColumn="0" w:firstRowLastColumn="0" w:lastRowFirstColumn="0" w:lastRowLastColumn="0"/>
              <w:rPr>
                <w:rFonts w:eastAsia="Times New Roman"/>
                <w:color w:val="000000"/>
                <w:sz w:val="16"/>
                <w:szCs w:val="16"/>
                <w:lang w:val="es-CO" w:eastAsia="es-CO"/>
              </w:rPr>
            </w:pPr>
            <w:r w:rsidRPr="00C60335">
              <w:rPr>
                <w:rFonts w:eastAsia="Times New Roman"/>
                <w:color w:val="000000"/>
                <w:sz w:val="16"/>
                <w:szCs w:val="16"/>
                <w:lang w:val="es-CO" w:eastAsia="es-CO"/>
              </w:rPr>
              <w:t>1</w:t>
            </w:r>
          </w:p>
        </w:tc>
        <w:tc>
          <w:tcPr>
            <w:tcW w:w="1169" w:type="dxa"/>
            <w:noWrap/>
            <w:hideMark/>
          </w:tcPr>
          <w:p w:rsidR="007A18D4" w:rsidRPr="00C60335" w:rsidRDefault="007A18D4" w:rsidP="005678E7">
            <w:pPr>
              <w:spacing w:after="0"/>
              <w:jc w:val="center"/>
              <w:cnfStyle w:val="000000010000" w:firstRow="0" w:lastRow="0" w:firstColumn="0" w:lastColumn="0" w:oddVBand="0" w:evenVBand="0" w:oddHBand="0" w:evenHBand="1" w:firstRowFirstColumn="0" w:firstRowLastColumn="0" w:lastRowFirstColumn="0" w:lastRowLastColumn="0"/>
              <w:rPr>
                <w:rFonts w:eastAsia="Times New Roman"/>
                <w:color w:val="000000"/>
                <w:sz w:val="16"/>
                <w:szCs w:val="16"/>
                <w:lang w:val="es-CO" w:eastAsia="es-CO"/>
              </w:rPr>
            </w:pPr>
            <w:r w:rsidRPr="00C60335">
              <w:rPr>
                <w:rFonts w:eastAsia="Times New Roman"/>
                <w:color w:val="000000"/>
                <w:sz w:val="16"/>
                <w:szCs w:val="16"/>
                <w:lang w:val="es-CO" w:eastAsia="es-CO"/>
              </w:rPr>
              <w:t>26</w:t>
            </w:r>
          </w:p>
        </w:tc>
      </w:tr>
      <w:tr w:rsidR="007A18D4" w:rsidRPr="00C60335" w:rsidTr="005678E7">
        <w:trPr>
          <w:cnfStyle w:val="000000100000" w:firstRow="0" w:lastRow="0" w:firstColumn="0" w:lastColumn="0" w:oddVBand="0" w:evenVBand="0" w:oddHBand="1" w:evenHBand="0" w:firstRowFirstColumn="0" w:firstRowLastColumn="0" w:lastRowFirstColumn="0" w:lastRowLastColumn="0"/>
          <w:trHeight w:val="57"/>
          <w:jc w:val="center"/>
        </w:trPr>
        <w:tc>
          <w:tcPr>
            <w:cnfStyle w:val="001000000000" w:firstRow="0" w:lastRow="0" w:firstColumn="1" w:lastColumn="0" w:oddVBand="0" w:evenVBand="0" w:oddHBand="0" w:evenHBand="0" w:firstRowFirstColumn="0" w:firstRowLastColumn="0" w:lastRowFirstColumn="0" w:lastRowLastColumn="0"/>
            <w:tcW w:w="2199" w:type="dxa"/>
            <w:noWrap/>
            <w:hideMark/>
          </w:tcPr>
          <w:p w:rsidR="007A18D4" w:rsidRPr="00C60335" w:rsidRDefault="007A18D4" w:rsidP="005678E7">
            <w:pPr>
              <w:spacing w:after="0"/>
              <w:jc w:val="left"/>
              <w:rPr>
                <w:rFonts w:eastAsia="Times New Roman"/>
                <w:color w:val="000000"/>
                <w:sz w:val="16"/>
                <w:szCs w:val="16"/>
                <w:lang w:val="es-CO" w:eastAsia="es-CO"/>
              </w:rPr>
            </w:pPr>
            <w:r w:rsidRPr="00C60335">
              <w:rPr>
                <w:rFonts w:eastAsia="Times New Roman"/>
                <w:color w:val="000000"/>
                <w:sz w:val="16"/>
                <w:szCs w:val="16"/>
                <w:lang w:val="es-CO" w:eastAsia="es-CO"/>
              </w:rPr>
              <w:t>Nueva York, Estados Unidos</w:t>
            </w:r>
          </w:p>
        </w:tc>
        <w:tc>
          <w:tcPr>
            <w:tcW w:w="1921" w:type="dxa"/>
            <w:vAlign w:val="bottom"/>
          </w:tcPr>
          <w:p w:rsidR="007A18D4" w:rsidRPr="00C60335" w:rsidRDefault="007A18D4" w:rsidP="005678E7">
            <w:pPr>
              <w:spacing w:after="0"/>
              <w:cnfStyle w:val="000000100000" w:firstRow="0" w:lastRow="0" w:firstColumn="0" w:lastColumn="0" w:oddVBand="0" w:evenVBand="0" w:oddHBand="1" w:evenHBand="0" w:firstRowFirstColumn="0" w:firstRowLastColumn="0" w:lastRowFirstColumn="0" w:lastRowLastColumn="0"/>
              <w:rPr>
                <w:color w:val="000000"/>
                <w:sz w:val="16"/>
                <w:szCs w:val="16"/>
              </w:rPr>
            </w:pPr>
            <w:r w:rsidRPr="00C60335">
              <w:rPr>
                <w:color w:val="000000"/>
                <w:sz w:val="16"/>
                <w:szCs w:val="16"/>
              </w:rPr>
              <w:t>LSI New York</w:t>
            </w:r>
          </w:p>
        </w:tc>
        <w:tc>
          <w:tcPr>
            <w:tcW w:w="621" w:type="dxa"/>
            <w:noWrap/>
            <w:hideMark/>
          </w:tcPr>
          <w:p w:rsidR="007A18D4" w:rsidRPr="00C60335" w:rsidRDefault="007A18D4" w:rsidP="005678E7">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lang w:val="es-CO" w:eastAsia="es-CO"/>
              </w:rPr>
            </w:pPr>
          </w:p>
        </w:tc>
        <w:tc>
          <w:tcPr>
            <w:tcW w:w="541" w:type="dxa"/>
            <w:noWrap/>
            <w:hideMark/>
          </w:tcPr>
          <w:p w:rsidR="007A18D4" w:rsidRPr="00C60335" w:rsidRDefault="007A18D4" w:rsidP="005678E7">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lang w:val="es-CO" w:eastAsia="es-CO"/>
              </w:rPr>
            </w:pPr>
          </w:p>
        </w:tc>
        <w:tc>
          <w:tcPr>
            <w:tcW w:w="541" w:type="dxa"/>
            <w:noWrap/>
            <w:hideMark/>
          </w:tcPr>
          <w:p w:rsidR="007A18D4" w:rsidRPr="00C60335" w:rsidRDefault="007A18D4" w:rsidP="005678E7">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lang w:val="es-CO" w:eastAsia="es-CO"/>
              </w:rPr>
            </w:pPr>
          </w:p>
        </w:tc>
        <w:tc>
          <w:tcPr>
            <w:tcW w:w="541" w:type="dxa"/>
            <w:noWrap/>
            <w:hideMark/>
          </w:tcPr>
          <w:p w:rsidR="007A18D4" w:rsidRPr="00C60335" w:rsidRDefault="007A18D4" w:rsidP="005678E7">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lang w:val="es-CO" w:eastAsia="es-CO"/>
              </w:rPr>
            </w:pPr>
            <w:r w:rsidRPr="00C60335">
              <w:rPr>
                <w:rFonts w:eastAsia="Times New Roman"/>
                <w:color w:val="000000"/>
                <w:sz w:val="16"/>
                <w:szCs w:val="16"/>
                <w:lang w:val="es-CO" w:eastAsia="es-CO"/>
              </w:rPr>
              <w:t>1</w:t>
            </w:r>
          </w:p>
        </w:tc>
        <w:tc>
          <w:tcPr>
            <w:tcW w:w="1169" w:type="dxa"/>
            <w:noWrap/>
            <w:hideMark/>
          </w:tcPr>
          <w:p w:rsidR="007A18D4" w:rsidRPr="00C60335" w:rsidRDefault="007A18D4" w:rsidP="005678E7">
            <w:pPr>
              <w:spacing w:after="0"/>
              <w:jc w:val="center"/>
              <w:cnfStyle w:val="000000100000" w:firstRow="0" w:lastRow="0" w:firstColumn="0" w:lastColumn="0" w:oddVBand="0" w:evenVBand="0" w:oddHBand="1" w:evenHBand="0" w:firstRowFirstColumn="0" w:firstRowLastColumn="0" w:lastRowFirstColumn="0" w:lastRowLastColumn="0"/>
              <w:rPr>
                <w:rFonts w:eastAsia="Times New Roman"/>
                <w:color w:val="000000"/>
                <w:sz w:val="16"/>
                <w:szCs w:val="16"/>
                <w:lang w:val="es-CO" w:eastAsia="es-CO"/>
              </w:rPr>
            </w:pPr>
            <w:r w:rsidRPr="00C60335">
              <w:rPr>
                <w:rFonts w:eastAsia="Times New Roman"/>
                <w:color w:val="000000"/>
                <w:sz w:val="16"/>
                <w:szCs w:val="16"/>
                <w:lang w:val="es-CO" w:eastAsia="es-CO"/>
              </w:rPr>
              <w:t>1</w:t>
            </w:r>
          </w:p>
        </w:tc>
      </w:tr>
      <w:tr w:rsidR="007A18D4" w:rsidRPr="00C60335" w:rsidTr="005678E7">
        <w:trPr>
          <w:cnfStyle w:val="000000010000" w:firstRow="0" w:lastRow="0" w:firstColumn="0" w:lastColumn="0" w:oddVBand="0" w:evenVBand="0" w:oddHBand="0" w:evenHBand="1" w:firstRowFirstColumn="0" w:firstRowLastColumn="0" w:lastRowFirstColumn="0" w:lastRowLastColumn="0"/>
          <w:trHeight w:val="57"/>
          <w:jc w:val="center"/>
        </w:trPr>
        <w:tc>
          <w:tcPr>
            <w:cnfStyle w:val="001000000000" w:firstRow="0" w:lastRow="0" w:firstColumn="1" w:lastColumn="0" w:oddVBand="0" w:evenVBand="0" w:oddHBand="0" w:evenHBand="0" w:firstRowFirstColumn="0" w:firstRowLastColumn="0" w:lastRowFirstColumn="0" w:lastRowLastColumn="0"/>
            <w:tcW w:w="4120" w:type="dxa"/>
            <w:gridSpan w:val="2"/>
            <w:noWrap/>
            <w:hideMark/>
          </w:tcPr>
          <w:p w:rsidR="007A18D4" w:rsidRPr="00C60335" w:rsidRDefault="007A18D4" w:rsidP="005678E7">
            <w:pPr>
              <w:spacing w:after="0"/>
              <w:jc w:val="center"/>
              <w:rPr>
                <w:rFonts w:eastAsia="Times New Roman"/>
                <w:b w:val="0"/>
                <w:bCs w:val="0"/>
                <w:color w:val="000000"/>
                <w:sz w:val="16"/>
                <w:szCs w:val="16"/>
                <w:lang w:val="es-CO" w:eastAsia="es-CO"/>
              </w:rPr>
            </w:pPr>
            <w:r w:rsidRPr="00C60335">
              <w:rPr>
                <w:rFonts w:eastAsia="Times New Roman"/>
                <w:color w:val="000000"/>
                <w:sz w:val="16"/>
                <w:szCs w:val="16"/>
                <w:lang w:val="es-CO" w:eastAsia="es-CO"/>
              </w:rPr>
              <w:t>Total general</w:t>
            </w:r>
          </w:p>
        </w:tc>
        <w:tc>
          <w:tcPr>
            <w:tcW w:w="621" w:type="dxa"/>
            <w:noWrap/>
            <w:hideMark/>
          </w:tcPr>
          <w:p w:rsidR="007A18D4" w:rsidRPr="00C60335" w:rsidRDefault="007A18D4" w:rsidP="005678E7">
            <w:pPr>
              <w:spacing w:after="0"/>
              <w:jc w:val="center"/>
              <w:cnfStyle w:val="000000010000" w:firstRow="0" w:lastRow="0" w:firstColumn="0" w:lastColumn="0" w:oddVBand="0" w:evenVBand="0" w:oddHBand="0" w:evenHBand="1" w:firstRowFirstColumn="0" w:firstRowLastColumn="0" w:lastRowFirstColumn="0" w:lastRowLastColumn="0"/>
              <w:rPr>
                <w:rFonts w:eastAsia="Times New Roman"/>
                <w:b/>
                <w:bCs/>
                <w:color w:val="000000"/>
                <w:sz w:val="16"/>
                <w:szCs w:val="16"/>
                <w:lang w:val="es-CO" w:eastAsia="es-CO"/>
              </w:rPr>
            </w:pPr>
            <w:r w:rsidRPr="00C60335">
              <w:rPr>
                <w:rFonts w:eastAsia="Times New Roman"/>
                <w:b/>
                <w:bCs/>
                <w:color w:val="000000"/>
                <w:sz w:val="16"/>
                <w:szCs w:val="16"/>
                <w:lang w:val="es-CO" w:eastAsia="es-CO"/>
              </w:rPr>
              <w:t>11</w:t>
            </w:r>
          </w:p>
        </w:tc>
        <w:tc>
          <w:tcPr>
            <w:tcW w:w="541" w:type="dxa"/>
            <w:noWrap/>
            <w:hideMark/>
          </w:tcPr>
          <w:p w:rsidR="007A18D4" w:rsidRPr="00C60335" w:rsidRDefault="007A18D4" w:rsidP="005678E7">
            <w:pPr>
              <w:spacing w:after="0"/>
              <w:jc w:val="center"/>
              <w:cnfStyle w:val="000000010000" w:firstRow="0" w:lastRow="0" w:firstColumn="0" w:lastColumn="0" w:oddVBand="0" w:evenVBand="0" w:oddHBand="0" w:evenHBand="1" w:firstRowFirstColumn="0" w:firstRowLastColumn="0" w:lastRowFirstColumn="0" w:lastRowLastColumn="0"/>
              <w:rPr>
                <w:rFonts w:eastAsia="Times New Roman"/>
                <w:b/>
                <w:bCs/>
                <w:color w:val="000000"/>
                <w:sz w:val="16"/>
                <w:szCs w:val="16"/>
                <w:lang w:val="es-CO" w:eastAsia="es-CO"/>
              </w:rPr>
            </w:pPr>
            <w:r w:rsidRPr="00C60335">
              <w:rPr>
                <w:rFonts w:eastAsia="Times New Roman"/>
                <w:b/>
                <w:bCs/>
                <w:color w:val="000000"/>
                <w:sz w:val="16"/>
                <w:szCs w:val="16"/>
                <w:lang w:val="es-CO" w:eastAsia="es-CO"/>
              </w:rPr>
              <w:t>12</w:t>
            </w:r>
          </w:p>
        </w:tc>
        <w:tc>
          <w:tcPr>
            <w:tcW w:w="541" w:type="dxa"/>
            <w:noWrap/>
            <w:hideMark/>
          </w:tcPr>
          <w:p w:rsidR="007A18D4" w:rsidRPr="00C60335" w:rsidRDefault="007A18D4" w:rsidP="005678E7">
            <w:pPr>
              <w:spacing w:after="0"/>
              <w:jc w:val="center"/>
              <w:cnfStyle w:val="000000010000" w:firstRow="0" w:lastRow="0" w:firstColumn="0" w:lastColumn="0" w:oddVBand="0" w:evenVBand="0" w:oddHBand="0" w:evenHBand="1" w:firstRowFirstColumn="0" w:firstRowLastColumn="0" w:lastRowFirstColumn="0" w:lastRowLastColumn="0"/>
              <w:rPr>
                <w:rFonts w:eastAsia="Times New Roman"/>
                <w:b/>
                <w:bCs/>
                <w:color w:val="000000"/>
                <w:sz w:val="16"/>
                <w:szCs w:val="16"/>
                <w:lang w:val="es-CO" w:eastAsia="es-CO"/>
              </w:rPr>
            </w:pPr>
            <w:r w:rsidRPr="00C60335">
              <w:rPr>
                <w:rFonts w:eastAsia="Times New Roman"/>
                <w:b/>
                <w:bCs/>
                <w:color w:val="000000"/>
                <w:sz w:val="16"/>
                <w:szCs w:val="16"/>
                <w:lang w:val="es-CO" w:eastAsia="es-CO"/>
              </w:rPr>
              <w:t>20</w:t>
            </w:r>
          </w:p>
        </w:tc>
        <w:tc>
          <w:tcPr>
            <w:tcW w:w="541" w:type="dxa"/>
            <w:noWrap/>
            <w:hideMark/>
          </w:tcPr>
          <w:p w:rsidR="007A18D4" w:rsidRPr="00C60335" w:rsidRDefault="007A18D4" w:rsidP="005678E7">
            <w:pPr>
              <w:spacing w:after="0"/>
              <w:jc w:val="center"/>
              <w:cnfStyle w:val="000000010000" w:firstRow="0" w:lastRow="0" w:firstColumn="0" w:lastColumn="0" w:oddVBand="0" w:evenVBand="0" w:oddHBand="0" w:evenHBand="1" w:firstRowFirstColumn="0" w:firstRowLastColumn="0" w:lastRowFirstColumn="0" w:lastRowLastColumn="0"/>
              <w:rPr>
                <w:rFonts w:eastAsia="Times New Roman"/>
                <w:b/>
                <w:bCs/>
                <w:color w:val="000000"/>
                <w:sz w:val="16"/>
                <w:szCs w:val="16"/>
                <w:lang w:val="es-CO" w:eastAsia="es-CO"/>
              </w:rPr>
            </w:pPr>
            <w:r w:rsidRPr="00C60335">
              <w:rPr>
                <w:rFonts w:eastAsia="Times New Roman"/>
                <w:b/>
                <w:bCs/>
                <w:color w:val="000000"/>
                <w:sz w:val="16"/>
                <w:szCs w:val="16"/>
                <w:lang w:val="es-CO" w:eastAsia="es-CO"/>
              </w:rPr>
              <w:t>4</w:t>
            </w:r>
          </w:p>
        </w:tc>
        <w:tc>
          <w:tcPr>
            <w:tcW w:w="1169" w:type="dxa"/>
            <w:noWrap/>
            <w:hideMark/>
          </w:tcPr>
          <w:p w:rsidR="007A18D4" w:rsidRPr="00C60335" w:rsidRDefault="007A18D4" w:rsidP="005678E7">
            <w:pPr>
              <w:spacing w:after="0"/>
              <w:jc w:val="center"/>
              <w:cnfStyle w:val="000000010000" w:firstRow="0" w:lastRow="0" w:firstColumn="0" w:lastColumn="0" w:oddVBand="0" w:evenVBand="0" w:oddHBand="0" w:evenHBand="1" w:firstRowFirstColumn="0" w:firstRowLastColumn="0" w:lastRowFirstColumn="0" w:lastRowLastColumn="0"/>
              <w:rPr>
                <w:rFonts w:eastAsia="Times New Roman"/>
                <w:b/>
                <w:bCs/>
                <w:color w:val="000000"/>
                <w:sz w:val="16"/>
                <w:szCs w:val="16"/>
                <w:lang w:val="es-CO" w:eastAsia="es-CO"/>
              </w:rPr>
            </w:pPr>
            <w:r w:rsidRPr="00C60335">
              <w:rPr>
                <w:rFonts w:eastAsia="Times New Roman"/>
                <w:b/>
                <w:bCs/>
                <w:color w:val="000000"/>
                <w:sz w:val="16"/>
                <w:szCs w:val="16"/>
                <w:lang w:val="es-CO" w:eastAsia="es-CO"/>
              </w:rPr>
              <w:t>47</w:t>
            </w:r>
          </w:p>
        </w:tc>
      </w:tr>
    </w:tbl>
    <w:p w:rsidR="007A18D4" w:rsidRDefault="007A18D4" w:rsidP="007A18D4">
      <w:pPr>
        <w:jc w:val="center"/>
      </w:pPr>
      <w:r w:rsidRPr="00C60335">
        <w:rPr>
          <w:b/>
        </w:rPr>
        <w:t>Fuente: Oficina de Relaciones Internacionales</w:t>
      </w:r>
    </w:p>
    <w:p w:rsidR="007A18D4" w:rsidRDefault="007A18D4" w:rsidP="007A18D4"/>
    <w:p w:rsidR="007A18D4" w:rsidRDefault="007A18D4" w:rsidP="007A18D4">
      <w:r w:rsidRPr="008652D6">
        <w:t xml:space="preserve">Los docentes </w:t>
      </w:r>
      <w:r>
        <w:t xml:space="preserve">han participado en los cursos de inmersión realizados desde el año </w:t>
      </w:r>
      <w:r w:rsidRPr="00A61135">
        <w:rPr>
          <w:b/>
        </w:rPr>
        <w:t>2009</w:t>
      </w:r>
      <w:r>
        <w:t xml:space="preserve">, año en el cual participaron </w:t>
      </w:r>
      <w:r w:rsidRPr="00A61135">
        <w:rPr>
          <w:b/>
        </w:rPr>
        <w:t>1</w:t>
      </w:r>
      <w:r>
        <w:rPr>
          <w:b/>
        </w:rPr>
        <w:t>1</w:t>
      </w:r>
      <w:r>
        <w:t xml:space="preserve"> docentes, con ellos también se estableció en el año </w:t>
      </w:r>
      <w:r w:rsidRPr="00A61135">
        <w:rPr>
          <w:b/>
        </w:rPr>
        <w:t>2010</w:t>
      </w:r>
      <w:r>
        <w:t xml:space="preserve">  </w:t>
      </w:r>
      <w:r w:rsidRPr="00206A8D">
        <w:t xml:space="preserve">la línea base mediante la aplicación y estudio de los resultados obtenidos en la presentación del examen de ubicación en línea Oxford Placeen Test, adquirido por la universidad y tomado por </w:t>
      </w:r>
      <w:r w:rsidRPr="00A61135">
        <w:rPr>
          <w:b/>
        </w:rPr>
        <w:t>255</w:t>
      </w:r>
      <w:r w:rsidRPr="00206A8D">
        <w:t xml:space="preserve"> docentes </w:t>
      </w:r>
      <w:r>
        <w:t xml:space="preserve">y </w:t>
      </w:r>
      <w:r w:rsidRPr="00A61135">
        <w:rPr>
          <w:b/>
        </w:rPr>
        <w:t>1</w:t>
      </w:r>
      <w:r>
        <w:rPr>
          <w:b/>
        </w:rPr>
        <w:t>2</w:t>
      </w:r>
      <w:r w:rsidRPr="008E3EB9">
        <w:t xml:space="preserve"> Docentes realizaron curso de inmersión en el extranjero</w:t>
      </w:r>
      <w:r>
        <w:t xml:space="preserve">. </w:t>
      </w:r>
      <w:r w:rsidRPr="00C04DE3">
        <w:t xml:space="preserve">Durante el año </w:t>
      </w:r>
      <w:r w:rsidRPr="00A61135">
        <w:rPr>
          <w:b/>
        </w:rPr>
        <w:t>2011</w:t>
      </w:r>
      <w:r w:rsidRPr="00C04DE3">
        <w:t xml:space="preserve">, se desarrollaron cursos de inmersión de dos meses en la lengua inglesa, a los cuales asistieron </w:t>
      </w:r>
      <w:r w:rsidRPr="00A61135">
        <w:rPr>
          <w:b/>
        </w:rPr>
        <w:t>20</w:t>
      </w:r>
      <w:r w:rsidRPr="00C04DE3">
        <w:t xml:space="preserve"> docentes. De estos, </w:t>
      </w:r>
      <w:r w:rsidRPr="00A61135">
        <w:rPr>
          <w:b/>
        </w:rPr>
        <w:t>2</w:t>
      </w:r>
      <w:r w:rsidRPr="00C04DE3">
        <w:t xml:space="preserve"> docentes estuvieron en Missouri </w:t>
      </w:r>
      <w:proofErr w:type="spellStart"/>
      <w:r w:rsidRPr="00C04DE3">
        <w:t>State</w:t>
      </w:r>
      <w:proofErr w:type="spellEnd"/>
      <w:r w:rsidRPr="00C04DE3">
        <w:t xml:space="preserve"> </w:t>
      </w:r>
      <w:proofErr w:type="spellStart"/>
      <w:r w:rsidRPr="00C04DE3">
        <w:t>University</w:t>
      </w:r>
      <w:proofErr w:type="spellEnd"/>
      <w:r w:rsidRPr="00C04DE3">
        <w:t xml:space="preserve">, Estados Unidos, y </w:t>
      </w:r>
      <w:r w:rsidRPr="00A61135">
        <w:rPr>
          <w:b/>
        </w:rPr>
        <w:t>18</w:t>
      </w:r>
      <w:r w:rsidRPr="00C04DE3">
        <w:t xml:space="preserve"> se desplazaron a Inglaterra distribuidos entre los Institutos de </w:t>
      </w:r>
      <w:proofErr w:type="spellStart"/>
      <w:r w:rsidRPr="00C04DE3">
        <w:t>Bournemouth</w:t>
      </w:r>
      <w:proofErr w:type="spellEnd"/>
      <w:r w:rsidRPr="00C04DE3">
        <w:t xml:space="preserve"> y Bristol.</w:t>
      </w:r>
    </w:p>
    <w:p w:rsidR="007A18D4" w:rsidRDefault="007A18D4" w:rsidP="007A18D4"/>
    <w:p w:rsidR="007A18D4" w:rsidRPr="00C60335" w:rsidRDefault="007A18D4" w:rsidP="007A18D4">
      <w:pPr>
        <w:jc w:val="center"/>
        <w:rPr>
          <w:b/>
        </w:rPr>
      </w:pPr>
      <w:r>
        <w:rPr>
          <w:b/>
        </w:rPr>
        <w:t xml:space="preserve">Personal </w:t>
      </w:r>
      <w:r w:rsidRPr="00C60335">
        <w:rPr>
          <w:b/>
        </w:rPr>
        <w:t>Docente y Administrativo en Inmersión Internacional 2009 - 2012</w:t>
      </w:r>
    </w:p>
    <w:p w:rsidR="007A18D4" w:rsidRDefault="007A18D4" w:rsidP="007A18D4">
      <w:pPr>
        <w:jc w:val="center"/>
      </w:pPr>
      <w:r w:rsidRPr="00C60335">
        <w:rPr>
          <w:b/>
          <w:noProof/>
          <w:color w:val="FF0000"/>
          <w:lang w:val="es-CO" w:eastAsia="es-CO"/>
        </w:rPr>
        <w:drawing>
          <wp:inline distT="0" distB="0" distL="0" distR="0">
            <wp:extent cx="3503378" cy="1391478"/>
            <wp:effectExtent l="19050" t="0" r="1822" b="0"/>
            <wp:docPr id="39"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rsidR="007A18D4" w:rsidRDefault="007A18D4" w:rsidP="007A18D4">
      <w:pPr>
        <w:jc w:val="center"/>
      </w:pPr>
      <w:r w:rsidRPr="00C60335">
        <w:rPr>
          <w:b/>
        </w:rPr>
        <w:t>Fuente: Oficina de Relaciones Internacionales</w:t>
      </w:r>
    </w:p>
    <w:p w:rsidR="007A18D4" w:rsidRDefault="007A18D4" w:rsidP="007A18D4"/>
    <w:p w:rsidR="007A18D4" w:rsidRPr="00C04DE3" w:rsidRDefault="007A18D4" w:rsidP="007A18D4"/>
    <w:p w:rsidR="007A18D4" w:rsidRDefault="007A18D4" w:rsidP="007A18D4">
      <w:pPr>
        <w:autoSpaceDE w:val="0"/>
        <w:autoSpaceDN w:val="0"/>
        <w:adjustRightInd w:val="0"/>
        <w:spacing w:after="0"/>
        <w:jc w:val="left"/>
        <w:rPr>
          <w:rFonts w:cs="Calibri"/>
          <w:b/>
          <w:color w:val="000000"/>
          <w:sz w:val="24"/>
          <w:szCs w:val="24"/>
        </w:rPr>
      </w:pPr>
      <w:r w:rsidRPr="008E7DDC">
        <w:rPr>
          <w:rFonts w:cs="Calibri"/>
          <w:b/>
          <w:color w:val="000000"/>
          <w:sz w:val="24"/>
          <w:szCs w:val="24"/>
        </w:rPr>
        <w:t xml:space="preserve">Convenios internacionales </w:t>
      </w:r>
    </w:p>
    <w:p w:rsidR="007A18D4" w:rsidRDefault="007A18D4" w:rsidP="007A18D4"/>
    <w:p w:rsidR="007A18D4" w:rsidRDefault="007A18D4" w:rsidP="007A18D4">
      <w:r w:rsidRPr="008E7DDC">
        <w:t>Este ítem se mide como la relación de convenios internacionales activos (aquellos que generan actividades y resultados como movilidad, intercambios, conferencias) sobre el total de convenios internacionales vigentes</w:t>
      </w:r>
      <w:r>
        <w:t>.</w:t>
      </w:r>
    </w:p>
    <w:p w:rsidR="007A18D4" w:rsidRPr="00583823" w:rsidRDefault="007A18D4" w:rsidP="007A18D4">
      <w:r w:rsidRPr="00583823">
        <w:t xml:space="preserve">Desde el año </w:t>
      </w:r>
      <w:r w:rsidRPr="00A61135">
        <w:rPr>
          <w:b/>
        </w:rPr>
        <w:t>2008</w:t>
      </w:r>
      <w:r w:rsidRPr="00583823">
        <w:t xml:space="preserve"> se vienen firmando convenios internacionales, de los cuales </w:t>
      </w:r>
      <w:r w:rsidRPr="00A61135">
        <w:rPr>
          <w:b/>
        </w:rPr>
        <w:t>14</w:t>
      </w:r>
      <w:r w:rsidRPr="00583823">
        <w:t xml:space="preserve"> se firmaron en el año </w:t>
      </w:r>
      <w:r w:rsidRPr="00A61135">
        <w:rPr>
          <w:b/>
        </w:rPr>
        <w:t>2010</w:t>
      </w:r>
      <w:r w:rsidRPr="00583823">
        <w:t xml:space="preserve">. Gracias a los convenios de </w:t>
      </w:r>
      <w:r>
        <w:t xml:space="preserve">la Facultad de </w:t>
      </w:r>
      <w:r w:rsidRPr="00583823">
        <w:t xml:space="preserve">Ciencias Ambientales con Universidades en Alemania, dicho país es el segundo de donde llegan más extranjeros a realizar actividades académicas en la UTP. Para el año </w:t>
      </w:r>
      <w:r w:rsidRPr="00445E1C">
        <w:rPr>
          <w:b/>
        </w:rPr>
        <w:t>2011</w:t>
      </w:r>
      <w:r w:rsidRPr="00583823">
        <w:t xml:space="preserve"> los convenios firmados ascendieron a </w:t>
      </w:r>
      <w:r w:rsidRPr="00445E1C">
        <w:rPr>
          <w:b/>
        </w:rPr>
        <w:t>54</w:t>
      </w:r>
      <w:r w:rsidRPr="00583823">
        <w:t xml:space="preserve"> de los cuales </w:t>
      </w:r>
      <w:r w:rsidRPr="00445E1C">
        <w:rPr>
          <w:b/>
        </w:rPr>
        <w:t>34</w:t>
      </w:r>
      <w:r w:rsidRPr="00583823">
        <w:t xml:space="preserve"> se encuentran activos.</w:t>
      </w:r>
    </w:p>
    <w:p w:rsidR="007A18D4" w:rsidRDefault="007A18D4" w:rsidP="007A18D4">
      <w:r w:rsidRPr="00583823">
        <w:t>La Oficina de Relaciones Internacionales viene apoyando la gestión de los docentes que realizan pasantías, ponencias o intercambios en universidades extranjeras, desarrollan con sus pares con el fin de establecer acuerdos generales y específicos de cooperación académica. Están en trámite nuevos convenios con universidades de España, Brasil, Italia, Argentina y México</w:t>
      </w:r>
      <w:r>
        <w:t>.</w:t>
      </w:r>
    </w:p>
    <w:p w:rsidR="007A18D4" w:rsidRDefault="007A18D4" w:rsidP="007A18D4"/>
    <w:p w:rsidR="007A18D4" w:rsidRDefault="007A18D4" w:rsidP="007A18D4">
      <w:pPr>
        <w:pStyle w:val="Ttulo4"/>
      </w:pPr>
      <w:r w:rsidRPr="00306B7E">
        <w:t>Grupos registrados y reconocidos por Colciencias Pertenecientes a Redes d</w:t>
      </w:r>
      <w:r>
        <w:t>e Investigación internacionales</w:t>
      </w:r>
    </w:p>
    <w:p w:rsidR="007A18D4" w:rsidRDefault="007A18D4" w:rsidP="007A18D4"/>
    <w:p w:rsidR="007A18D4" w:rsidRPr="00B46029" w:rsidRDefault="007A18D4" w:rsidP="007A18D4">
      <w:r w:rsidRPr="0085787F">
        <w:t>Los grupos registrados vinculados a</w:t>
      </w:r>
      <w:r>
        <w:t xml:space="preserve"> Redes internacionales suman </w:t>
      </w:r>
      <w:r w:rsidRPr="00A76587">
        <w:rPr>
          <w:b/>
        </w:rPr>
        <w:t>14</w:t>
      </w:r>
      <w:r>
        <w:t>, entre los cuales se encuentran l</w:t>
      </w:r>
      <w:r w:rsidRPr="00B46029">
        <w:t>os grupos reportados por la Vicerrectoría de Investigac</w:t>
      </w:r>
      <w:r>
        <w:t>ión, Innovación y Extensión.</w:t>
      </w:r>
    </w:p>
    <w:p w:rsidR="007A18D4" w:rsidRDefault="007A18D4" w:rsidP="007A18D4">
      <w:r>
        <w:t>P</w:t>
      </w:r>
      <w:r w:rsidRPr="00B46029">
        <w:t>ara promover y fortalecer las redes de investigación internacional</w:t>
      </w:r>
      <w:r>
        <w:t xml:space="preserve"> se están realizando actividades como</w:t>
      </w:r>
      <w:r w:rsidRPr="00B46029">
        <w:t xml:space="preserve">: </w:t>
      </w:r>
    </w:p>
    <w:p w:rsidR="007A18D4" w:rsidRPr="00A76587" w:rsidRDefault="007A18D4" w:rsidP="007A18D4">
      <w:pPr>
        <w:pStyle w:val="Prrafodelista"/>
        <w:numPr>
          <w:ilvl w:val="0"/>
          <w:numId w:val="55"/>
        </w:numPr>
        <w:rPr>
          <w:b/>
          <w:bCs/>
        </w:rPr>
      </w:pPr>
      <w:r w:rsidRPr="00B46029">
        <w:t>Acompañamiento en la formulación de proyectos de investigación para convocatorias externa</w:t>
      </w:r>
      <w:r>
        <w:t>s en entidades internacionales.</w:t>
      </w:r>
    </w:p>
    <w:p w:rsidR="007A18D4" w:rsidRPr="00A76587" w:rsidRDefault="007A18D4" w:rsidP="007A18D4">
      <w:pPr>
        <w:pStyle w:val="Prrafodelista"/>
        <w:numPr>
          <w:ilvl w:val="0"/>
          <w:numId w:val="55"/>
        </w:numPr>
        <w:rPr>
          <w:b/>
          <w:bCs/>
        </w:rPr>
      </w:pPr>
      <w:r w:rsidRPr="00B46029">
        <w:t>Apoyo económico para el desplazamiento de investigadores internacionales con el fin de realizar eventos conducentes al fortalecimiento de las capacidades de los g</w:t>
      </w:r>
      <w:r>
        <w:t>rupos de investigación locales.</w:t>
      </w:r>
    </w:p>
    <w:p w:rsidR="007A18D4" w:rsidRPr="00A76587" w:rsidRDefault="007A18D4" w:rsidP="007A18D4">
      <w:pPr>
        <w:pStyle w:val="Prrafodelista"/>
        <w:numPr>
          <w:ilvl w:val="0"/>
          <w:numId w:val="55"/>
        </w:numPr>
        <w:rPr>
          <w:b/>
          <w:bCs/>
        </w:rPr>
      </w:pPr>
      <w:r w:rsidRPr="00B46029">
        <w:t>Apoyo económico para el desplazamiento de investigadores de la UTP para participar en eventos internacionales relacionados con investigación.</w:t>
      </w:r>
    </w:p>
    <w:p w:rsidR="007A18D4" w:rsidRDefault="007A18D4" w:rsidP="007A18D4">
      <w:pPr>
        <w:pStyle w:val="Ttulo4"/>
      </w:pPr>
      <w:r w:rsidRPr="0085787F">
        <w:t xml:space="preserve">Movilidad de Estudiantes </w:t>
      </w:r>
    </w:p>
    <w:p w:rsidR="002D1C0D" w:rsidRDefault="002D1C0D" w:rsidP="002D1C0D"/>
    <w:p w:rsidR="002D1C0D" w:rsidRPr="00D61EFB" w:rsidRDefault="002D1C0D" w:rsidP="002D1C0D">
      <w:pPr>
        <w:jc w:val="center"/>
        <w:rPr>
          <w:b/>
        </w:rPr>
      </w:pPr>
      <w:r w:rsidRPr="00D61EFB">
        <w:rPr>
          <w:b/>
        </w:rPr>
        <w:t>Gráfico Movilidad de Estudiantes</w:t>
      </w:r>
    </w:p>
    <w:p w:rsidR="002D1C0D" w:rsidRDefault="002D1C0D" w:rsidP="002D1C0D">
      <w:pPr>
        <w:jc w:val="center"/>
      </w:pPr>
      <w:r w:rsidRPr="00A17481">
        <w:rPr>
          <w:noProof/>
          <w:lang w:val="es-CO" w:eastAsia="es-CO"/>
        </w:rPr>
        <w:drawing>
          <wp:inline distT="0" distB="0" distL="0" distR="0">
            <wp:extent cx="4568852" cy="1327868"/>
            <wp:effectExtent l="19050" t="0" r="3148" b="0"/>
            <wp:docPr id="71"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p w:rsidR="002D1C0D" w:rsidRPr="00D61EFB" w:rsidRDefault="002D1C0D" w:rsidP="002D1C0D">
      <w:pPr>
        <w:jc w:val="center"/>
        <w:rPr>
          <w:b/>
        </w:rPr>
      </w:pPr>
      <w:r w:rsidRPr="00D61EFB">
        <w:rPr>
          <w:b/>
        </w:rPr>
        <w:t>Fuente: Oficina de Relaciones Internacionales</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89"/>
        <w:gridCol w:w="4489"/>
      </w:tblGrid>
      <w:tr w:rsidR="007A18D4" w:rsidTr="007A18D4">
        <w:tc>
          <w:tcPr>
            <w:tcW w:w="4489" w:type="dxa"/>
            <w:vAlign w:val="center"/>
          </w:tcPr>
          <w:p w:rsidR="007A18D4" w:rsidRDefault="007A18D4" w:rsidP="002D1C0D">
            <w:r>
              <w:t>En esta estrategia se impulsa el número de</w:t>
            </w:r>
            <w:r w:rsidRPr="008229DC">
              <w:t xml:space="preserve"> estudiantes de la UTP </w:t>
            </w:r>
            <w:r>
              <w:t xml:space="preserve">que se desplazan al exterior para realizar </w:t>
            </w:r>
            <w:r w:rsidRPr="008229DC">
              <w:t xml:space="preserve">pasantías, </w:t>
            </w:r>
            <w:r>
              <w:t xml:space="preserve">prácticas empresariales, estancias de investigación, </w:t>
            </w:r>
            <w:r w:rsidRPr="008229DC">
              <w:t>intercambios académicos y doble titulación</w:t>
            </w:r>
            <w:r>
              <w:t>; también como a los</w:t>
            </w:r>
            <w:r w:rsidRPr="00444037">
              <w:t xml:space="preserve"> estudiantes </w:t>
            </w:r>
            <w:r>
              <w:t>internacionales que han venido a la universidad para realizar pasantías, semestres académicos y estancias cortas.</w:t>
            </w:r>
          </w:p>
        </w:tc>
        <w:tc>
          <w:tcPr>
            <w:tcW w:w="4489" w:type="dxa"/>
          </w:tcPr>
          <w:p w:rsidR="007A18D4" w:rsidRDefault="007A18D4" w:rsidP="007A18D4">
            <w:pPr>
              <w:pStyle w:val="Ttulo5"/>
              <w:jc w:val="center"/>
              <w:outlineLvl w:val="4"/>
            </w:pPr>
            <w:r>
              <w:rPr>
                <w:rFonts w:ascii="Calibri" w:hAnsi="Calibri" w:cs="Calibri"/>
                <w:b/>
                <w:noProof/>
                <w:color w:val="000000"/>
                <w:sz w:val="24"/>
                <w:szCs w:val="24"/>
                <w:lang w:eastAsia="es-CO"/>
              </w:rPr>
              <w:drawing>
                <wp:inline distT="0" distB="0" distL="0" distR="0">
                  <wp:extent cx="1776261" cy="1335819"/>
                  <wp:effectExtent l="19050" t="0" r="0" b="0"/>
                  <wp:docPr id="68" name="Imagen 4" descr="Movilidad Estudiantil Internacional 2013 (1024x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ovilidad Estudiantil Internacional 2013 (1024x768)"/>
                          <pic:cNvPicPr>
                            <a:picLocks noChangeAspect="1" noChangeArrowheads="1"/>
                          </pic:cNvPicPr>
                        </pic:nvPicPr>
                        <pic:blipFill>
                          <a:blip r:embed="rId85" cstate="print"/>
                          <a:srcRect/>
                          <a:stretch>
                            <a:fillRect/>
                          </a:stretch>
                        </pic:blipFill>
                        <pic:spPr bwMode="auto">
                          <a:xfrm>
                            <a:off x="0" y="0"/>
                            <a:ext cx="1776488" cy="1335989"/>
                          </a:xfrm>
                          <a:prstGeom prst="rect">
                            <a:avLst/>
                          </a:prstGeom>
                          <a:ln>
                            <a:noFill/>
                          </a:ln>
                          <a:effectLst>
                            <a:softEdge rad="112500"/>
                          </a:effectLst>
                        </pic:spPr>
                      </pic:pic>
                    </a:graphicData>
                  </a:graphic>
                </wp:inline>
              </w:drawing>
            </w:r>
          </w:p>
          <w:p w:rsidR="007A18D4" w:rsidRDefault="007A18D4" w:rsidP="002D1C0D">
            <w:pPr>
              <w:spacing w:after="0"/>
              <w:jc w:val="center"/>
              <w:outlineLvl w:val="0"/>
            </w:pPr>
            <w:bookmarkStart w:id="145" w:name="_Toc354671361"/>
            <w:r w:rsidRPr="00C124E6">
              <w:rPr>
                <w:rFonts w:cs="Calibri"/>
                <w:b/>
                <w:color w:val="000000"/>
                <w:sz w:val="18"/>
                <w:szCs w:val="24"/>
              </w:rPr>
              <w:t>Reunión de bienvenida para los estudiantes internacionales – 2012.</w:t>
            </w:r>
            <w:bookmarkEnd w:id="145"/>
          </w:p>
        </w:tc>
      </w:tr>
    </w:tbl>
    <w:p w:rsidR="007A18D4" w:rsidRPr="00A17481" w:rsidRDefault="007A18D4" w:rsidP="007A18D4"/>
    <w:tbl>
      <w:tblPr>
        <w:tblStyle w:val="Cuadrculaclara-nfasis11"/>
        <w:tblW w:w="0" w:type="auto"/>
        <w:tblLook w:val="0420" w:firstRow="1" w:lastRow="0" w:firstColumn="0" w:lastColumn="0" w:noHBand="0" w:noVBand="1"/>
      </w:tblPr>
      <w:tblGrid>
        <w:gridCol w:w="4489"/>
        <w:gridCol w:w="4489"/>
      </w:tblGrid>
      <w:tr w:rsidR="007A18D4" w:rsidRPr="006177D7" w:rsidTr="005678E7">
        <w:trPr>
          <w:cnfStyle w:val="100000000000" w:firstRow="1" w:lastRow="0" w:firstColumn="0" w:lastColumn="0" w:oddVBand="0" w:evenVBand="0" w:oddHBand="0" w:evenHBand="0" w:firstRowFirstColumn="0" w:firstRowLastColumn="0" w:lastRowFirstColumn="0" w:lastRowLastColumn="0"/>
        </w:trPr>
        <w:tc>
          <w:tcPr>
            <w:tcW w:w="4489" w:type="dxa"/>
            <w:vAlign w:val="center"/>
          </w:tcPr>
          <w:p w:rsidR="007A18D4" w:rsidRPr="006177D7" w:rsidRDefault="007A18D4" w:rsidP="005678E7">
            <w:pPr>
              <w:jc w:val="center"/>
              <w:rPr>
                <w:sz w:val="16"/>
                <w:szCs w:val="16"/>
              </w:rPr>
            </w:pPr>
            <w:r w:rsidRPr="006177D7">
              <w:rPr>
                <w:sz w:val="16"/>
                <w:szCs w:val="16"/>
              </w:rPr>
              <w:t>Estudiantes UTP en el extranjero</w:t>
            </w:r>
          </w:p>
        </w:tc>
        <w:tc>
          <w:tcPr>
            <w:tcW w:w="4489" w:type="dxa"/>
            <w:vAlign w:val="center"/>
          </w:tcPr>
          <w:p w:rsidR="007A18D4" w:rsidRPr="006177D7" w:rsidRDefault="007A18D4" w:rsidP="005678E7">
            <w:pPr>
              <w:jc w:val="center"/>
              <w:rPr>
                <w:sz w:val="16"/>
                <w:szCs w:val="16"/>
              </w:rPr>
            </w:pPr>
            <w:r w:rsidRPr="006177D7">
              <w:rPr>
                <w:sz w:val="16"/>
                <w:szCs w:val="16"/>
              </w:rPr>
              <w:t>Estudiantes extranjeros en la UTP</w:t>
            </w:r>
          </w:p>
        </w:tc>
      </w:tr>
      <w:tr w:rsidR="007A18D4" w:rsidRPr="006177D7" w:rsidTr="005678E7">
        <w:trPr>
          <w:cnfStyle w:val="000000100000" w:firstRow="0" w:lastRow="0" w:firstColumn="0" w:lastColumn="0" w:oddVBand="0" w:evenVBand="0" w:oddHBand="1" w:evenHBand="0" w:firstRowFirstColumn="0" w:firstRowLastColumn="0" w:lastRowFirstColumn="0" w:lastRowLastColumn="0"/>
        </w:trPr>
        <w:tc>
          <w:tcPr>
            <w:tcW w:w="4489" w:type="dxa"/>
            <w:vAlign w:val="center"/>
          </w:tcPr>
          <w:p w:rsidR="007A18D4" w:rsidRPr="006177D7" w:rsidRDefault="007A18D4" w:rsidP="005678E7">
            <w:pPr>
              <w:autoSpaceDE w:val="0"/>
              <w:autoSpaceDN w:val="0"/>
              <w:adjustRightInd w:val="0"/>
              <w:rPr>
                <w:rFonts w:cs="Calibri"/>
                <w:color w:val="000000"/>
                <w:sz w:val="16"/>
                <w:szCs w:val="16"/>
              </w:rPr>
            </w:pPr>
            <w:r>
              <w:rPr>
                <w:rFonts w:cs="Calibri"/>
                <w:color w:val="000000"/>
                <w:sz w:val="16"/>
                <w:szCs w:val="16"/>
              </w:rPr>
              <w:t xml:space="preserve">Se han desarrollado estrategias para la </w:t>
            </w:r>
            <w:r w:rsidRPr="006177D7">
              <w:rPr>
                <w:rFonts w:cs="Calibri"/>
                <w:color w:val="000000"/>
                <w:sz w:val="16"/>
                <w:szCs w:val="16"/>
              </w:rPr>
              <w:t xml:space="preserve">promoción de convenios de cooperación para la movilidad internacional entre los estudiantes (lanzamiento de convocatorias de manera </w:t>
            </w:r>
            <w:r w:rsidRPr="006177D7">
              <w:rPr>
                <w:rFonts w:cs="Calibri"/>
                <w:color w:val="000000"/>
                <w:sz w:val="16"/>
                <w:szCs w:val="16"/>
              </w:rPr>
              <w:lastRenderedPageBreak/>
              <w:t>institucional, divulgación de oportunidades mediante los sistemas de comunicación de la universidad y la página web de la ORI). Además se identifica un interés creciente por parte de la comunidad estudiantil para participar en experiencias internacionales.</w:t>
            </w:r>
          </w:p>
          <w:p w:rsidR="007A18D4" w:rsidRPr="006177D7" w:rsidRDefault="007A18D4" w:rsidP="005678E7">
            <w:pPr>
              <w:autoSpaceDE w:val="0"/>
              <w:autoSpaceDN w:val="0"/>
              <w:adjustRightInd w:val="0"/>
              <w:rPr>
                <w:rFonts w:cs="Calibri"/>
                <w:color w:val="000000"/>
                <w:sz w:val="16"/>
                <w:szCs w:val="16"/>
              </w:rPr>
            </w:pPr>
            <w:r w:rsidRPr="006177D7">
              <w:rPr>
                <w:rFonts w:cs="Calibri"/>
                <w:color w:val="000000"/>
                <w:sz w:val="16"/>
                <w:szCs w:val="16"/>
              </w:rPr>
              <w:t xml:space="preserve">Una mejor comunicación entre la </w:t>
            </w:r>
            <w:r>
              <w:rPr>
                <w:rFonts w:cs="Calibri"/>
                <w:color w:val="000000"/>
                <w:sz w:val="16"/>
                <w:szCs w:val="16"/>
              </w:rPr>
              <w:t>Administración</w:t>
            </w:r>
            <w:r w:rsidRPr="006177D7">
              <w:rPr>
                <w:rFonts w:cs="Calibri"/>
                <w:color w:val="000000"/>
                <w:sz w:val="16"/>
                <w:szCs w:val="16"/>
              </w:rPr>
              <w:t xml:space="preserve"> y las Facultades también ha favorecido la promoción y el conocimiento de la cooperación internacional en la academia: se están recibiendo más visitas por parte de estudiantes internacionales que aplican a la movilidad incluso en relación con pasantías cortas en medicina, lo cual es novedoso para la UTP. </w:t>
            </w:r>
          </w:p>
          <w:p w:rsidR="007A18D4" w:rsidRPr="006177D7" w:rsidRDefault="007A18D4" w:rsidP="005678E7">
            <w:pPr>
              <w:pStyle w:val="Ttulo5"/>
              <w:outlineLvl w:val="4"/>
              <w:rPr>
                <w:sz w:val="16"/>
                <w:szCs w:val="16"/>
              </w:rPr>
            </w:pPr>
            <w:r w:rsidRPr="006177D7">
              <w:rPr>
                <w:rFonts w:ascii="Calibri" w:hAnsi="Calibri" w:cs="Calibri"/>
                <w:color w:val="000000"/>
                <w:sz w:val="16"/>
                <w:szCs w:val="16"/>
              </w:rPr>
              <w:t xml:space="preserve">La </w:t>
            </w:r>
            <w:r>
              <w:rPr>
                <w:rFonts w:ascii="Calibri" w:hAnsi="Calibri" w:cs="Calibri"/>
                <w:color w:val="000000"/>
                <w:sz w:val="16"/>
                <w:szCs w:val="16"/>
              </w:rPr>
              <w:t>Universidad</w:t>
            </w:r>
            <w:r w:rsidRPr="006177D7">
              <w:rPr>
                <w:rFonts w:ascii="Calibri" w:hAnsi="Calibri" w:cs="Calibri"/>
                <w:color w:val="000000"/>
                <w:sz w:val="16"/>
                <w:szCs w:val="16"/>
              </w:rPr>
              <w:t xml:space="preserve"> atiende cada vez más solicitudes de información al respecto y la participación en eventos internacionales de educación superior ha generado vínculos con las instituciones extranjeras que se concretan en invitación a participar en becas (caso ENIM).</w:t>
            </w:r>
          </w:p>
        </w:tc>
        <w:tc>
          <w:tcPr>
            <w:tcW w:w="4489" w:type="dxa"/>
            <w:vAlign w:val="center"/>
          </w:tcPr>
          <w:p w:rsidR="007A18D4" w:rsidRPr="006177D7" w:rsidRDefault="007A18D4" w:rsidP="005678E7">
            <w:pPr>
              <w:autoSpaceDE w:val="0"/>
              <w:autoSpaceDN w:val="0"/>
              <w:adjustRightInd w:val="0"/>
              <w:rPr>
                <w:rFonts w:cs="Calibri"/>
                <w:color w:val="000000"/>
                <w:sz w:val="16"/>
                <w:szCs w:val="16"/>
              </w:rPr>
            </w:pPr>
            <w:r w:rsidRPr="006177D7">
              <w:rPr>
                <w:rFonts w:cs="Calibri"/>
                <w:color w:val="000000"/>
                <w:sz w:val="16"/>
                <w:szCs w:val="16"/>
              </w:rPr>
              <w:lastRenderedPageBreak/>
              <w:t xml:space="preserve">Como estrategia, </w:t>
            </w:r>
            <w:r>
              <w:rPr>
                <w:rFonts w:cs="Calibri"/>
                <w:color w:val="000000"/>
                <w:sz w:val="16"/>
                <w:szCs w:val="16"/>
              </w:rPr>
              <w:t xml:space="preserve">se </w:t>
            </w:r>
            <w:r w:rsidRPr="006177D7">
              <w:rPr>
                <w:rFonts w:cs="Calibri"/>
                <w:color w:val="000000"/>
                <w:sz w:val="16"/>
                <w:szCs w:val="16"/>
              </w:rPr>
              <w:t xml:space="preserve">ha lanzado de forma institucional convocatorias en las instituciones internacionales socias. Con base en la experiencia obtenida, se ha mejorado la gestión </w:t>
            </w:r>
            <w:r w:rsidRPr="006177D7">
              <w:rPr>
                <w:rFonts w:cs="Calibri"/>
                <w:color w:val="000000"/>
                <w:sz w:val="16"/>
                <w:szCs w:val="16"/>
              </w:rPr>
              <w:lastRenderedPageBreak/>
              <w:t xml:space="preserve">operativa y administrativa para la recepción de los estudiantes internacionales. </w:t>
            </w:r>
          </w:p>
          <w:p w:rsidR="007A18D4" w:rsidRDefault="007A18D4" w:rsidP="005678E7">
            <w:pPr>
              <w:pStyle w:val="Ttulo5"/>
              <w:outlineLvl w:val="4"/>
              <w:rPr>
                <w:rFonts w:ascii="Calibri" w:eastAsia="Calibri" w:hAnsi="Calibri" w:cs="Calibri"/>
                <w:color w:val="000000"/>
                <w:sz w:val="16"/>
                <w:szCs w:val="16"/>
              </w:rPr>
            </w:pPr>
            <w:r w:rsidRPr="006177D7">
              <w:rPr>
                <w:rFonts w:ascii="Calibri" w:eastAsia="Calibri" w:hAnsi="Calibri" w:cs="Calibri"/>
                <w:color w:val="000000"/>
                <w:sz w:val="16"/>
                <w:szCs w:val="16"/>
              </w:rPr>
              <w:t xml:space="preserve">Se han desarrollado estrategias de comunicación, como guías informativas para estudiantes extranjeros y estudiantes UTP; y la difusión de formatos para la aplicación a la movilidad de extranjeros en la UTP. </w:t>
            </w:r>
          </w:p>
          <w:p w:rsidR="007A18D4" w:rsidRPr="006177D7" w:rsidRDefault="007A18D4" w:rsidP="005678E7">
            <w:pPr>
              <w:pStyle w:val="Ttulo5"/>
              <w:outlineLvl w:val="4"/>
              <w:rPr>
                <w:sz w:val="16"/>
                <w:szCs w:val="16"/>
              </w:rPr>
            </w:pPr>
            <w:r>
              <w:rPr>
                <w:rFonts w:ascii="Calibri" w:hAnsi="Calibri" w:cs="Calibri"/>
                <w:color w:val="000000"/>
                <w:sz w:val="16"/>
                <w:szCs w:val="16"/>
              </w:rPr>
              <w:t>S</w:t>
            </w:r>
            <w:r w:rsidRPr="006177D7">
              <w:rPr>
                <w:rFonts w:ascii="Calibri" w:hAnsi="Calibri" w:cs="Calibri"/>
                <w:color w:val="000000"/>
                <w:sz w:val="16"/>
                <w:szCs w:val="16"/>
              </w:rPr>
              <w:t xml:space="preserve">e han firmado convenios </w:t>
            </w:r>
            <w:r>
              <w:rPr>
                <w:rFonts w:ascii="Calibri" w:hAnsi="Calibri" w:cs="Calibri"/>
                <w:color w:val="000000"/>
                <w:sz w:val="16"/>
                <w:szCs w:val="16"/>
              </w:rPr>
              <w:t xml:space="preserve">como </w:t>
            </w:r>
            <w:r w:rsidRPr="006177D7">
              <w:rPr>
                <w:rFonts w:ascii="Calibri" w:hAnsi="Calibri" w:cs="Calibri"/>
                <w:color w:val="000000"/>
                <w:sz w:val="16"/>
                <w:szCs w:val="16"/>
              </w:rPr>
              <w:t>Universidad asociada a ASCUN, para apoyo y promoción de la movilidad estudiantil internacional con Argentina (Movilidad Académica Colombia Argentina - MACA) y con Brasil (Brasil Colombia, BRACOL), en ambas vías.</w:t>
            </w:r>
          </w:p>
        </w:tc>
      </w:tr>
    </w:tbl>
    <w:p w:rsidR="007A18D4" w:rsidRDefault="007A18D4" w:rsidP="007A18D4">
      <w:pPr>
        <w:pStyle w:val="Ttulo5"/>
      </w:pPr>
    </w:p>
    <w:p w:rsidR="007A18D4" w:rsidRDefault="007A18D4" w:rsidP="007A18D4">
      <w:pPr>
        <w:pStyle w:val="Ttulo4"/>
      </w:pPr>
      <w:r w:rsidRPr="0085787F">
        <w:t>N</w:t>
      </w:r>
      <w:r>
        <w:t>úmero</w:t>
      </w:r>
      <w:r w:rsidRPr="0085787F">
        <w:t xml:space="preserve"> de Docentes que salen al Exterior</w:t>
      </w:r>
    </w:p>
    <w:p w:rsidR="007A18D4" w:rsidRDefault="007A18D4" w:rsidP="007A18D4"/>
    <w:p w:rsidR="007A18D4" w:rsidRDefault="007A18D4" w:rsidP="007A18D4">
      <w:r w:rsidRPr="00F55844">
        <w:t>E</w:t>
      </w:r>
      <w:r>
        <w:t xml:space="preserve">ste </w:t>
      </w:r>
      <w:r w:rsidRPr="00F55844">
        <w:t xml:space="preserve"> indicador </w:t>
      </w:r>
      <w:r>
        <w:t>corresponde a</w:t>
      </w:r>
      <w:r w:rsidRPr="00F55844">
        <w:t xml:space="preserve">l número de docentes que </w:t>
      </w:r>
      <w:r>
        <w:t xml:space="preserve">se desplazan </w:t>
      </w:r>
      <w:r w:rsidRPr="00F55844">
        <w:t>al exterior</w:t>
      </w:r>
      <w:r>
        <w:t xml:space="preserve"> para una actividad académica o de investigación</w:t>
      </w:r>
      <w:r w:rsidRPr="00F55844">
        <w:t>.</w:t>
      </w:r>
    </w:p>
    <w:p w:rsidR="007A18D4" w:rsidRDefault="007A18D4" w:rsidP="007A18D4"/>
    <w:p w:rsidR="007A18D4" w:rsidRPr="003F0EB0" w:rsidRDefault="007A18D4" w:rsidP="007A18D4">
      <w:pPr>
        <w:jc w:val="center"/>
        <w:rPr>
          <w:b/>
        </w:rPr>
      </w:pPr>
      <w:r w:rsidRPr="003F0EB0">
        <w:rPr>
          <w:b/>
        </w:rPr>
        <w:t>Docentes que salen al Exterior</w:t>
      </w:r>
    </w:p>
    <w:p w:rsidR="007A18D4" w:rsidRDefault="007A18D4" w:rsidP="007A18D4">
      <w:pPr>
        <w:jc w:val="center"/>
      </w:pPr>
      <w:r w:rsidRPr="003F0EB0">
        <w:rPr>
          <w:noProof/>
          <w:lang w:val="es-CO" w:eastAsia="es-CO"/>
        </w:rPr>
        <w:drawing>
          <wp:inline distT="0" distB="0" distL="0" distR="0">
            <wp:extent cx="4574895" cy="1872691"/>
            <wp:effectExtent l="19050" t="0" r="0" b="0"/>
            <wp:docPr id="47"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p w:rsidR="007A18D4" w:rsidRPr="00D61EFB" w:rsidRDefault="007A18D4" w:rsidP="007A18D4">
      <w:pPr>
        <w:jc w:val="center"/>
        <w:rPr>
          <w:b/>
        </w:rPr>
      </w:pPr>
      <w:r w:rsidRPr="00D61EFB">
        <w:rPr>
          <w:b/>
        </w:rPr>
        <w:t>Fuente: Oficina de Relaciones Internacionales</w:t>
      </w:r>
    </w:p>
    <w:p w:rsidR="007A18D4" w:rsidRDefault="007A18D4" w:rsidP="007A18D4">
      <w:pPr>
        <w:jc w:val="center"/>
      </w:pPr>
    </w:p>
    <w:p w:rsidR="007A18D4" w:rsidRDefault="007A18D4" w:rsidP="007A18D4">
      <w:r>
        <w:t xml:space="preserve">En esta medición se incluyen </w:t>
      </w:r>
      <w:r w:rsidRPr="00D8543C">
        <w:t>cursos cortos, profesores visitantes, estancias de investigación, estudios de Doctorado, profesor de Maestría</w:t>
      </w:r>
      <w:r>
        <w:t xml:space="preserve"> y</w:t>
      </w:r>
      <w:r w:rsidRPr="00D8543C">
        <w:t xml:space="preserve"> Ponencias. </w:t>
      </w:r>
    </w:p>
    <w:p w:rsidR="007A18D4" w:rsidRDefault="007A18D4" w:rsidP="007A18D4">
      <w:pPr>
        <w:jc w:val="center"/>
        <w:rPr>
          <w:b/>
        </w:rPr>
      </w:pPr>
    </w:p>
    <w:tbl>
      <w:tblPr>
        <w:tblStyle w:val="Cuadrculaclara-nfasis11"/>
        <w:tblW w:w="0" w:type="auto"/>
        <w:tblLook w:val="04A0" w:firstRow="1" w:lastRow="0" w:firstColumn="1" w:lastColumn="0" w:noHBand="0" w:noVBand="1"/>
      </w:tblPr>
      <w:tblGrid>
        <w:gridCol w:w="1101"/>
        <w:gridCol w:w="7877"/>
      </w:tblGrid>
      <w:tr w:rsidR="007A18D4" w:rsidRPr="003F0EB0" w:rsidTr="005678E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tcPr>
          <w:p w:rsidR="007A18D4" w:rsidRPr="000064CE" w:rsidRDefault="007A18D4" w:rsidP="005678E7">
            <w:pPr>
              <w:autoSpaceDE w:val="0"/>
              <w:autoSpaceDN w:val="0"/>
              <w:adjustRightInd w:val="0"/>
              <w:jc w:val="center"/>
              <w:rPr>
                <w:rFonts w:asciiTheme="minorHAnsi" w:hAnsiTheme="minorHAnsi" w:cs="Calibri"/>
                <w:color w:val="000000"/>
                <w:sz w:val="18"/>
                <w:szCs w:val="18"/>
              </w:rPr>
            </w:pPr>
            <w:r w:rsidRPr="000064CE">
              <w:rPr>
                <w:rFonts w:asciiTheme="minorHAnsi" w:hAnsiTheme="minorHAnsi" w:cs="Calibri"/>
                <w:color w:val="000000"/>
                <w:sz w:val="18"/>
                <w:szCs w:val="18"/>
              </w:rPr>
              <w:t>Año</w:t>
            </w:r>
          </w:p>
        </w:tc>
        <w:tc>
          <w:tcPr>
            <w:tcW w:w="7877" w:type="dxa"/>
          </w:tcPr>
          <w:p w:rsidR="007A18D4" w:rsidRPr="000064CE" w:rsidRDefault="007A18D4" w:rsidP="005678E7">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Calibri"/>
                <w:color w:val="000000"/>
                <w:sz w:val="18"/>
                <w:szCs w:val="18"/>
              </w:rPr>
            </w:pPr>
            <w:r w:rsidRPr="000064CE">
              <w:rPr>
                <w:rFonts w:asciiTheme="minorHAnsi" w:hAnsiTheme="minorHAnsi" w:cs="Calibri"/>
                <w:color w:val="000000"/>
                <w:sz w:val="18"/>
                <w:szCs w:val="18"/>
              </w:rPr>
              <w:t>Resultados</w:t>
            </w:r>
          </w:p>
        </w:tc>
      </w:tr>
      <w:tr w:rsidR="007A18D4" w:rsidRPr="003F0EB0" w:rsidTr="005678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vAlign w:val="center"/>
          </w:tcPr>
          <w:p w:rsidR="007A18D4" w:rsidRPr="003F0EB0" w:rsidRDefault="007A18D4" w:rsidP="005678E7">
            <w:pPr>
              <w:autoSpaceDE w:val="0"/>
              <w:autoSpaceDN w:val="0"/>
              <w:adjustRightInd w:val="0"/>
              <w:jc w:val="center"/>
              <w:rPr>
                <w:rFonts w:asciiTheme="minorHAnsi" w:hAnsiTheme="minorHAnsi" w:cs="Calibri"/>
                <w:color w:val="000000"/>
                <w:sz w:val="18"/>
                <w:szCs w:val="18"/>
              </w:rPr>
            </w:pPr>
            <w:r w:rsidRPr="003F0EB0">
              <w:rPr>
                <w:rFonts w:asciiTheme="minorHAnsi" w:hAnsiTheme="minorHAnsi" w:cs="Calibri"/>
                <w:color w:val="000000"/>
                <w:sz w:val="18"/>
                <w:szCs w:val="18"/>
              </w:rPr>
              <w:t>2010</w:t>
            </w:r>
          </w:p>
        </w:tc>
        <w:tc>
          <w:tcPr>
            <w:tcW w:w="7877" w:type="dxa"/>
          </w:tcPr>
          <w:p w:rsidR="007A18D4" w:rsidRPr="003F0EB0" w:rsidRDefault="007A18D4" w:rsidP="005678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HAnsi" w:hAnsiTheme="minorHAnsi" w:cs="Calibri"/>
                <w:sz w:val="18"/>
                <w:szCs w:val="18"/>
              </w:rPr>
            </w:pPr>
            <w:r w:rsidRPr="003F0EB0">
              <w:rPr>
                <w:rFonts w:asciiTheme="minorHAnsi" w:hAnsiTheme="minorHAnsi" w:cs="Calibri"/>
                <w:sz w:val="18"/>
                <w:szCs w:val="18"/>
              </w:rPr>
              <w:t xml:space="preserve">Durante este año como actividad por resaltar, docentes participaron en el programa de inmersión en inglés en la Universidad Estatal de Missouri (Estados Unidos) complementando la movilidad representada en pasantías cortas de investigación, ponencias, cursos cortos, profesor invitado, para un total de ciento ochenta y seis (186) de una meta de </w:t>
            </w:r>
            <w:r w:rsidRPr="003F0EB0">
              <w:rPr>
                <w:rFonts w:asciiTheme="minorHAnsi" w:hAnsiTheme="minorHAnsi" w:cs="Calibri"/>
                <w:b/>
                <w:sz w:val="18"/>
                <w:szCs w:val="18"/>
              </w:rPr>
              <w:t>220</w:t>
            </w:r>
            <w:r w:rsidRPr="003F0EB0">
              <w:rPr>
                <w:rFonts w:asciiTheme="minorHAnsi" w:hAnsiTheme="minorHAnsi" w:cs="Calibri"/>
                <w:sz w:val="18"/>
                <w:szCs w:val="18"/>
              </w:rPr>
              <w:t>.</w:t>
            </w:r>
          </w:p>
        </w:tc>
      </w:tr>
      <w:tr w:rsidR="007A18D4" w:rsidRPr="003F0EB0" w:rsidTr="005678E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vAlign w:val="center"/>
          </w:tcPr>
          <w:p w:rsidR="007A18D4" w:rsidRPr="003F0EB0" w:rsidRDefault="007A18D4" w:rsidP="005678E7">
            <w:pPr>
              <w:autoSpaceDE w:val="0"/>
              <w:autoSpaceDN w:val="0"/>
              <w:adjustRightInd w:val="0"/>
              <w:jc w:val="center"/>
              <w:rPr>
                <w:rFonts w:asciiTheme="minorHAnsi" w:hAnsiTheme="minorHAnsi" w:cs="Calibri"/>
                <w:color w:val="000000"/>
                <w:sz w:val="18"/>
                <w:szCs w:val="18"/>
              </w:rPr>
            </w:pPr>
            <w:r w:rsidRPr="003F0EB0">
              <w:rPr>
                <w:rFonts w:asciiTheme="minorHAnsi" w:hAnsiTheme="minorHAnsi" w:cs="Calibri"/>
                <w:color w:val="000000"/>
                <w:sz w:val="18"/>
                <w:szCs w:val="18"/>
              </w:rPr>
              <w:lastRenderedPageBreak/>
              <w:t>2011</w:t>
            </w:r>
          </w:p>
        </w:tc>
        <w:tc>
          <w:tcPr>
            <w:tcW w:w="7877" w:type="dxa"/>
          </w:tcPr>
          <w:p w:rsidR="007A18D4" w:rsidRPr="003F0EB0" w:rsidRDefault="007A18D4" w:rsidP="005678E7">
            <w:pPr>
              <w:pStyle w:val="Default"/>
              <w:jc w:val="both"/>
              <w:cnfStyle w:val="000000010000" w:firstRow="0" w:lastRow="0" w:firstColumn="0" w:lastColumn="0" w:oddVBand="0" w:evenVBand="0" w:oddHBand="0" w:evenHBand="1" w:firstRowFirstColumn="0" w:firstRowLastColumn="0" w:lastRowFirstColumn="0" w:lastRowLastColumn="0"/>
              <w:rPr>
                <w:rFonts w:asciiTheme="minorHAnsi" w:hAnsiTheme="minorHAnsi" w:cs="Calibri"/>
                <w:color w:val="auto"/>
                <w:sz w:val="18"/>
                <w:szCs w:val="18"/>
              </w:rPr>
            </w:pPr>
            <w:r w:rsidRPr="003F0EB0">
              <w:rPr>
                <w:rFonts w:asciiTheme="minorHAnsi" w:hAnsiTheme="minorHAnsi" w:cstheme="minorBidi"/>
                <w:color w:val="auto"/>
                <w:sz w:val="18"/>
                <w:szCs w:val="18"/>
              </w:rPr>
              <w:t xml:space="preserve">Para este año, la meta de </w:t>
            </w:r>
            <w:r w:rsidRPr="003F0EB0">
              <w:rPr>
                <w:rFonts w:asciiTheme="minorHAnsi" w:hAnsiTheme="minorHAnsi" w:cs="Calibri"/>
                <w:b/>
                <w:bCs/>
                <w:color w:val="auto"/>
                <w:sz w:val="18"/>
                <w:szCs w:val="18"/>
              </w:rPr>
              <w:t xml:space="preserve">220 </w:t>
            </w:r>
            <w:r w:rsidRPr="003F0EB0">
              <w:rPr>
                <w:rFonts w:asciiTheme="minorHAnsi" w:hAnsiTheme="minorHAnsi" w:cs="Calibri"/>
                <w:color w:val="auto"/>
                <w:sz w:val="18"/>
                <w:szCs w:val="18"/>
              </w:rPr>
              <w:t xml:space="preserve">docentes tuvo un cumplimiento del </w:t>
            </w:r>
            <w:r w:rsidRPr="003F0EB0">
              <w:rPr>
                <w:rFonts w:asciiTheme="minorHAnsi" w:hAnsiTheme="minorHAnsi" w:cs="Calibri"/>
                <w:b/>
                <w:bCs/>
                <w:color w:val="auto"/>
                <w:sz w:val="18"/>
                <w:szCs w:val="18"/>
              </w:rPr>
              <w:t xml:space="preserve">87.73% </w:t>
            </w:r>
            <w:r w:rsidRPr="003F0EB0">
              <w:rPr>
                <w:rFonts w:asciiTheme="minorHAnsi" w:hAnsiTheme="minorHAnsi" w:cs="Calibri"/>
                <w:color w:val="auto"/>
                <w:sz w:val="18"/>
                <w:szCs w:val="18"/>
              </w:rPr>
              <w:t xml:space="preserve">con </w:t>
            </w:r>
            <w:r w:rsidRPr="003F0EB0">
              <w:rPr>
                <w:rFonts w:asciiTheme="minorHAnsi" w:hAnsiTheme="minorHAnsi" w:cs="Calibri"/>
                <w:b/>
                <w:bCs/>
                <w:color w:val="auto"/>
                <w:sz w:val="18"/>
                <w:szCs w:val="18"/>
              </w:rPr>
              <w:t xml:space="preserve">193 </w:t>
            </w:r>
            <w:r w:rsidRPr="003F0EB0">
              <w:rPr>
                <w:rFonts w:asciiTheme="minorHAnsi" w:hAnsiTheme="minorHAnsi" w:cs="Calibri"/>
                <w:color w:val="auto"/>
                <w:sz w:val="18"/>
                <w:szCs w:val="18"/>
              </w:rPr>
              <w:t>docentes que se desplazaron al exterior.</w:t>
            </w:r>
            <w:r w:rsidRPr="003F0EB0">
              <w:rPr>
                <w:rFonts w:asciiTheme="minorHAnsi" w:hAnsiTheme="minorHAnsi"/>
                <w:sz w:val="18"/>
                <w:szCs w:val="18"/>
              </w:rPr>
              <w:t xml:space="preserve"> La movilidad que </w:t>
            </w:r>
            <w:r w:rsidRPr="003F0EB0">
              <w:rPr>
                <w:rFonts w:asciiTheme="minorHAnsi" w:hAnsiTheme="minorHAnsi" w:cs="Calibri"/>
                <w:color w:val="auto"/>
                <w:sz w:val="18"/>
                <w:szCs w:val="18"/>
              </w:rPr>
              <w:t xml:space="preserve">incluye cursos cortos, profesores visitantes, estancias de investigación, estudios de Doctorado, profesor de Maestría, ponencias, es un rubro importante para la internacionalización de la universidad en cuanto a visibilidad y generación de redes y contactos que pueden redundar en cooperación académica. </w:t>
            </w:r>
          </w:p>
        </w:tc>
      </w:tr>
      <w:tr w:rsidR="007A18D4" w:rsidRPr="003F0EB0" w:rsidTr="005678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vAlign w:val="center"/>
          </w:tcPr>
          <w:p w:rsidR="007A18D4" w:rsidRPr="003F0EB0" w:rsidRDefault="007A18D4" w:rsidP="005678E7">
            <w:pPr>
              <w:autoSpaceDE w:val="0"/>
              <w:autoSpaceDN w:val="0"/>
              <w:adjustRightInd w:val="0"/>
              <w:jc w:val="center"/>
              <w:rPr>
                <w:rFonts w:asciiTheme="minorHAnsi" w:hAnsiTheme="minorHAnsi" w:cs="Calibri"/>
                <w:color w:val="000000"/>
                <w:sz w:val="18"/>
                <w:szCs w:val="18"/>
              </w:rPr>
            </w:pPr>
            <w:r w:rsidRPr="003F0EB0">
              <w:rPr>
                <w:rFonts w:asciiTheme="minorHAnsi" w:hAnsiTheme="minorHAnsi" w:cs="Calibri"/>
                <w:color w:val="000000"/>
                <w:sz w:val="18"/>
                <w:szCs w:val="18"/>
              </w:rPr>
              <w:t>2012</w:t>
            </w:r>
          </w:p>
        </w:tc>
        <w:tc>
          <w:tcPr>
            <w:tcW w:w="7877" w:type="dxa"/>
          </w:tcPr>
          <w:p w:rsidR="007A18D4" w:rsidRPr="003F0EB0" w:rsidRDefault="007A18D4" w:rsidP="005678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0000"/>
                <w:sz w:val="18"/>
                <w:szCs w:val="18"/>
              </w:rPr>
            </w:pPr>
            <w:r w:rsidRPr="003F0EB0">
              <w:rPr>
                <w:rFonts w:asciiTheme="minorHAnsi" w:hAnsiTheme="minorHAnsi" w:cs="Calibri"/>
                <w:color w:val="000000"/>
                <w:sz w:val="18"/>
                <w:szCs w:val="18"/>
              </w:rPr>
              <w:t xml:space="preserve">La meta que era de </w:t>
            </w:r>
            <w:r w:rsidRPr="003F0EB0">
              <w:rPr>
                <w:rFonts w:asciiTheme="minorHAnsi" w:hAnsiTheme="minorHAnsi" w:cs="Calibri"/>
                <w:b/>
                <w:color w:val="000000"/>
                <w:sz w:val="18"/>
                <w:szCs w:val="18"/>
              </w:rPr>
              <w:t>200</w:t>
            </w:r>
            <w:r w:rsidRPr="003F0EB0">
              <w:rPr>
                <w:rFonts w:asciiTheme="minorHAnsi" w:hAnsiTheme="minorHAnsi" w:cs="Calibri"/>
                <w:color w:val="000000"/>
                <w:sz w:val="18"/>
                <w:szCs w:val="18"/>
              </w:rPr>
              <w:t xml:space="preserve"> alcanzó un cumplimiento de </w:t>
            </w:r>
            <w:r w:rsidRPr="003F0EB0">
              <w:rPr>
                <w:rFonts w:asciiTheme="minorHAnsi" w:hAnsiTheme="minorHAnsi" w:cs="Calibri"/>
                <w:b/>
                <w:color w:val="000000"/>
                <w:sz w:val="18"/>
                <w:szCs w:val="18"/>
              </w:rPr>
              <w:t>187</w:t>
            </w:r>
            <w:r w:rsidRPr="003F0EB0">
              <w:rPr>
                <w:rFonts w:asciiTheme="minorHAnsi" w:hAnsiTheme="minorHAnsi" w:cs="Calibri"/>
                <w:color w:val="000000"/>
                <w:sz w:val="18"/>
                <w:szCs w:val="18"/>
              </w:rPr>
              <w:t xml:space="preserve">. La coyuntura académica y los cambios de calendario del año académico </w:t>
            </w:r>
            <w:r w:rsidRPr="003F0EB0">
              <w:rPr>
                <w:rFonts w:asciiTheme="minorHAnsi" w:hAnsiTheme="minorHAnsi" w:cs="Calibri"/>
                <w:b/>
                <w:color w:val="000000"/>
                <w:sz w:val="18"/>
                <w:szCs w:val="18"/>
              </w:rPr>
              <w:t>2011</w:t>
            </w:r>
            <w:r w:rsidRPr="003F0EB0">
              <w:rPr>
                <w:rFonts w:asciiTheme="minorHAnsi" w:hAnsiTheme="minorHAnsi" w:cs="Calibri"/>
                <w:color w:val="000000"/>
                <w:sz w:val="18"/>
                <w:szCs w:val="18"/>
              </w:rPr>
              <w:t xml:space="preserve"> impidieron el logro del cien por ciento de cumplimiento pues la asistencia a eventos y los desplazamientos al exterior planeados no se pudieron llevar a cabo de forma normal.</w:t>
            </w:r>
          </w:p>
        </w:tc>
      </w:tr>
    </w:tbl>
    <w:p w:rsidR="007A18D4" w:rsidRDefault="007A18D4" w:rsidP="007A18D4">
      <w:pPr>
        <w:rPr>
          <w:b/>
        </w:rPr>
      </w:pPr>
    </w:p>
    <w:p w:rsidR="007A18D4" w:rsidRDefault="007A18D4" w:rsidP="007A18D4">
      <w:pPr>
        <w:pStyle w:val="Ttulo4"/>
      </w:pPr>
      <w:r w:rsidRPr="0085787F">
        <w:t xml:space="preserve">Pares Académicos </w:t>
      </w:r>
    </w:p>
    <w:p w:rsidR="007A18D4" w:rsidRDefault="007A18D4" w:rsidP="007A18D4"/>
    <w:p w:rsidR="007A18D4" w:rsidRDefault="007A18D4" w:rsidP="007A18D4">
      <w:r w:rsidRPr="00D34B5A">
        <w:t>Este indicador informa sobre los contactos identificados en el extranjero y que se encuentran trabajando articuladamente en temas de interés conjunto</w:t>
      </w:r>
      <w:r>
        <w:t xml:space="preserve">.  </w:t>
      </w:r>
      <w:r w:rsidRPr="0085787F">
        <w:t xml:space="preserve">Este proyecto tiene como objetivo la búsqueda y consolidación de relaciones con pares académicos en el exterior. </w:t>
      </w:r>
    </w:p>
    <w:p w:rsidR="007A18D4" w:rsidRPr="000561C9" w:rsidRDefault="007A18D4" w:rsidP="007A18D4">
      <w:r>
        <w:t>El resultado de este indicador se</w:t>
      </w:r>
      <w:r w:rsidRPr="00D929F8">
        <w:t xml:space="preserve"> fundamenta en la revisión de las actividades que dan origen a proyectos conjuntes tales como movilidad docente y/o de investigadores, presentación de ponencias, seminarios y trabajos con miras a fortalecer los programas y/o generar dobles diplomas. </w:t>
      </w:r>
      <w:r>
        <w:t xml:space="preserve"> Existe buena</w:t>
      </w:r>
      <w:r w:rsidRPr="00D929F8">
        <w:t xml:space="preserve"> gestión por parte de las Facultades con respecto a las actividades que se realizan con pa</w:t>
      </w:r>
      <w:r>
        <w:t xml:space="preserve">res académicos internacionales, </w:t>
      </w:r>
      <w:r w:rsidRPr="00D929F8">
        <w:t xml:space="preserve"> además </w:t>
      </w:r>
      <w:r>
        <w:t>de la gestión con</w:t>
      </w:r>
      <w:r w:rsidRPr="00D929F8">
        <w:t xml:space="preserve"> la ORI </w:t>
      </w:r>
      <w:r>
        <w:t xml:space="preserve"> y </w:t>
      </w:r>
      <w:r w:rsidRPr="00D929F8">
        <w:t>su participación</w:t>
      </w:r>
      <w:r>
        <w:t xml:space="preserve"> activa en misiones</w:t>
      </w:r>
      <w:r w:rsidRPr="00D929F8">
        <w:t xml:space="preserve"> académicas y ferias internacionales han logrado ir posicionando y haciendo visible cada vez más a la UTP.</w:t>
      </w:r>
    </w:p>
    <w:p w:rsidR="007A18D4" w:rsidRPr="00D929F8" w:rsidRDefault="007A18D4" w:rsidP="007A18D4">
      <w:r w:rsidRPr="00D929F8">
        <w:t>Igualmente existen dos programas con doble titulación, estos son Ingeniería industrial e Ingeniería mecánica.</w:t>
      </w:r>
    </w:p>
    <w:p w:rsidR="007A18D4" w:rsidRDefault="007A18D4" w:rsidP="007A18D4">
      <w:pPr>
        <w:rPr>
          <w:b/>
        </w:rPr>
      </w:pPr>
    </w:p>
    <w:tbl>
      <w:tblPr>
        <w:tblStyle w:val="Cuadrculaclara-nfasis11"/>
        <w:tblW w:w="0" w:type="auto"/>
        <w:tblLook w:val="04A0" w:firstRow="1" w:lastRow="0" w:firstColumn="1" w:lastColumn="0" w:noHBand="0" w:noVBand="1"/>
      </w:tblPr>
      <w:tblGrid>
        <w:gridCol w:w="1101"/>
        <w:gridCol w:w="7877"/>
      </w:tblGrid>
      <w:tr w:rsidR="007A18D4" w:rsidRPr="000064CE" w:rsidTr="005678E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101" w:type="dxa"/>
          </w:tcPr>
          <w:p w:rsidR="007A18D4" w:rsidRPr="000064CE" w:rsidRDefault="007A18D4" w:rsidP="005678E7">
            <w:pPr>
              <w:autoSpaceDE w:val="0"/>
              <w:autoSpaceDN w:val="0"/>
              <w:adjustRightInd w:val="0"/>
              <w:jc w:val="center"/>
              <w:rPr>
                <w:rFonts w:asciiTheme="minorHAnsi" w:hAnsiTheme="minorHAnsi" w:cs="Calibri"/>
                <w:color w:val="000000"/>
                <w:sz w:val="18"/>
                <w:szCs w:val="18"/>
              </w:rPr>
            </w:pPr>
            <w:r w:rsidRPr="000064CE">
              <w:rPr>
                <w:rFonts w:asciiTheme="minorHAnsi" w:hAnsiTheme="minorHAnsi" w:cs="Calibri"/>
                <w:color w:val="000000"/>
                <w:sz w:val="18"/>
                <w:szCs w:val="18"/>
              </w:rPr>
              <w:t>Año</w:t>
            </w:r>
          </w:p>
        </w:tc>
        <w:tc>
          <w:tcPr>
            <w:tcW w:w="7877" w:type="dxa"/>
          </w:tcPr>
          <w:p w:rsidR="007A18D4" w:rsidRPr="000064CE" w:rsidRDefault="007A18D4" w:rsidP="005678E7">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Calibri"/>
                <w:color w:val="000000"/>
                <w:sz w:val="18"/>
                <w:szCs w:val="18"/>
              </w:rPr>
            </w:pPr>
            <w:r w:rsidRPr="000064CE">
              <w:rPr>
                <w:rFonts w:asciiTheme="minorHAnsi" w:hAnsiTheme="minorHAnsi" w:cs="Calibri"/>
                <w:color w:val="000000"/>
                <w:sz w:val="18"/>
                <w:szCs w:val="18"/>
              </w:rPr>
              <w:t>Resultados</w:t>
            </w:r>
          </w:p>
        </w:tc>
      </w:tr>
      <w:tr w:rsidR="007A18D4" w:rsidRPr="000064CE" w:rsidTr="005678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vAlign w:val="center"/>
          </w:tcPr>
          <w:p w:rsidR="007A18D4" w:rsidRPr="000064CE" w:rsidRDefault="007A18D4" w:rsidP="005678E7">
            <w:pPr>
              <w:autoSpaceDE w:val="0"/>
              <w:autoSpaceDN w:val="0"/>
              <w:adjustRightInd w:val="0"/>
              <w:jc w:val="center"/>
              <w:rPr>
                <w:rFonts w:asciiTheme="minorHAnsi" w:hAnsiTheme="minorHAnsi" w:cs="Calibri"/>
                <w:color w:val="000000"/>
                <w:sz w:val="18"/>
                <w:szCs w:val="18"/>
              </w:rPr>
            </w:pPr>
            <w:r w:rsidRPr="000064CE">
              <w:rPr>
                <w:rFonts w:asciiTheme="minorHAnsi" w:hAnsiTheme="minorHAnsi" w:cs="Calibri"/>
                <w:color w:val="000000"/>
                <w:sz w:val="18"/>
                <w:szCs w:val="18"/>
              </w:rPr>
              <w:t>2010</w:t>
            </w:r>
          </w:p>
        </w:tc>
        <w:tc>
          <w:tcPr>
            <w:tcW w:w="7877" w:type="dxa"/>
          </w:tcPr>
          <w:p w:rsidR="007A18D4" w:rsidRPr="000064CE" w:rsidRDefault="007A18D4" w:rsidP="005678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HAnsi" w:hAnsiTheme="minorHAnsi" w:cs="Calibri"/>
                <w:color w:val="000000"/>
                <w:sz w:val="18"/>
                <w:szCs w:val="18"/>
              </w:rPr>
            </w:pPr>
            <w:r w:rsidRPr="000064CE">
              <w:rPr>
                <w:rFonts w:asciiTheme="minorHAnsi" w:hAnsiTheme="minorHAnsi" w:cs="Calibri"/>
                <w:color w:val="000000"/>
                <w:sz w:val="18"/>
                <w:szCs w:val="18"/>
              </w:rPr>
              <w:t>La meta era de nueve (9) pares académicos, se logró identificar diez (10) para un cumplimiento del 111.11%.</w:t>
            </w:r>
          </w:p>
        </w:tc>
      </w:tr>
      <w:tr w:rsidR="007A18D4" w:rsidRPr="000064CE" w:rsidTr="005678E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vAlign w:val="center"/>
          </w:tcPr>
          <w:p w:rsidR="007A18D4" w:rsidRPr="000064CE" w:rsidRDefault="007A18D4" w:rsidP="005678E7">
            <w:pPr>
              <w:autoSpaceDE w:val="0"/>
              <w:autoSpaceDN w:val="0"/>
              <w:adjustRightInd w:val="0"/>
              <w:jc w:val="center"/>
              <w:rPr>
                <w:rFonts w:asciiTheme="minorHAnsi" w:hAnsiTheme="minorHAnsi" w:cs="Calibri"/>
                <w:color w:val="000000"/>
                <w:sz w:val="18"/>
                <w:szCs w:val="18"/>
              </w:rPr>
            </w:pPr>
            <w:r w:rsidRPr="000064CE">
              <w:rPr>
                <w:rFonts w:asciiTheme="minorHAnsi" w:hAnsiTheme="minorHAnsi" w:cs="Calibri"/>
                <w:color w:val="000000"/>
                <w:sz w:val="18"/>
                <w:szCs w:val="18"/>
              </w:rPr>
              <w:t>2011</w:t>
            </w:r>
          </w:p>
        </w:tc>
        <w:tc>
          <w:tcPr>
            <w:tcW w:w="7877" w:type="dxa"/>
          </w:tcPr>
          <w:p w:rsidR="007A18D4" w:rsidRPr="000064CE" w:rsidRDefault="007A18D4" w:rsidP="005678E7">
            <w:pPr>
              <w:pStyle w:val="Default"/>
              <w:jc w:val="both"/>
              <w:cnfStyle w:val="000000010000" w:firstRow="0" w:lastRow="0" w:firstColumn="0" w:lastColumn="0" w:oddVBand="0" w:evenVBand="0" w:oddHBand="0" w:evenHBand="1" w:firstRowFirstColumn="0" w:firstRowLastColumn="0" w:lastRowFirstColumn="0" w:lastRowLastColumn="0"/>
              <w:rPr>
                <w:rFonts w:asciiTheme="minorHAnsi" w:hAnsiTheme="minorHAnsi" w:cs="Calibri"/>
                <w:sz w:val="18"/>
                <w:szCs w:val="18"/>
                <w:lang w:val="es-ES"/>
              </w:rPr>
            </w:pPr>
            <w:r w:rsidRPr="000064CE">
              <w:rPr>
                <w:rFonts w:asciiTheme="minorHAnsi" w:hAnsiTheme="minorHAnsi" w:cs="Calibri"/>
                <w:sz w:val="18"/>
                <w:szCs w:val="18"/>
                <w:lang w:val="es-ES"/>
              </w:rPr>
              <w:t>Aunque la meta era de diez y ocho (18) pares académicos, se logró identificar veinte (20) sobre</w:t>
            </w:r>
            <w:r>
              <w:rPr>
                <w:rFonts w:asciiTheme="minorHAnsi" w:hAnsiTheme="minorHAnsi" w:cs="Calibri"/>
                <w:sz w:val="18"/>
                <w:szCs w:val="18"/>
                <w:lang w:val="es-ES"/>
              </w:rPr>
              <w:t xml:space="preserve"> </w:t>
            </w:r>
            <w:r w:rsidRPr="000064CE">
              <w:rPr>
                <w:rFonts w:asciiTheme="minorHAnsi" w:hAnsiTheme="minorHAnsi" w:cs="Calibri"/>
                <w:sz w:val="18"/>
                <w:szCs w:val="18"/>
                <w:lang w:val="es-ES"/>
              </w:rPr>
              <w:t xml:space="preserve">cumpliendo el objetivo.  </w:t>
            </w:r>
          </w:p>
        </w:tc>
      </w:tr>
      <w:tr w:rsidR="007A18D4" w:rsidRPr="000064CE" w:rsidTr="005678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vAlign w:val="center"/>
          </w:tcPr>
          <w:p w:rsidR="007A18D4" w:rsidRPr="000064CE" w:rsidRDefault="007A18D4" w:rsidP="005678E7">
            <w:pPr>
              <w:autoSpaceDE w:val="0"/>
              <w:autoSpaceDN w:val="0"/>
              <w:adjustRightInd w:val="0"/>
              <w:jc w:val="center"/>
              <w:rPr>
                <w:rFonts w:asciiTheme="minorHAnsi" w:hAnsiTheme="minorHAnsi" w:cs="Calibri"/>
                <w:color w:val="000000"/>
                <w:sz w:val="18"/>
                <w:szCs w:val="18"/>
              </w:rPr>
            </w:pPr>
            <w:r w:rsidRPr="000064CE">
              <w:rPr>
                <w:rFonts w:asciiTheme="minorHAnsi" w:hAnsiTheme="minorHAnsi" w:cs="Calibri"/>
                <w:color w:val="000000"/>
                <w:sz w:val="18"/>
                <w:szCs w:val="18"/>
              </w:rPr>
              <w:t>2012</w:t>
            </w:r>
          </w:p>
        </w:tc>
        <w:tc>
          <w:tcPr>
            <w:tcW w:w="7877" w:type="dxa"/>
          </w:tcPr>
          <w:p w:rsidR="007A18D4" w:rsidRPr="000064CE" w:rsidRDefault="007A18D4" w:rsidP="005678E7">
            <w:pPr>
              <w:pStyle w:val="Default"/>
              <w:jc w:val="both"/>
              <w:cnfStyle w:val="000000100000" w:firstRow="0" w:lastRow="0" w:firstColumn="0" w:lastColumn="0" w:oddVBand="0" w:evenVBand="0" w:oddHBand="1" w:evenHBand="0" w:firstRowFirstColumn="0" w:firstRowLastColumn="0" w:lastRowFirstColumn="0" w:lastRowLastColumn="0"/>
              <w:rPr>
                <w:rFonts w:asciiTheme="minorHAnsi" w:hAnsiTheme="minorHAnsi" w:cs="Calibri"/>
                <w:sz w:val="18"/>
                <w:szCs w:val="18"/>
                <w:lang w:val="es-ES"/>
              </w:rPr>
            </w:pPr>
            <w:r w:rsidRPr="000064CE">
              <w:rPr>
                <w:rFonts w:asciiTheme="minorHAnsi" w:hAnsiTheme="minorHAnsi" w:cs="Calibri"/>
                <w:sz w:val="18"/>
                <w:szCs w:val="18"/>
                <w:lang w:val="es-ES"/>
              </w:rPr>
              <w:t>La meta fue de quince (15) y el cumplimiento final fue de diez y seis (16). Este dato se fundamenta en la revisión de las actividades que dan origen a proyectos conjuntes tales como movilidad docente y/o de investigadores, presentación de ponencias, seminarios y trabajos con miras a fortalecer los programas y/o generar dobles diplomas. Aún no se cuenta con datos de todas las Facultades, se está revisando la cadena de logro con el fin de facilitar el flujo, oportunidad y exactitud de la información. La meta ha sido superada debido a que hay una gestión mayor por parte de las Facultades con respecto a las actividades que se realizan con pares académicos internacionales y además la gestión de la ORI ha permitido conseguir la información. La Rectoría y la ORI mediante su participación activa en misionas académicas y ferias internacionales han logrado ir posicionando y haciendo visible cada vez más a la UTP lo que facilita el acercamiento a instituciones internacionales importantes.</w:t>
            </w:r>
          </w:p>
        </w:tc>
      </w:tr>
    </w:tbl>
    <w:p w:rsidR="007A18D4" w:rsidRDefault="007A18D4" w:rsidP="007A18D4">
      <w:pPr>
        <w:pStyle w:val="Ttulo4"/>
      </w:pPr>
      <w:r w:rsidRPr="00AE160C">
        <w:t xml:space="preserve">Asignaturas orientadas por profesores extranjeros visitantes </w:t>
      </w:r>
    </w:p>
    <w:p w:rsidR="007A18D4" w:rsidRDefault="007A18D4" w:rsidP="007A18D4"/>
    <w:p w:rsidR="007A18D4" w:rsidRDefault="007A18D4" w:rsidP="007A18D4">
      <w:r w:rsidRPr="00B55D5A">
        <w:t>Este indicador está dado por el número de asignaturas orientadas por profesores extranjeros visitantes en la UTP.</w:t>
      </w:r>
    </w:p>
    <w:p w:rsidR="007A18D4" w:rsidRDefault="007A18D4" w:rsidP="007A18D4"/>
    <w:p w:rsidR="007A18D4" w:rsidRDefault="007A18D4" w:rsidP="007A18D4">
      <w:pPr>
        <w:jc w:val="center"/>
      </w:pPr>
      <w:r w:rsidRPr="001D466E">
        <w:rPr>
          <w:b/>
        </w:rPr>
        <w:t>Asignaturas orientadas por profesores extranjeros visitantes</w:t>
      </w:r>
    </w:p>
    <w:p w:rsidR="007A18D4" w:rsidRDefault="007A18D4" w:rsidP="007A18D4">
      <w:pPr>
        <w:jc w:val="center"/>
      </w:pPr>
      <w:r w:rsidRPr="001D466E">
        <w:rPr>
          <w:noProof/>
          <w:lang w:val="es-CO" w:eastAsia="es-CO"/>
        </w:rPr>
        <w:drawing>
          <wp:inline distT="0" distB="0" distL="0" distR="0">
            <wp:extent cx="4574895" cy="1755648"/>
            <wp:effectExtent l="19050" t="0" r="0" b="0"/>
            <wp:docPr id="56" name="Grá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p w:rsidR="007A18D4" w:rsidRPr="00D61EFB" w:rsidRDefault="007A18D4" w:rsidP="007A18D4">
      <w:pPr>
        <w:jc w:val="center"/>
        <w:rPr>
          <w:b/>
        </w:rPr>
      </w:pPr>
      <w:r w:rsidRPr="00D61EFB">
        <w:rPr>
          <w:b/>
        </w:rPr>
        <w:t>Fuente: Oficina de Relaciones Internacionales</w:t>
      </w:r>
    </w:p>
    <w:p w:rsidR="007A18D4" w:rsidRPr="00B55D5A" w:rsidRDefault="007A18D4" w:rsidP="007A18D4"/>
    <w:p w:rsidR="007A18D4" w:rsidRPr="00D41417" w:rsidRDefault="007A18D4" w:rsidP="007A18D4">
      <w:r>
        <w:t xml:space="preserve">Se ha venido dando un incremento en los resultados de esta estrategia, en el 2011, </w:t>
      </w:r>
      <w:r w:rsidRPr="00466170">
        <w:rPr>
          <w:b/>
        </w:rPr>
        <w:t>3</w:t>
      </w:r>
      <w:r>
        <w:t xml:space="preserve"> asignaturas fueron orientadas por profesores extranjeros;</w:t>
      </w:r>
      <w:r w:rsidRPr="00D41417">
        <w:t xml:space="preserve"> para la vigencia </w:t>
      </w:r>
      <w:r w:rsidRPr="007824F9">
        <w:rPr>
          <w:b/>
        </w:rPr>
        <w:t>2012</w:t>
      </w:r>
      <w:r>
        <w:t>,</w:t>
      </w:r>
      <w:r w:rsidRPr="00D41417">
        <w:t xml:space="preserve"> </w:t>
      </w:r>
      <w:r>
        <w:t xml:space="preserve">esta cifra ascendió a </w:t>
      </w:r>
      <w:r w:rsidRPr="00466170">
        <w:rPr>
          <w:b/>
        </w:rPr>
        <w:t>7</w:t>
      </w:r>
      <w:r>
        <w:t>; e</w:t>
      </w:r>
      <w:r w:rsidRPr="00D41417">
        <w:t>l incremento se debió especialmente a las materias que se dictan en los posgrados: el Doctorado en Ingeniería (</w:t>
      </w:r>
      <w:r w:rsidRPr="00466170">
        <w:rPr>
          <w:b/>
        </w:rPr>
        <w:t>3</w:t>
      </w:r>
      <w:r w:rsidRPr="00D41417">
        <w:t>), la Maestría en Ingeniería Eléctrica (</w:t>
      </w:r>
      <w:r w:rsidRPr="00466170">
        <w:rPr>
          <w:b/>
        </w:rPr>
        <w:t>1</w:t>
      </w:r>
      <w:r w:rsidRPr="00D41417">
        <w:t>), la Maestría en Educación (</w:t>
      </w:r>
      <w:r w:rsidRPr="00466170">
        <w:rPr>
          <w:b/>
        </w:rPr>
        <w:t>2</w:t>
      </w:r>
      <w:r w:rsidRPr="00D41417">
        <w:t>) y la Maestría en Ingeniería Mecánica</w:t>
      </w:r>
      <w:r>
        <w:t xml:space="preserve"> (</w:t>
      </w:r>
      <w:r w:rsidRPr="00466170">
        <w:rPr>
          <w:b/>
        </w:rPr>
        <w:t>1</w:t>
      </w:r>
      <w:r>
        <w:t>)</w:t>
      </w:r>
      <w:r w:rsidRPr="00D41417">
        <w:t xml:space="preserve">. </w:t>
      </w:r>
    </w:p>
    <w:p w:rsidR="007A18D4" w:rsidRDefault="007A18D4" w:rsidP="007A18D4">
      <w:pPr>
        <w:rPr>
          <w:b/>
        </w:rPr>
      </w:pPr>
    </w:p>
    <w:p w:rsidR="007A18D4" w:rsidRDefault="007A18D4" w:rsidP="007A18D4">
      <w:pPr>
        <w:pStyle w:val="Ttulo4"/>
      </w:pPr>
      <w:r w:rsidRPr="007625C9">
        <w:t xml:space="preserve">Organización de Eventos Internacionales </w:t>
      </w:r>
    </w:p>
    <w:p w:rsidR="007A18D4" w:rsidRPr="0013685A" w:rsidRDefault="007A18D4" w:rsidP="007A18D4"/>
    <w:p w:rsidR="007A18D4" w:rsidRDefault="007A18D4" w:rsidP="007A18D4">
      <w:r w:rsidRPr="005228EB">
        <w:t>Los eventos internacionales han venido desarrollándose en transcurso</w:t>
      </w:r>
      <w:r>
        <w:t xml:space="preserve"> de todo el </w:t>
      </w:r>
      <w:r w:rsidRPr="005228EB">
        <w:t xml:space="preserve"> </w:t>
      </w:r>
      <w:r>
        <w:t>Plan de Desarrollo Institucional 2009 - 2019</w:t>
      </w:r>
      <w:r w:rsidRPr="005228EB">
        <w:t>, en</w:t>
      </w:r>
      <w:r>
        <w:t xml:space="preserve"> </w:t>
      </w:r>
      <w:r w:rsidRPr="005228EB">
        <w:t xml:space="preserve">cada vigencia se han desarrollado mínimo </w:t>
      </w:r>
      <w:r w:rsidRPr="00213FD6">
        <w:rPr>
          <w:b/>
        </w:rPr>
        <w:t>3</w:t>
      </w:r>
      <w:r w:rsidRPr="005228EB">
        <w:t xml:space="preserve"> eventos internacionales</w:t>
      </w:r>
      <w:r>
        <w:t xml:space="preserve">. </w:t>
      </w:r>
    </w:p>
    <w:p w:rsidR="007A18D4" w:rsidRPr="00C84BC1" w:rsidRDefault="007A18D4" w:rsidP="007A18D4">
      <w:pPr>
        <w:jc w:val="center"/>
        <w:rPr>
          <w:b/>
        </w:rPr>
      </w:pPr>
      <w:r w:rsidRPr="00C84BC1">
        <w:rPr>
          <w:b/>
        </w:rPr>
        <w:t>Eventos Internacionales realizados desde la UTP</w:t>
      </w:r>
    </w:p>
    <w:p w:rsidR="007A18D4" w:rsidRDefault="007A18D4" w:rsidP="007A18D4">
      <w:pPr>
        <w:jc w:val="center"/>
      </w:pPr>
      <w:r>
        <w:rPr>
          <w:noProof/>
          <w:lang w:val="es-CO" w:eastAsia="es-CO"/>
        </w:rPr>
        <w:drawing>
          <wp:inline distT="0" distB="0" distL="0" distR="0">
            <wp:extent cx="4181448" cy="1097280"/>
            <wp:effectExtent l="19050" t="0" r="0" b="0"/>
            <wp:docPr id="57" name="Gráfico 126"/>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p w:rsidR="007A18D4" w:rsidRPr="00C84BC1" w:rsidRDefault="007A18D4" w:rsidP="007A18D4">
      <w:pPr>
        <w:jc w:val="center"/>
        <w:rPr>
          <w:b/>
        </w:rPr>
      </w:pPr>
      <w:r w:rsidRPr="00C84BC1">
        <w:rPr>
          <w:b/>
        </w:rPr>
        <w:t xml:space="preserve">Fuente: </w:t>
      </w:r>
      <w:r>
        <w:rPr>
          <w:b/>
        </w:rPr>
        <w:t>Oficina de Relaciones Internacionales</w:t>
      </w:r>
    </w:p>
    <w:p w:rsidR="007A18D4" w:rsidRDefault="007A18D4" w:rsidP="007A18D4"/>
    <w:p w:rsidR="007A18D4" w:rsidRPr="007625C9" w:rsidRDefault="007A18D4" w:rsidP="007A18D4">
      <w:pPr>
        <w:rPr>
          <w:b/>
        </w:rPr>
      </w:pPr>
      <w:r>
        <w:t xml:space="preserve">Para estos eventos se </w:t>
      </w:r>
      <w:r w:rsidRPr="005228EB">
        <w:t>realiza un apoyo efectivo en trámites y logística. Hay planes de trabajo que se manejan a nivel de facultad (ejemplo: simposios internacionales de las facultades</w:t>
      </w:r>
      <w:r w:rsidRPr="007625C9">
        <w:t xml:space="preserve"> de Ingenierías, de Ciencias Ambientales, de la Vicerrectoría de Investigación Innovación y extensión). </w:t>
      </w:r>
    </w:p>
    <w:p w:rsidR="007A18D4" w:rsidRDefault="007A18D4" w:rsidP="007A18D4">
      <w:pPr>
        <w:rPr>
          <w:b/>
        </w:rPr>
      </w:pPr>
    </w:p>
    <w:p w:rsidR="007A18D4" w:rsidRDefault="007A18D4" w:rsidP="007A18D4">
      <w:pPr>
        <w:pStyle w:val="Ttulo4"/>
      </w:pPr>
      <w:r w:rsidRPr="009B5514">
        <w:lastRenderedPageBreak/>
        <w:t xml:space="preserve">Número </w:t>
      </w:r>
      <w:r w:rsidRPr="004B731A">
        <w:t xml:space="preserve">de Docentes que dan Ponencias </w:t>
      </w:r>
    </w:p>
    <w:p w:rsidR="007A18D4" w:rsidRPr="009B5514" w:rsidRDefault="007A18D4" w:rsidP="007A18D4"/>
    <w:p w:rsidR="007A18D4" w:rsidRDefault="007A18D4" w:rsidP="007A18D4">
      <w:r w:rsidRPr="006D4B1C">
        <w:t>El indicador mide la participación de docentes, investigadores y grupos de investigación de la UTP a través de ponencias en eventos internacionales</w:t>
      </w:r>
      <w:r>
        <w:t>.</w:t>
      </w:r>
    </w:p>
    <w:p w:rsidR="007A18D4" w:rsidRDefault="007A18D4" w:rsidP="007A18D4"/>
    <w:p w:rsidR="007A18D4" w:rsidRPr="00C84BC1" w:rsidRDefault="007A18D4" w:rsidP="007A18D4">
      <w:pPr>
        <w:jc w:val="center"/>
        <w:rPr>
          <w:b/>
        </w:rPr>
      </w:pPr>
      <w:r>
        <w:rPr>
          <w:b/>
        </w:rPr>
        <w:t>Ponencias</w:t>
      </w:r>
      <w:r w:rsidRPr="00C84BC1">
        <w:rPr>
          <w:b/>
        </w:rPr>
        <w:t xml:space="preserve"> Internacionales realizad</w:t>
      </w:r>
      <w:r>
        <w:rPr>
          <w:b/>
        </w:rPr>
        <w:t>as por Docentes de la UTP</w:t>
      </w:r>
    </w:p>
    <w:p w:rsidR="007A18D4" w:rsidRDefault="007A18D4" w:rsidP="007A18D4"/>
    <w:p w:rsidR="007A18D4" w:rsidRDefault="007A18D4" w:rsidP="007A18D4">
      <w:pPr>
        <w:jc w:val="center"/>
      </w:pPr>
      <w:r>
        <w:rPr>
          <w:noProof/>
          <w:lang w:val="es-CO" w:eastAsia="es-CO"/>
        </w:rPr>
        <w:drawing>
          <wp:inline distT="0" distB="0" distL="0" distR="0">
            <wp:extent cx="4182386" cy="1773140"/>
            <wp:effectExtent l="0" t="0" r="8890" b="0"/>
            <wp:docPr id="64" name="Gráfico 127"/>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p w:rsidR="007A18D4" w:rsidRPr="00C84BC1" w:rsidRDefault="007A18D4" w:rsidP="007A18D4">
      <w:pPr>
        <w:jc w:val="center"/>
        <w:rPr>
          <w:b/>
        </w:rPr>
      </w:pPr>
      <w:r w:rsidRPr="00C84BC1">
        <w:rPr>
          <w:b/>
        </w:rPr>
        <w:t xml:space="preserve">Fuente: </w:t>
      </w:r>
      <w:r>
        <w:rPr>
          <w:b/>
        </w:rPr>
        <w:t>Oficina de Relaciones Internacionales</w:t>
      </w:r>
    </w:p>
    <w:p w:rsidR="007A18D4" w:rsidRPr="009B5514" w:rsidRDefault="007A18D4" w:rsidP="007A18D4">
      <w:r w:rsidRPr="009B5514">
        <w:t>La facultad que mayor movilidad reporta en el tema de ponencias es la de Ciencias de la salud seguida por las facultades de Bellas artes, Ciencias básicas e Ingenierías y para el 2012 la meta era 35 ponencias y se dieron 52.</w:t>
      </w:r>
    </w:p>
    <w:p w:rsidR="007A18D4" w:rsidRDefault="007A18D4" w:rsidP="007A18D4">
      <w:pPr>
        <w:pStyle w:val="Ttulo4"/>
      </w:pPr>
      <w:r w:rsidRPr="002A2F77">
        <w:t>Membresías y participaciones en asociaciones internacionales</w:t>
      </w:r>
    </w:p>
    <w:p w:rsidR="007A18D4" w:rsidRDefault="007A18D4" w:rsidP="007A18D4"/>
    <w:p w:rsidR="007A18D4" w:rsidRDefault="007A18D4" w:rsidP="007A18D4">
      <w:pPr>
        <w:pStyle w:val="Default"/>
        <w:jc w:val="both"/>
        <w:rPr>
          <w:rFonts w:ascii="Calibri" w:hAnsi="Calibri" w:cs="Calibri"/>
        </w:rPr>
      </w:pPr>
      <w:r w:rsidRPr="00C63DF0">
        <w:rPr>
          <w:rFonts w:ascii="Calibri" w:hAnsi="Calibri" w:cs="Calibri"/>
        </w:rPr>
        <w:t>El indicador busca cuantificar la participación de la Universidad en asociaciones internacionales</w:t>
      </w:r>
      <w:r>
        <w:rPr>
          <w:rFonts w:ascii="Calibri" w:hAnsi="Calibri" w:cs="Calibri"/>
        </w:rPr>
        <w:t xml:space="preserve">. Para el año 2012, la Universidad contaba con un total de </w:t>
      </w:r>
      <w:r w:rsidRPr="00A30B9C">
        <w:rPr>
          <w:rFonts w:ascii="Calibri" w:hAnsi="Calibri" w:cs="Calibri"/>
          <w:b/>
        </w:rPr>
        <w:t>4</w:t>
      </w:r>
      <w:r>
        <w:rPr>
          <w:rFonts w:ascii="Calibri" w:hAnsi="Calibri" w:cs="Calibri"/>
        </w:rPr>
        <w:t xml:space="preserve"> membresías de carácter internacional.</w:t>
      </w:r>
    </w:p>
    <w:p w:rsidR="007A18D4" w:rsidRDefault="007A18D4" w:rsidP="007A18D4">
      <w:pPr>
        <w:pStyle w:val="Default"/>
        <w:jc w:val="both"/>
        <w:rPr>
          <w:rFonts w:ascii="Calibri" w:hAnsi="Calibri" w:cs="Calibri"/>
        </w:rPr>
      </w:pPr>
    </w:p>
    <w:p w:rsidR="007A18D4" w:rsidRPr="00A30B9C" w:rsidRDefault="007A18D4" w:rsidP="007A18D4">
      <w:pPr>
        <w:jc w:val="center"/>
        <w:rPr>
          <w:b/>
        </w:rPr>
      </w:pPr>
      <w:r w:rsidRPr="00A30B9C">
        <w:rPr>
          <w:b/>
        </w:rPr>
        <w:t>Membresías Internacionales</w:t>
      </w:r>
    </w:p>
    <w:tbl>
      <w:tblPr>
        <w:tblStyle w:val="Cuadrculaclara-nfasis11"/>
        <w:tblW w:w="8989" w:type="dxa"/>
        <w:jc w:val="center"/>
        <w:tblLook w:val="0420" w:firstRow="1" w:lastRow="0" w:firstColumn="0" w:lastColumn="0" w:noHBand="0" w:noVBand="1"/>
      </w:tblPr>
      <w:tblGrid>
        <w:gridCol w:w="1526"/>
        <w:gridCol w:w="7463"/>
      </w:tblGrid>
      <w:tr w:rsidR="007A18D4" w:rsidRPr="00A30B9C" w:rsidTr="007A18D4">
        <w:trPr>
          <w:cnfStyle w:val="100000000000" w:firstRow="1" w:lastRow="0" w:firstColumn="0" w:lastColumn="0" w:oddVBand="0" w:evenVBand="0" w:oddHBand="0" w:evenHBand="0" w:firstRowFirstColumn="0" w:firstRowLastColumn="0" w:lastRowFirstColumn="0" w:lastRowLastColumn="0"/>
          <w:trHeight w:val="20"/>
          <w:tblHeader/>
          <w:jc w:val="center"/>
        </w:trPr>
        <w:tc>
          <w:tcPr>
            <w:tcW w:w="1461" w:type="dxa"/>
            <w:noWrap/>
            <w:hideMark/>
          </w:tcPr>
          <w:p w:rsidR="007A18D4" w:rsidRPr="00A30B9C" w:rsidRDefault="007A18D4" w:rsidP="005678E7">
            <w:pPr>
              <w:spacing w:after="0"/>
              <w:jc w:val="center"/>
              <w:rPr>
                <w:rFonts w:asciiTheme="minorHAnsi" w:eastAsia="Times New Roman" w:hAnsiTheme="minorHAnsi" w:cs="Arial"/>
                <w:color w:val="000000"/>
                <w:sz w:val="16"/>
                <w:szCs w:val="16"/>
                <w:lang w:eastAsia="es-CO"/>
              </w:rPr>
            </w:pPr>
            <w:r w:rsidRPr="00A30B9C">
              <w:rPr>
                <w:rFonts w:asciiTheme="minorHAnsi" w:eastAsia="Times New Roman" w:hAnsiTheme="minorHAnsi" w:cs="Arial"/>
                <w:color w:val="000000"/>
                <w:sz w:val="16"/>
                <w:szCs w:val="16"/>
                <w:lang w:eastAsia="es-CO"/>
              </w:rPr>
              <w:t>Membresía</w:t>
            </w:r>
          </w:p>
        </w:tc>
        <w:tc>
          <w:tcPr>
            <w:tcW w:w="0" w:type="auto"/>
            <w:hideMark/>
          </w:tcPr>
          <w:p w:rsidR="007A18D4" w:rsidRPr="00A30B9C" w:rsidRDefault="007A18D4" w:rsidP="005678E7">
            <w:pPr>
              <w:spacing w:after="0"/>
              <w:jc w:val="center"/>
              <w:rPr>
                <w:rFonts w:asciiTheme="minorHAnsi" w:eastAsia="Times New Roman" w:hAnsiTheme="minorHAnsi" w:cs="Arial"/>
                <w:sz w:val="16"/>
                <w:szCs w:val="16"/>
                <w:lang w:eastAsia="es-CO"/>
              </w:rPr>
            </w:pPr>
            <w:r w:rsidRPr="00A30B9C">
              <w:rPr>
                <w:rFonts w:asciiTheme="minorHAnsi" w:eastAsia="Times New Roman" w:hAnsiTheme="minorHAnsi" w:cs="Arial"/>
                <w:sz w:val="16"/>
                <w:szCs w:val="16"/>
                <w:lang w:eastAsia="es-CO"/>
              </w:rPr>
              <w:t>Descripción</w:t>
            </w:r>
          </w:p>
        </w:tc>
      </w:tr>
      <w:tr w:rsidR="007A18D4" w:rsidRPr="00A30B9C" w:rsidTr="007A18D4">
        <w:trPr>
          <w:cnfStyle w:val="000000100000" w:firstRow="0" w:lastRow="0" w:firstColumn="0" w:lastColumn="0" w:oddVBand="0" w:evenVBand="0" w:oddHBand="1" w:evenHBand="0" w:firstRowFirstColumn="0" w:firstRowLastColumn="0" w:lastRowFirstColumn="0" w:lastRowLastColumn="0"/>
          <w:trHeight w:val="20"/>
          <w:jc w:val="center"/>
        </w:trPr>
        <w:tc>
          <w:tcPr>
            <w:tcW w:w="1461" w:type="dxa"/>
            <w:noWrap/>
            <w:vAlign w:val="center"/>
            <w:hideMark/>
          </w:tcPr>
          <w:p w:rsidR="007A18D4" w:rsidRPr="00A30B9C" w:rsidRDefault="007A18D4" w:rsidP="005678E7">
            <w:pPr>
              <w:spacing w:after="0"/>
              <w:jc w:val="center"/>
              <w:rPr>
                <w:rFonts w:asciiTheme="minorHAnsi" w:eastAsia="Times New Roman" w:hAnsiTheme="minorHAnsi" w:cs="Arial"/>
                <w:color w:val="000000"/>
                <w:sz w:val="16"/>
                <w:szCs w:val="16"/>
                <w:lang w:eastAsia="es-CO"/>
              </w:rPr>
            </w:pPr>
            <w:r w:rsidRPr="00A30B9C">
              <w:rPr>
                <w:rFonts w:asciiTheme="minorHAnsi" w:eastAsia="Times New Roman" w:hAnsiTheme="minorHAnsi" w:cs="Arial"/>
                <w:color w:val="000000"/>
                <w:sz w:val="16"/>
                <w:szCs w:val="16"/>
                <w:lang w:eastAsia="es-CO"/>
              </w:rPr>
              <w:t>ASOCIACION UNIVERSITARIA IBEROAMERICANA DE POSTGRADO</w:t>
            </w:r>
          </w:p>
        </w:tc>
        <w:tc>
          <w:tcPr>
            <w:tcW w:w="0" w:type="auto"/>
            <w:vAlign w:val="center"/>
            <w:hideMark/>
          </w:tcPr>
          <w:p w:rsidR="007A18D4" w:rsidRPr="00A30B9C" w:rsidRDefault="007A18D4" w:rsidP="005678E7">
            <w:pPr>
              <w:spacing w:after="0"/>
              <w:rPr>
                <w:rFonts w:asciiTheme="minorHAnsi" w:eastAsia="Times New Roman" w:hAnsiTheme="minorHAnsi" w:cs="Arial"/>
                <w:sz w:val="16"/>
                <w:szCs w:val="16"/>
                <w:lang w:eastAsia="es-CO"/>
              </w:rPr>
            </w:pPr>
            <w:r w:rsidRPr="00A30B9C">
              <w:rPr>
                <w:rFonts w:asciiTheme="minorHAnsi" w:eastAsia="Times New Roman" w:hAnsiTheme="minorHAnsi" w:cs="Arial"/>
                <w:sz w:val="16"/>
                <w:szCs w:val="16"/>
                <w:lang w:eastAsia="es-CO"/>
              </w:rPr>
              <w:t>La AUIP es un organismo internacional no gubernamental reconocido por la UNESCO, dedicada al fomento de los estudios de postgrado y doctorado en Iberoamérica.</w:t>
            </w:r>
          </w:p>
        </w:tc>
      </w:tr>
      <w:tr w:rsidR="007A18D4" w:rsidRPr="00A30B9C" w:rsidTr="007A18D4">
        <w:trPr>
          <w:cnfStyle w:val="000000010000" w:firstRow="0" w:lastRow="0" w:firstColumn="0" w:lastColumn="0" w:oddVBand="0" w:evenVBand="0" w:oddHBand="0" w:evenHBand="1" w:firstRowFirstColumn="0" w:firstRowLastColumn="0" w:lastRowFirstColumn="0" w:lastRowLastColumn="0"/>
          <w:trHeight w:val="20"/>
          <w:jc w:val="center"/>
        </w:trPr>
        <w:tc>
          <w:tcPr>
            <w:tcW w:w="1461" w:type="dxa"/>
            <w:noWrap/>
            <w:vAlign w:val="center"/>
            <w:hideMark/>
          </w:tcPr>
          <w:p w:rsidR="007A18D4" w:rsidRPr="00A30B9C" w:rsidRDefault="007A18D4" w:rsidP="005678E7">
            <w:pPr>
              <w:spacing w:after="0"/>
              <w:jc w:val="center"/>
              <w:rPr>
                <w:rFonts w:asciiTheme="minorHAnsi" w:eastAsia="Times New Roman" w:hAnsiTheme="minorHAnsi" w:cs="Arial"/>
                <w:color w:val="000000"/>
                <w:sz w:val="16"/>
                <w:szCs w:val="16"/>
                <w:lang w:eastAsia="es-CO"/>
              </w:rPr>
            </w:pPr>
            <w:r w:rsidRPr="00A30B9C">
              <w:rPr>
                <w:rFonts w:asciiTheme="minorHAnsi" w:eastAsia="Times New Roman" w:hAnsiTheme="minorHAnsi" w:cs="Arial"/>
                <w:color w:val="000000"/>
                <w:sz w:val="16"/>
                <w:szCs w:val="16"/>
                <w:lang w:eastAsia="es-CO"/>
              </w:rPr>
              <w:t>ASSOCIATION COLUMBUS</w:t>
            </w:r>
          </w:p>
        </w:tc>
        <w:tc>
          <w:tcPr>
            <w:tcW w:w="0" w:type="auto"/>
            <w:vAlign w:val="center"/>
            <w:hideMark/>
          </w:tcPr>
          <w:p w:rsidR="007A18D4" w:rsidRPr="00A30B9C" w:rsidRDefault="007A18D4" w:rsidP="005678E7">
            <w:pPr>
              <w:spacing w:after="0"/>
              <w:rPr>
                <w:rFonts w:asciiTheme="minorHAnsi" w:eastAsia="Times New Roman" w:hAnsiTheme="minorHAnsi" w:cs="Arial"/>
                <w:sz w:val="16"/>
                <w:szCs w:val="16"/>
                <w:lang w:eastAsia="es-CO"/>
              </w:rPr>
            </w:pPr>
            <w:r w:rsidRPr="00A30B9C">
              <w:rPr>
                <w:rFonts w:asciiTheme="minorHAnsi" w:eastAsia="Times New Roman" w:hAnsiTheme="minorHAnsi" w:cs="Arial"/>
                <w:sz w:val="16"/>
                <w:szCs w:val="16"/>
                <w:lang w:eastAsia="es-CO"/>
              </w:rPr>
              <w:t>Asociación fundada por la Asociación Europea de Universidades Latinoamericanas (AULA), promueve la cooperación entre universidades de Europa y América Latina, con el objetivo de identificar y acceder a oportunidades de cooperación, evaluar y mejorar sus programas académicos, y más.</w:t>
            </w:r>
          </w:p>
        </w:tc>
      </w:tr>
      <w:tr w:rsidR="007A18D4" w:rsidRPr="00A30B9C" w:rsidTr="007A18D4">
        <w:trPr>
          <w:cnfStyle w:val="000000100000" w:firstRow="0" w:lastRow="0" w:firstColumn="0" w:lastColumn="0" w:oddVBand="0" w:evenVBand="0" w:oddHBand="1" w:evenHBand="0" w:firstRowFirstColumn="0" w:firstRowLastColumn="0" w:lastRowFirstColumn="0" w:lastRowLastColumn="0"/>
          <w:trHeight w:val="20"/>
          <w:jc w:val="center"/>
        </w:trPr>
        <w:tc>
          <w:tcPr>
            <w:tcW w:w="1461" w:type="dxa"/>
            <w:vAlign w:val="center"/>
            <w:hideMark/>
          </w:tcPr>
          <w:p w:rsidR="007A18D4" w:rsidRPr="00A30B9C" w:rsidRDefault="007A18D4" w:rsidP="005678E7">
            <w:pPr>
              <w:spacing w:after="0"/>
              <w:jc w:val="center"/>
              <w:rPr>
                <w:rFonts w:asciiTheme="minorHAnsi" w:eastAsia="Times New Roman" w:hAnsiTheme="minorHAnsi" w:cs="Arial"/>
                <w:sz w:val="16"/>
                <w:szCs w:val="16"/>
                <w:lang w:eastAsia="es-CO"/>
              </w:rPr>
            </w:pPr>
            <w:r w:rsidRPr="00A30B9C">
              <w:rPr>
                <w:rFonts w:asciiTheme="minorHAnsi" w:eastAsia="Times New Roman" w:hAnsiTheme="minorHAnsi" w:cs="Arial"/>
                <w:sz w:val="16"/>
                <w:szCs w:val="16"/>
                <w:lang w:eastAsia="es-CO"/>
              </w:rPr>
              <w:t>CONSORCIO DE ESCUELAS DE INGENIERÍA DE LATINOAMÉRICA Y DEL CARIBE</w:t>
            </w:r>
          </w:p>
        </w:tc>
        <w:tc>
          <w:tcPr>
            <w:tcW w:w="0" w:type="auto"/>
            <w:vAlign w:val="center"/>
            <w:hideMark/>
          </w:tcPr>
          <w:p w:rsidR="007A18D4" w:rsidRPr="00A30B9C" w:rsidRDefault="007A18D4" w:rsidP="005678E7">
            <w:pPr>
              <w:spacing w:after="0"/>
              <w:rPr>
                <w:rFonts w:asciiTheme="minorHAnsi" w:eastAsia="Times New Roman" w:hAnsiTheme="minorHAnsi" w:cs="Arial"/>
                <w:sz w:val="16"/>
                <w:szCs w:val="16"/>
                <w:lang w:eastAsia="es-CO"/>
              </w:rPr>
            </w:pPr>
            <w:r w:rsidRPr="00A30B9C">
              <w:rPr>
                <w:rFonts w:asciiTheme="minorHAnsi" w:eastAsia="Times New Roman" w:hAnsiTheme="minorHAnsi" w:cs="Arial"/>
                <w:sz w:val="16"/>
                <w:szCs w:val="16"/>
                <w:lang w:eastAsia="es-CO"/>
              </w:rPr>
              <w:t>Asociación líder en América Latina y el Caribe que agrupa instituciones de Ingeniería, con el fin de fomentar alianzas entre academia,  industria, organizaciones gubernamentales y privadas en los ámbitos de la educación en ingeniería, investigación y avance tecnológico para el beneficio de la sociedad y las naciones.</w:t>
            </w:r>
          </w:p>
        </w:tc>
      </w:tr>
      <w:tr w:rsidR="007A18D4" w:rsidRPr="00A30B9C" w:rsidTr="007A18D4">
        <w:trPr>
          <w:cnfStyle w:val="000000010000" w:firstRow="0" w:lastRow="0" w:firstColumn="0" w:lastColumn="0" w:oddVBand="0" w:evenVBand="0" w:oddHBand="0" w:evenHBand="1" w:firstRowFirstColumn="0" w:firstRowLastColumn="0" w:lastRowFirstColumn="0" w:lastRowLastColumn="0"/>
          <w:trHeight w:val="20"/>
          <w:jc w:val="center"/>
        </w:trPr>
        <w:tc>
          <w:tcPr>
            <w:tcW w:w="1461" w:type="dxa"/>
            <w:noWrap/>
            <w:vAlign w:val="center"/>
            <w:hideMark/>
          </w:tcPr>
          <w:p w:rsidR="007A18D4" w:rsidRPr="00A30B9C" w:rsidRDefault="007A18D4" w:rsidP="005678E7">
            <w:pPr>
              <w:spacing w:after="0"/>
              <w:jc w:val="center"/>
              <w:rPr>
                <w:rFonts w:asciiTheme="minorHAnsi" w:eastAsia="Times New Roman" w:hAnsiTheme="minorHAnsi" w:cs="Arial"/>
                <w:sz w:val="16"/>
                <w:szCs w:val="16"/>
                <w:lang w:eastAsia="es-CO"/>
              </w:rPr>
            </w:pPr>
            <w:r w:rsidRPr="00A30B9C">
              <w:rPr>
                <w:rFonts w:asciiTheme="minorHAnsi" w:eastAsia="Times New Roman" w:hAnsiTheme="minorHAnsi" w:cs="Arial"/>
                <w:sz w:val="16"/>
                <w:szCs w:val="16"/>
                <w:lang w:eastAsia="es-CO"/>
              </w:rPr>
              <w:t>CONSEJO LATINOAMERICANO DE CIENCIAS SOCIALES</w:t>
            </w:r>
          </w:p>
        </w:tc>
        <w:tc>
          <w:tcPr>
            <w:tcW w:w="0" w:type="auto"/>
            <w:vAlign w:val="center"/>
            <w:hideMark/>
          </w:tcPr>
          <w:p w:rsidR="007A18D4" w:rsidRPr="00A30B9C" w:rsidRDefault="007A18D4" w:rsidP="005678E7">
            <w:pPr>
              <w:spacing w:after="0"/>
              <w:rPr>
                <w:rFonts w:asciiTheme="minorHAnsi" w:eastAsia="Times New Roman" w:hAnsiTheme="minorHAnsi" w:cs="Arial"/>
                <w:sz w:val="16"/>
                <w:szCs w:val="16"/>
                <w:lang w:eastAsia="es-CO"/>
              </w:rPr>
            </w:pPr>
            <w:r w:rsidRPr="00A30B9C">
              <w:rPr>
                <w:rFonts w:asciiTheme="minorHAnsi" w:eastAsia="Times New Roman" w:hAnsiTheme="minorHAnsi" w:cs="Arial"/>
                <w:sz w:val="16"/>
                <w:szCs w:val="16"/>
                <w:lang w:eastAsia="es-CO"/>
              </w:rPr>
              <w:t>Consolidar un espacio de intercambio y cooperación académica entre los programas de Maestría y Doctorado que ofrecen las instituciones que la  componen.</w:t>
            </w:r>
          </w:p>
        </w:tc>
      </w:tr>
    </w:tbl>
    <w:p w:rsidR="007A18D4" w:rsidRPr="00C84BC1" w:rsidRDefault="007A18D4" w:rsidP="007A18D4">
      <w:pPr>
        <w:jc w:val="center"/>
        <w:rPr>
          <w:b/>
        </w:rPr>
      </w:pPr>
      <w:r w:rsidRPr="00C84BC1">
        <w:rPr>
          <w:b/>
        </w:rPr>
        <w:lastRenderedPageBreak/>
        <w:t xml:space="preserve">Fuente: </w:t>
      </w:r>
      <w:r>
        <w:rPr>
          <w:b/>
        </w:rPr>
        <w:t>Oficina de Relaciones Internacionales</w:t>
      </w:r>
    </w:p>
    <w:p w:rsidR="007A18D4" w:rsidRDefault="007A18D4" w:rsidP="007A18D4"/>
    <w:p w:rsidR="007A18D4" w:rsidRDefault="007A18D4" w:rsidP="007A18D4">
      <w:pPr>
        <w:pStyle w:val="Ttulo3"/>
      </w:pPr>
      <w:bookmarkStart w:id="146" w:name="_Toc354671362"/>
      <w:r w:rsidRPr="00DB2827">
        <w:t>Gestión de la Información en Internacionalización</w:t>
      </w:r>
      <w:bookmarkEnd w:id="146"/>
    </w:p>
    <w:p w:rsidR="007A18D4" w:rsidRDefault="007A18D4" w:rsidP="007A18D4"/>
    <w:p w:rsidR="007A18D4" w:rsidRDefault="007A18D4" w:rsidP="007A18D4">
      <w:r w:rsidRPr="007F0C27">
        <w:t>Como uno de los objetivos nuevos de la universidad los esfuerzos se concentraron en el levantamiento de líneas base y mejoramiento en la gestión de la información, que permitirá ir avanzando en el sistema de información y soportar las decisiones al respecto; además de la identificación de actores de la internacionalización en la universidad que permite evidenciar el nivel en el que se encuentra la universidad y definir las estrategias y planes de acción que conlleven al alcance de los resultados de impacto y que visibilicen a la universidad en la comunidad internacional.</w:t>
      </w:r>
    </w:p>
    <w:p w:rsidR="007249A1" w:rsidRDefault="007A18D4" w:rsidP="007A18D4">
      <w:pPr>
        <w:rPr>
          <w:rFonts w:asciiTheme="minorHAnsi" w:hAnsiTheme="minorHAnsi" w:cs="Arial"/>
        </w:rPr>
      </w:pPr>
      <w:r>
        <w:t xml:space="preserve">En la actualidad se está trabajando fuertemente sobre </w:t>
      </w:r>
      <w:r w:rsidRPr="00262A31">
        <w:t>la informació</w:t>
      </w:r>
      <w:r>
        <w:t xml:space="preserve">n que deben generar las fuentes, </w:t>
      </w:r>
      <w:r w:rsidRPr="00262A31">
        <w:t>al igual que el desarrollo de un software que apoye la operación y gestión de la O</w:t>
      </w:r>
      <w:r>
        <w:t xml:space="preserve">ficina de </w:t>
      </w:r>
      <w:r w:rsidRPr="00262A31">
        <w:t>R</w:t>
      </w:r>
      <w:r>
        <w:t xml:space="preserve">elaciones </w:t>
      </w:r>
      <w:r w:rsidRPr="00262A31">
        <w:t>I</w:t>
      </w:r>
      <w:r>
        <w:t>nternacionales</w:t>
      </w:r>
      <w:r w:rsidRPr="00262A31">
        <w:t>.</w:t>
      </w:r>
    </w:p>
    <w:p w:rsidR="007249A1" w:rsidRDefault="007249A1">
      <w:pPr>
        <w:spacing w:after="200" w:line="276" w:lineRule="auto"/>
        <w:jc w:val="left"/>
        <w:rPr>
          <w:rFonts w:asciiTheme="minorHAnsi" w:hAnsiTheme="minorHAnsi" w:cs="Arial"/>
        </w:rPr>
      </w:pPr>
      <w:r>
        <w:rPr>
          <w:rFonts w:asciiTheme="minorHAnsi" w:hAnsiTheme="minorHAnsi" w:cs="Arial"/>
        </w:rPr>
        <w:br w:type="page"/>
      </w:r>
    </w:p>
    <w:p w:rsidR="00B963FC" w:rsidRPr="00535E30" w:rsidRDefault="00535E30" w:rsidP="0012432B">
      <w:pPr>
        <w:pStyle w:val="Ttulo2"/>
        <w:numPr>
          <w:ilvl w:val="1"/>
          <w:numId w:val="21"/>
        </w:numPr>
        <w:spacing w:line="276" w:lineRule="auto"/>
      </w:pPr>
      <w:bookmarkStart w:id="147" w:name="_Toc304826942"/>
      <w:bookmarkStart w:id="148" w:name="_Toc347392848"/>
      <w:bookmarkStart w:id="149" w:name="_Toc354671363"/>
      <w:r w:rsidRPr="00535E30">
        <w:rPr>
          <w:caps w:val="0"/>
        </w:rPr>
        <w:lastRenderedPageBreak/>
        <w:t>IMPACTO REGIONAL</w:t>
      </w:r>
      <w:bookmarkEnd w:id="147"/>
      <w:bookmarkEnd w:id="148"/>
      <w:bookmarkEnd w:id="149"/>
    </w:p>
    <w:p w:rsidR="00B963FC" w:rsidRPr="00535E30" w:rsidRDefault="00B963FC" w:rsidP="00F80905">
      <w:pPr>
        <w:spacing w:after="0" w:line="276" w:lineRule="auto"/>
        <w:rPr>
          <w:rFonts w:asciiTheme="minorHAnsi" w:hAnsiTheme="minorHAnsi" w:cs="Arial"/>
          <w:b/>
        </w:rPr>
      </w:pPr>
    </w:p>
    <w:p w:rsidR="009520A4" w:rsidRPr="005F738A" w:rsidRDefault="009520A4" w:rsidP="009520A4">
      <w:pPr>
        <w:autoSpaceDE w:val="0"/>
        <w:autoSpaceDN w:val="0"/>
        <w:adjustRightInd w:val="0"/>
        <w:spacing w:after="0"/>
      </w:pPr>
      <w:r>
        <w:t>Además de trabajar en sus objetivos misionales, l</w:t>
      </w:r>
      <w:r w:rsidRPr="005F738A">
        <w:t>a Universidad</w:t>
      </w:r>
      <w:r>
        <w:t xml:space="preserve"> ha decidido incorporarse de una manera directa en el aporte al desarrollo regional y la generación de impactos en el entorno. En este sentido surge el Objetivo Impacto Regional, que </w:t>
      </w:r>
      <w:r w:rsidRPr="005F738A">
        <w:t xml:space="preserve">busca contribuir desde su quehacer institucional a generar impactos a nivel tecnológico, académico, social y ambiental. Por ello reconoce su corresponsabilidad en la promoción del desarrollo regional y se ha volcado hacia la gestión con el medio. </w:t>
      </w:r>
    </w:p>
    <w:p w:rsidR="009520A4" w:rsidRDefault="009520A4" w:rsidP="009520A4">
      <w:pPr>
        <w:autoSpaceDE w:val="0"/>
        <w:autoSpaceDN w:val="0"/>
        <w:adjustRightInd w:val="0"/>
        <w:spacing w:after="0"/>
        <w:jc w:val="left"/>
      </w:pPr>
    </w:p>
    <w:p w:rsidR="009520A4" w:rsidRDefault="009520A4" w:rsidP="009520A4">
      <w:pPr>
        <w:autoSpaceDE w:val="0"/>
        <w:autoSpaceDN w:val="0"/>
        <w:adjustRightInd w:val="0"/>
        <w:spacing w:after="0"/>
        <w:jc w:val="left"/>
      </w:pPr>
      <w:r w:rsidRPr="005F738A">
        <w:t>Por lo anterior, ha construido un propósito denominado “</w:t>
      </w:r>
      <w:r w:rsidR="00546C16">
        <w:t>D</w:t>
      </w:r>
      <w:r w:rsidRPr="005F738A">
        <w:t xml:space="preserve">esempeño institucional en alcanzar el impacto regional”, lo cual se logra como resultado de los alcances obtenidos en tres campos de acción: </w:t>
      </w:r>
    </w:p>
    <w:p w:rsidR="009520A4" w:rsidRPr="005F738A" w:rsidRDefault="009520A4" w:rsidP="009520A4">
      <w:pPr>
        <w:autoSpaceDE w:val="0"/>
        <w:autoSpaceDN w:val="0"/>
        <w:adjustRightInd w:val="0"/>
        <w:spacing w:after="0"/>
        <w:jc w:val="left"/>
      </w:pPr>
    </w:p>
    <w:p w:rsidR="009520A4" w:rsidRPr="009D7CA6" w:rsidRDefault="009520A4" w:rsidP="00C21E52">
      <w:pPr>
        <w:pStyle w:val="Prrafodelista"/>
        <w:numPr>
          <w:ilvl w:val="0"/>
          <w:numId w:val="36"/>
        </w:numPr>
        <w:autoSpaceDE w:val="0"/>
        <w:autoSpaceDN w:val="0"/>
        <w:adjustRightInd w:val="0"/>
        <w:spacing w:after="70"/>
        <w:jc w:val="left"/>
        <w:rPr>
          <w:rFonts w:ascii="Calibri" w:hAnsi="Calibri" w:cs="Calibri"/>
        </w:rPr>
      </w:pPr>
      <w:r w:rsidRPr="009D7CA6">
        <w:rPr>
          <w:rFonts w:ascii="Calibri" w:hAnsi="Calibri" w:cs="Calibri"/>
          <w:bCs/>
        </w:rPr>
        <w:t xml:space="preserve">Direccionamiento estratégico de la tecnología y la producción. (DETYP) </w:t>
      </w:r>
    </w:p>
    <w:p w:rsidR="009520A4" w:rsidRPr="009D7CA6" w:rsidRDefault="009520A4" w:rsidP="00C21E52">
      <w:pPr>
        <w:pStyle w:val="Prrafodelista"/>
        <w:numPr>
          <w:ilvl w:val="0"/>
          <w:numId w:val="36"/>
        </w:numPr>
        <w:autoSpaceDE w:val="0"/>
        <w:autoSpaceDN w:val="0"/>
        <w:adjustRightInd w:val="0"/>
        <w:spacing w:after="70"/>
        <w:jc w:val="left"/>
        <w:rPr>
          <w:rFonts w:ascii="Calibri" w:hAnsi="Calibri" w:cs="Calibri"/>
        </w:rPr>
      </w:pPr>
      <w:r w:rsidRPr="009D7CA6">
        <w:rPr>
          <w:rFonts w:ascii="Calibri" w:hAnsi="Calibri" w:cs="Calibri"/>
          <w:bCs/>
        </w:rPr>
        <w:t xml:space="preserve">Direccionamiento estratégico del conocimiento. (DEC) </w:t>
      </w:r>
    </w:p>
    <w:p w:rsidR="009520A4" w:rsidRPr="002A733A" w:rsidRDefault="009520A4" w:rsidP="00C21E52">
      <w:pPr>
        <w:pStyle w:val="Prrafodelista"/>
        <w:numPr>
          <w:ilvl w:val="0"/>
          <w:numId w:val="36"/>
        </w:numPr>
        <w:autoSpaceDE w:val="0"/>
        <w:autoSpaceDN w:val="0"/>
        <w:adjustRightInd w:val="0"/>
        <w:spacing w:after="70"/>
        <w:jc w:val="left"/>
        <w:rPr>
          <w:rFonts w:ascii="Calibri" w:hAnsi="Calibri" w:cs="Calibri"/>
        </w:rPr>
      </w:pPr>
      <w:r w:rsidRPr="009D7CA6">
        <w:rPr>
          <w:rFonts w:ascii="Calibri" w:hAnsi="Calibri" w:cs="Calibri"/>
          <w:bCs/>
        </w:rPr>
        <w:t xml:space="preserve">Direccionamiento estratégico de la sociedad y el ambiente. (DESA) </w:t>
      </w:r>
    </w:p>
    <w:p w:rsidR="009520A4" w:rsidRPr="009D7CA6" w:rsidRDefault="009520A4" w:rsidP="009520A4">
      <w:pPr>
        <w:pStyle w:val="Prrafodelista"/>
        <w:autoSpaceDE w:val="0"/>
        <w:autoSpaceDN w:val="0"/>
        <w:adjustRightInd w:val="0"/>
        <w:spacing w:after="70"/>
        <w:jc w:val="left"/>
        <w:rPr>
          <w:rFonts w:ascii="Calibri" w:hAnsi="Calibri" w:cs="Calibri"/>
        </w:rPr>
      </w:pPr>
    </w:p>
    <w:p w:rsidR="009520A4" w:rsidRPr="0069072F" w:rsidRDefault="009520A4" w:rsidP="009520A4">
      <w:pPr>
        <w:pStyle w:val="Epgrafe"/>
        <w:keepNext/>
        <w:spacing w:line="276" w:lineRule="auto"/>
        <w:ind w:left="720"/>
        <w:rPr>
          <w:color w:val="000000" w:themeColor="text1"/>
        </w:rPr>
      </w:pPr>
      <w:r w:rsidRPr="0069072F">
        <w:rPr>
          <w:color w:val="000000" w:themeColor="text1"/>
        </w:rPr>
        <w:t xml:space="preserve">Resultados </w:t>
      </w:r>
      <w:r>
        <w:rPr>
          <w:color w:val="000000" w:themeColor="text1"/>
        </w:rPr>
        <w:t>–</w:t>
      </w:r>
      <w:r w:rsidRPr="0069072F">
        <w:rPr>
          <w:color w:val="000000" w:themeColor="text1"/>
        </w:rPr>
        <w:t xml:space="preserve"> Metas</w:t>
      </w:r>
      <w:r>
        <w:rPr>
          <w:color w:val="000000" w:themeColor="text1"/>
        </w:rPr>
        <w:t xml:space="preserve"> Desempeño Institucional en alcanzar el impacto regional para el año 2012</w:t>
      </w:r>
      <w:r w:rsidRPr="0069072F">
        <w:rPr>
          <w:color w:val="000000" w:themeColor="text1"/>
        </w:rPr>
        <w:t>.</w:t>
      </w:r>
    </w:p>
    <w:p w:rsidR="009520A4" w:rsidRPr="0069072F" w:rsidRDefault="009520A4" w:rsidP="009520A4">
      <w:pPr>
        <w:pStyle w:val="Prrafodelista"/>
        <w:spacing w:after="0"/>
      </w:pPr>
      <w:r w:rsidRPr="0069072F">
        <w:rPr>
          <w:noProof/>
          <w:lang w:eastAsia="es-CO" w:bidi="ar-SA"/>
        </w:rPr>
        <w:drawing>
          <wp:inline distT="0" distB="0" distL="0" distR="0">
            <wp:extent cx="4772025" cy="1743075"/>
            <wp:effectExtent l="0" t="0" r="0" b="0"/>
            <wp:docPr id="58" name="1 Gráfico"/>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p w:rsidR="009520A4" w:rsidRPr="002A733A" w:rsidRDefault="009520A4" w:rsidP="009520A4">
      <w:pPr>
        <w:pStyle w:val="Prrafodelista"/>
        <w:jc w:val="center"/>
        <w:rPr>
          <w:b/>
          <w:i/>
          <w:sz w:val="20"/>
        </w:rPr>
      </w:pPr>
      <w:r w:rsidRPr="002A733A">
        <w:rPr>
          <w:b/>
          <w:i/>
          <w:sz w:val="20"/>
        </w:rPr>
        <w:t>Fuente: SIGOB</w:t>
      </w:r>
    </w:p>
    <w:p w:rsidR="009520A4" w:rsidRDefault="009520A4" w:rsidP="009520A4">
      <w:pPr>
        <w:spacing w:after="0"/>
        <w:rPr>
          <w:szCs w:val="20"/>
        </w:rPr>
      </w:pPr>
    </w:p>
    <w:tbl>
      <w:tblPr>
        <w:tblStyle w:val="Sombreadomedio1-nfasis1"/>
        <w:tblW w:w="10055" w:type="dxa"/>
        <w:jc w:val="center"/>
        <w:tblLook w:val="04A0" w:firstRow="1" w:lastRow="0" w:firstColumn="1" w:lastColumn="0" w:noHBand="0" w:noVBand="1"/>
      </w:tblPr>
      <w:tblGrid>
        <w:gridCol w:w="1091"/>
        <w:gridCol w:w="2144"/>
        <w:gridCol w:w="2602"/>
        <w:gridCol w:w="1830"/>
        <w:gridCol w:w="638"/>
        <w:gridCol w:w="966"/>
        <w:gridCol w:w="784"/>
      </w:tblGrid>
      <w:tr w:rsidR="009520A4" w:rsidRPr="004B6A8C" w:rsidTr="003A39AC">
        <w:trPr>
          <w:cnfStyle w:val="100000000000" w:firstRow="1" w:lastRow="0" w:firstColumn="0" w:lastColumn="0" w:oddVBand="0" w:evenVBand="0" w:oddHBand="0" w:evenHBand="0" w:firstRowFirstColumn="0" w:firstRowLastColumn="0" w:lastRowFirstColumn="0" w:lastRowLastColumn="0"/>
          <w:tblHeader/>
          <w:jc w:val="center"/>
        </w:trPr>
        <w:tc>
          <w:tcPr>
            <w:cnfStyle w:val="001000000000" w:firstRow="0" w:lastRow="0" w:firstColumn="1" w:lastColumn="0" w:oddVBand="0" w:evenVBand="0" w:oddHBand="0" w:evenHBand="0" w:firstRowFirstColumn="0" w:firstRowLastColumn="0" w:lastRowFirstColumn="0" w:lastRowLastColumn="0"/>
            <w:tcW w:w="1091" w:type="dxa"/>
            <w:vAlign w:val="center"/>
          </w:tcPr>
          <w:p w:rsidR="009520A4" w:rsidRPr="004B6A8C" w:rsidRDefault="009520A4" w:rsidP="004B6A8C">
            <w:pPr>
              <w:jc w:val="center"/>
              <w:rPr>
                <w:sz w:val="18"/>
                <w:szCs w:val="18"/>
                <w:lang w:val="es-CO"/>
              </w:rPr>
            </w:pPr>
            <w:r w:rsidRPr="004B6A8C">
              <w:rPr>
                <w:sz w:val="18"/>
                <w:szCs w:val="18"/>
                <w:lang w:val="es-CO"/>
              </w:rPr>
              <w:t>Convención</w:t>
            </w:r>
          </w:p>
        </w:tc>
        <w:tc>
          <w:tcPr>
            <w:tcW w:w="2144" w:type="dxa"/>
            <w:vAlign w:val="center"/>
          </w:tcPr>
          <w:p w:rsidR="009520A4" w:rsidRPr="004B6A8C" w:rsidRDefault="009520A4" w:rsidP="004B6A8C">
            <w:pPr>
              <w:jc w:val="center"/>
              <w:cnfStyle w:val="100000000000" w:firstRow="1" w:lastRow="0" w:firstColumn="0" w:lastColumn="0" w:oddVBand="0" w:evenVBand="0" w:oddHBand="0" w:evenHBand="0" w:firstRowFirstColumn="0" w:firstRowLastColumn="0" w:lastRowFirstColumn="0" w:lastRowLastColumn="0"/>
              <w:rPr>
                <w:sz w:val="18"/>
                <w:szCs w:val="18"/>
                <w:lang w:val="es-CO"/>
              </w:rPr>
            </w:pPr>
            <w:r w:rsidRPr="004B6A8C">
              <w:rPr>
                <w:sz w:val="18"/>
                <w:szCs w:val="18"/>
                <w:lang w:val="es-CO"/>
              </w:rPr>
              <w:t>Nombre del componente</w:t>
            </w:r>
          </w:p>
        </w:tc>
        <w:tc>
          <w:tcPr>
            <w:tcW w:w="2602" w:type="dxa"/>
            <w:vAlign w:val="center"/>
          </w:tcPr>
          <w:p w:rsidR="009520A4" w:rsidRPr="004B6A8C" w:rsidRDefault="009520A4" w:rsidP="004B6A8C">
            <w:pPr>
              <w:jc w:val="center"/>
              <w:cnfStyle w:val="100000000000" w:firstRow="1" w:lastRow="0" w:firstColumn="0" w:lastColumn="0" w:oddVBand="0" w:evenVBand="0" w:oddHBand="0" w:evenHBand="0" w:firstRowFirstColumn="0" w:firstRowLastColumn="0" w:lastRowFirstColumn="0" w:lastRowLastColumn="0"/>
              <w:rPr>
                <w:sz w:val="18"/>
                <w:szCs w:val="18"/>
                <w:lang w:val="es-CO"/>
              </w:rPr>
            </w:pPr>
            <w:r w:rsidRPr="004B6A8C">
              <w:rPr>
                <w:sz w:val="18"/>
                <w:szCs w:val="18"/>
                <w:lang w:val="es-CO"/>
              </w:rPr>
              <w:t>Descripción</w:t>
            </w:r>
          </w:p>
        </w:tc>
        <w:tc>
          <w:tcPr>
            <w:tcW w:w="1830" w:type="dxa"/>
            <w:vAlign w:val="center"/>
          </w:tcPr>
          <w:p w:rsidR="009520A4" w:rsidRPr="004B6A8C" w:rsidRDefault="009520A4" w:rsidP="004B6A8C">
            <w:pPr>
              <w:jc w:val="center"/>
              <w:cnfStyle w:val="100000000000" w:firstRow="1" w:lastRow="0" w:firstColumn="0" w:lastColumn="0" w:oddVBand="0" w:evenVBand="0" w:oddHBand="0" w:evenHBand="0" w:firstRowFirstColumn="0" w:firstRowLastColumn="0" w:lastRowFirstColumn="0" w:lastRowLastColumn="0"/>
              <w:rPr>
                <w:sz w:val="18"/>
                <w:szCs w:val="18"/>
                <w:lang w:val="es-CO"/>
              </w:rPr>
            </w:pPr>
            <w:r w:rsidRPr="004B6A8C">
              <w:rPr>
                <w:sz w:val="18"/>
                <w:szCs w:val="18"/>
                <w:lang w:val="es-CO"/>
              </w:rPr>
              <w:t>Transferencia de conocimiento al sector productivo</w:t>
            </w:r>
          </w:p>
        </w:tc>
        <w:tc>
          <w:tcPr>
            <w:tcW w:w="638" w:type="dxa"/>
            <w:vAlign w:val="center"/>
          </w:tcPr>
          <w:p w:rsidR="009520A4" w:rsidRPr="004B6A8C" w:rsidRDefault="009520A4" w:rsidP="004B6A8C">
            <w:pPr>
              <w:jc w:val="center"/>
              <w:cnfStyle w:val="100000000000" w:firstRow="1" w:lastRow="0" w:firstColumn="0" w:lastColumn="0" w:oddVBand="0" w:evenVBand="0" w:oddHBand="0" w:evenHBand="0" w:firstRowFirstColumn="0" w:firstRowLastColumn="0" w:lastRowFirstColumn="0" w:lastRowLastColumn="0"/>
              <w:rPr>
                <w:sz w:val="18"/>
                <w:szCs w:val="18"/>
                <w:lang w:val="es-CO"/>
              </w:rPr>
            </w:pPr>
            <w:r w:rsidRPr="004B6A8C">
              <w:rPr>
                <w:sz w:val="18"/>
                <w:szCs w:val="18"/>
                <w:lang w:val="es-CO"/>
              </w:rPr>
              <w:t>Meta</w:t>
            </w:r>
          </w:p>
        </w:tc>
        <w:tc>
          <w:tcPr>
            <w:tcW w:w="966" w:type="dxa"/>
            <w:vAlign w:val="center"/>
          </w:tcPr>
          <w:p w:rsidR="009520A4" w:rsidRPr="004B6A8C" w:rsidRDefault="009520A4" w:rsidP="004B6A8C">
            <w:pPr>
              <w:jc w:val="center"/>
              <w:cnfStyle w:val="100000000000" w:firstRow="1" w:lastRow="0" w:firstColumn="0" w:lastColumn="0" w:oddVBand="0" w:evenVBand="0" w:oddHBand="0" w:evenHBand="0" w:firstRowFirstColumn="0" w:firstRowLastColumn="0" w:lastRowFirstColumn="0" w:lastRowLastColumn="0"/>
              <w:rPr>
                <w:sz w:val="18"/>
                <w:szCs w:val="18"/>
                <w:lang w:val="es-CO"/>
              </w:rPr>
            </w:pPr>
            <w:r w:rsidRPr="004B6A8C">
              <w:rPr>
                <w:sz w:val="18"/>
                <w:szCs w:val="18"/>
                <w:lang w:val="es-CO"/>
              </w:rPr>
              <w:t>Resultado</w:t>
            </w:r>
          </w:p>
        </w:tc>
        <w:tc>
          <w:tcPr>
            <w:tcW w:w="784" w:type="dxa"/>
            <w:vAlign w:val="center"/>
          </w:tcPr>
          <w:p w:rsidR="009520A4" w:rsidRPr="004B6A8C" w:rsidRDefault="009520A4" w:rsidP="004B6A8C">
            <w:pPr>
              <w:jc w:val="center"/>
              <w:cnfStyle w:val="100000000000" w:firstRow="1" w:lastRow="0" w:firstColumn="0" w:lastColumn="0" w:oddVBand="0" w:evenVBand="0" w:oddHBand="0" w:evenHBand="0" w:firstRowFirstColumn="0" w:firstRowLastColumn="0" w:lastRowFirstColumn="0" w:lastRowLastColumn="0"/>
              <w:rPr>
                <w:sz w:val="18"/>
                <w:szCs w:val="18"/>
                <w:lang w:val="es-CO"/>
              </w:rPr>
            </w:pPr>
            <w:r w:rsidRPr="004B6A8C">
              <w:rPr>
                <w:sz w:val="18"/>
                <w:szCs w:val="18"/>
                <w:lang w:val="es-CO"/>
              </w:rPr>
              <w:t>% Logro</w:t>
            </w:r>
          </w:p>
        </w:tc>
      </w:tr>
      <w:tr w:rsidR="009520A4" w:rsidRPr="004B6A8C" w:rsidTr="0012432B">
        <w:trPr>
          <w:cnfStyle w:val="000000100000" w:firstRow="0" w:lastRow="0" w:firstColumn="0" w:lastColumn="0" w:oddVBand="0" w:evenVBand="0" w:oddHBand="1" w:evenHBand="0" w:firstRowFirstColumn="0" w:firstRowLastColumn="0" w:lastRowFirstColumn="0" w:lastRowLastColumn="0"/>
          <w:trHeight w:val="264"/>
          <w:jc w:val="center"/>
        </w:trPr>
        <w:tc>
          <w:tcPr>
            <w:cnfStyle w:val="001000000000" w:firstRow="0" w:lastRow="0" w:firstColumn="1" w:lastColumn="0" w:oddVBand="0" w:evenVBand="0" w:oddHBand="0" w:evenHBand="0" w:firstRowFirstColumn="0" w:firstRowLastColumn="0" w:lastRowFirstColumn="0" w:lastRowLastColumn="0"/>
            <w:tcW w:w="1091" w:type="dxa"/>
            <w:vAlign w:val="center"/>
          </w:tcPr>
          <w:p w:rsidR="009520A4" w:rsidRPr="004B6A8C" w:rsidRDefault="009520A4" w:rsidP="004B6A8C">
            <w:pPr>
              <w:jc w:val="center"/>
              <w:rPr>
                <w:sz w:val="18"/>
                <w:szCs w:val="18"/>
                <w:lang w:val="es-CO"/>
              </w:rPr>
            </w:pPr>
            <w:r w:rsidRPr="004B6A8C">
              <w:rPr>
                <w:sz w:val="18"/>
                <w:szCs w:val="18"/>
                <w:lang w:val="es-CO"/>
              </w:rPr>
              <w:t>DETYP</w:t>
            </w:r>
          </w:p>
        </w:tc>
        <w:tc>
          <w:tcPr>
            <w:tcW w:w="2144" w:type="dxa"/>
            <w:vAlign w:val="center"/>
          </w:tcPr>
          <w:p w:rsidR="009520A4" w:rsidRPr="004B6A8C" w:rsidRDefault="009520A4" w:rsidP="004B6A8C">
            <w:pPr>
              <w:jc w:val="center"/>
              <w:cnfStyle w:val="000000100000" w:firstRow="0" w:lastRow="0" w:firstColumn="0" w:lastColumn="0" w:oddVBand="0" w:evenVBand="0" w:oddHBand="1" w:evenHBand="0" w:firstRowFirstColumn="0" w:firstRowLastColumn="0" w:lastRowFirstColumn="0" w:lastRowLastColumn="0"/>
              <w:rPr>
                <w:sz w:val="18"/>
                <w:szCs w:val="18"/>
                <w:lang w:val="es-CO"/>
              </w:rPr>
            </w:pPr>
            <w:r w:rsidRPr="004B6A8C">
              <w:rPr>
                <w:sz w:val="18"/>
                <w:szCs w:val="18"/>
                <w:lang w:val="es-CO"/>
              </w:rPr>
              <w:t>Direccionamiento Estratégico de la Tecnología y Producción.</w:t>
            </w:r>
          </w:p>
        </w:tc>
        <w:tc>
          <w:tcPr>
            <w:tcW w:w="2602" w:type="dxa"/>
            <w:vAlign w:val="center"/>
          </w:tcPr>
          <w:p w:rsidR="009520A4" w:rsidRPr="004B6A8C" w:rsidRDefault="009520A4" w:rsidP="004B6A8C">
            <w:pPr>
              <w:jc w:val="center"/>
              <w:cnfStyle w:val="000000100000" w:firstRow="0" w:lastRow="0" w:firstColumn="0" w:lastColumn="0" w:oddVBand="0" w:evenVBand="0" w:oddHBand="1" w:evenHBand="0" w:firstRowFirstColumn="0" w:firstRowLastColumn="0" w:lastRowFirstColumn="0" w:lastRowLastColumn="0"/>
              <w:rPr>
                <w:sz w:val="18"/>
                <w:szCs w:val="18"/>
                <w:lang w:val="es-CO"/>
              </w:rPr>
            </w:pPr>
            <w:r w:rsidRPr="004B6A8C">
              <w:rPr>
                <w:sz w:val="18"/>
                <w:szCs w:val="18"/>
                <w:lang w:val="es-CO"/>
              </w:rPr>
              <w:t>Mide la efectividad de la gestión de la Universidad de realizar alianzas estratégicas o desarrollo de proyectos con el sector productivo.</w:t>
            </w:r>
          </w:p>
        </w:tc>
        <w:tc>
          <w:tcPr>
            <w:tcW w:w="1830" w:type="dxa"/>
            <w:vAlign w:val="center"/>
          </w:tcPr>
          <w:p w:rsidR="009520A4" w:rsidRPr="004B6A8C" w:rsidRDefault="009520A4" w:rsidP="004B6A8C">
            <w:pPr>
              <w:jc w:val="center"/>
              <w:cnfStyle w:val="000000100000" w:firstRow="0" w:lastRow="0" w:firstColumn="0" w:lastColumn="0" w:oddVBand="0" w:evenVBand="0" w:oddHBand="1" w:evenHBand="0" w:firstRowFirstColumn="0" w:firstRowLastColumn="0" w:lastRowFirstColumn="0" w:lastRowLastColumn="0"/>
              <w:rPr>
                <w:sz w:val="18"/>
                <w:szCs w:val="18"/>
                <w:lang w:val="es-CO"/>
              </w:rPr>
            </w:pPr>
            <w:r w:rsidRPr="004B6A8C">
              <w:rPr>
                <w:sz w:val="18"/>
                <w:szCs w:val="18"/>
                <w:lang w:val="es-CO"/>
              </w:rPr>
              <w:t>Transferencia de conocimiento al sector productivo</w:t>
            </w:r>
          </w:p>
        </w:tc>
        <w:tc>
          <w:tcPr>
            <w:tcW w:w="638" w:type="dxa"/>
            <w:vAlign w:val="center"/>
          </w:tcPr>
          <w:p w:rsidR="009520A4" w:rsidRPr="004B6A8C" w:rsidRDefault="009520A4" w:rsidP="004B6A8C">
            <w:pPr>
              <w:jc w:val="center"/>
              <w:cnfStyle w:val="000000100000" w:firstRow="0" w:lastRow="0" w:firstColumn="0" w:lastColumn="0" w:oddVBand="0" w:evenVBand="0" w:oddHBand="1" w:evenHBand="0" w:firstRowFirstColumn="0" w:firstRowLastColumn="0" w:lastRowFirstColumn="0" w:lastRowLastColumn="0"/>
              <w:rPr>
                <w:sz w:val="18"/>
                <w:szCs w:val="18"/>
                <w:lang w:val="es-CO"/>
              </w:rPr>
            </w:pPr>
            <w:r w:rsidRPr="004B6A8C">
              <w:rPr>
                <w:sz w:val="18"/>
                <w:szCs w:val="18"/>
                <w:lang w:val="es-CO"/>
              </w:rPr>
              <w:t>8</w:t>
            </w:r>
          </w:p>
        </w:tc>
        <w:tc>
          <w:tcPr>
            <w:tcW w:w="966" w:type="dxa"/>
            <w:vAlign w:val="center"/>
          </w:tcPr>
          <w:p w:rsidR="009520A4" w:rsidRPr="004B6A8C" w:rsidRDefault="009520A4" w:rsidP="004B6A8C">
            <w:pPr>
              <w:jc w:val="center"/>
              <w:cnfStyle w:val="000000100000" w:firstRow="0" w:lastRow="0" w:firstColumn="0" w:lastColumn="0" w:oddVBand="0" w:evenVBand="0" w:oddHBand="1" w:evenHBand="0" w:firstRowFirstColumn="0" w:firstRowLastColumn="0" w:lastRowFirstColumn="0" w:lastRowLastColumn="0"/>
              <w:rPr>
                <w:sz w:val="18"/>
                <w:szCs w:val="18"/>
                <w:lang w:val="es-CO"/>
              </w:rPr>
            </w:pPr>
            <w:r w:rsidRPr="004B6A8C">
              <w:rPr>
                <w:sz w:val="18"/>
                <w:szCs w:val="18"/>
                <w:lang w:val="es-CO"/>
              </w:rPr>
              <w:t>7</w:t>
            </w:r>
          </w:p>
        </w:tc>
        <w:tc>
          <w:tcPr>
            <w:tcW w:w="784" w:type="dxa"/>
            <w:vAlign w:val="center"/>
          </w:tcPr>
          <w:p w:rsidR="009520A4" w:rsidRPr="004B6A8C" w:rsidRDefault="009520A4" w:rsidP="004B6A8C">
            <w:pPr>
              <w:jc w:val="center"/>
              <w:cnfStyle w:val="000000100000" w:firstRow="0" w:lastRow="0" w:firstColumn="0" w:lastColumn="0" w:oddVBand="0" w:evenVBand="0" w:oddHBand="1" w:evenHBand="0" w:firstRowFirstColumn="0" w:firstRowLastColumn="0" w:lastRowFirstColumn="0" w:lastRowLastColumn="0"/>
              <w:rPr>
                <w:sz w:val="18"/>
                <w:szCs w:val="18"/>
                <w:lang w:val="es-CO"/>
              </w:rPr>
            </w:pPr>
            <w:r w:rsidRPr="004B6A8C">
              <w:rPr>
                <w:sz w:val="18"/>
                <w:szCs w:val="18"/>
                <w:lang w:val="es-CO"/>
              </w:rPr>
              <w:t>87.50%</w:t>
            </w:r>
          </w:p>
        </w:tc>
      </w:tr>
      <w:tr w:rsidR="009520A4" w:rsidRPr="004B6A8C" w:rsidTr="0012432B">
        <w:trPr>
          <w:cnfStyle w:val="000000010000" w:firstRow="0" w:lastRow="0" w:firstColumn="0" w:lastColumn="0" w:oddVBand="0" w:evenVBand="0" w:oddHBand="0" w:evenHBand="1" w:firstRowFirstColumn="0" w:firstRowLastColumn="0" w:lastRowFirstColumn="0" w:lastRowLastColumn="0"/>
          <w:trHeight w:val="268"/>
          <w:jc w:val="center"/>
        </w:trPr>
        <w:tc>
          <w:tcPr>
            <w:cnfStyle w:val="001000000000" w:firstRow="0" w:lastRow="0" w:firstColumn="1" w:lastColumn="0" w:oddVBand="0" w:evenVBand="0" w:oddHBand="0" w:evenHBand="0" w:firstRowFirstColumn="0" w:firstRowLastColumn="0" w:lastRowFirstColumn="0" w:lastRowLastColumn="0"/>
            <w:tcW w:w="1091" w:type="dxa"/>
            <w:vMerge w:val="restart"/>
            <w:vAlign w:val="center"/>
          </w:tcPr>
          <w:p w:rsidR="009520A4" w:rsidRPr="004B6A8C" w:rsidRDefault="009520A4" w:rsidP="004B6A8C">
            <w:pPr>
              <w:jc w:val="center"/>
              <w:rPr>
                <w:sz w:val="18"/>
                <w:szCs w:val="18"/>
                <w:lang w:val="es-CO"/>
              </w:rPr>
            </w:pPr>
            <w:r w:rsidRPr="004B6A8C">
              <w:rPr>
                <w:sz w:val="18"/>
                <w:szCs w:val="18"/>
                <w:lang w:val="es-CO"/>
              </w:rPr>
              <w:t>DEC</w:t>
            </w:r>
          </w:p>
        </w:tc>
        <w:tc>
          <w:tcPr>
            <w:tcW w:w="2144" w:type="dxa"/>
            <w:vMerge w:val="restart"/>
            <w:vAlign w:val="center"/>
          </w:tcPr>
          <w:p w:rsidR="009520A4" w:rsidRPr="004B6A8C" w:rsidRDefault="009520A4" w:rsidP="004B6A8C">
            <w:pPr>
              <w:jc w:val="center"/>
              <w:cnfStyle w:val="000000010000" w:firstRow="0" w:lastRow="0" w:firstColumn="0" w:lastColumn="0" w:oddVBand="0" w:evenVBand="0" w:oddHBand="0" w:evenHBand="1" w:firstRowFirstColumn="0" w:firstRowLastColumn="0" w:lastRowFirstColumn="0" w:lastRowLastColumn="0"/>
              <w:rPr>
                <w:sz w:val="18"/>
                <w:szCs w:val="18"/>
                <w:lang w:val="es-CO"/>
              </w:rPr>
            </w:pPr>
            <w:r w:rsidRPr="004B6A8C">
              <w:rPr>
                <w:sz w:val="18"/>
                <w:szCs w:val="18"/>
                <w:lang w:val="es-CO"/>
              </w:rPr>
              <w:t>Direccionamiento Estratégico del Conocimiento</w:t>
            </w:r>
          </w:p>
        </w:tc>
        <w:tc>
          <w:tcPr>
            <w:tcW w:w="2602" w:type="dxa"/>
            <w:vMerge w:val="restart"/>
            <w:vAlign w:val="center"/>
          </w:tcPr>
          <w:p w:rsidR="009520A4" w:rsidRPr="004B6A8C" w:rsidRDefault="009520A4" w:rsidP="004B6A8C">
            <w:pPr>
              <w:jc w:val="center"/>
              <w:cnfStyle w:val="000000010000" w:firstRow="0" w:lastRow="0" w:firstColumn="0" w:lastColumn="0" w:oddVBand="0" w:evenVBand="0" w:oddHBand="0" w:evenHBand="1" w:firstRowFirstColumn="0" w:firstRowLastColumn="0" w:lastRowFirstColumn="0" w:lastRowLastColumn="0"/>
              <w:rPr>
                <w:sz w:val="18"/>
                <w:szCs w:val="18"/>
                <w:lang w:val="es-CO"/>
              </w:rPr>
            </w:pPr>
            <w:r w:rsidRPr="004B6A8C">
              <w:rPr>
                <w:sz w:val="18"/>
                <w:szCs w:val="18"/>
                <w:lang w:val="es-CO"/>
              </w:rPr>
              <w:t xml:space="preserve">Cuantifica la focalización de la Universidad en la generación de planes, programas y/o proyectos ofrecidos a la región </w:t>
            </w:r>
            <w:r w:rsidRPr="004B6A8C">
              <w:rPr>
                <w:sz w:val="18"/>
                <w:szCs w:val="18"/>
                <w:lang w:val="es-CO"/>
              </w:rPr>
              <w:lastRenderedPageBreak/>
              <w:t>con carácter basado en el conocimiento científico y académico. Como también la formulación o intervención de políticas públicas con participación de la Universidad.</w:t>
            </w:r>
          </w:p>
        </w:tc>
        <w:tc>
          <w:tcPr>
            <w:tcW w:w="1830" w:type="dxa"/>
            <w:vAlign w:val="center"/>
          </w:tcPr>
          <w:p w:rsidR="009520A4" w:rsidRPr="004B6A8C" w:rsidRDefault="009520A4" w:rsidP="004B6A8C">
            <w:pPr>
              <w:jc w:val="center"/>
              <w:cnfStyle w:val="000000010000" w:firstRow="0" w:lastRow="0" w:firstColumn="0" w:lastColumn="0" w:oddVBand="0" w:evenVBand="0" w:oddHBand="0" w:evenHBand="1" w:firstRowFirstColumn="0" w:firstRowLastColumn="0" w:lastRowFirstColumn="0" w:lastRowLastColumn="0"/>
              <w:rPr>
                <w:sz w:val="18"/>
                <w:szCs w:val="18"/>
                <w:lang w:val="es-CO"/>
              </w:rPr>
            </w:pPr>
            <w:r w:rsidRPr="004B6A8C">
              <w:rPr>
                <w:sz w:val="18"/>
                <w:szCs w:val="18"/>
                <w:lang w:val="es-CO"/>
              </w:rPr>
              <w:lastRenderedPageBreak/>
              <w:t>Políticas públicas formuladas o intervenidas a nivel regional</w:t>
            </w:r>
          </w:p>
        </w:tc>
        <w:tc>
          <w:tcPr>
            <w:tcW w:w="638" w:type="dxa"/>
            <w:vAlign w:val="center"/>
          </w:tcPr>
          <w:p w:rsidR="009520A4" w:rsidRPr="004B6A8C" w:rsidRDefault="009520A4" w:rsidP="004B6A8C">
            <w:pPr>
              <w:jc w:val="center"/>
              <w:cnfStyle w:val="000000010000" w:firstRow="0" w:lastRow="0" w:firstColumn="0" w:lastColumn="0" w:oddVBand="0" w:evenVBand="0" w:oddHBand="0" w:evenHBand="1" w:firstRowFirstColumn="0" w:firstRowLastColumn="0" w:lastRowFirstColumn="0" w:lastRowLastColumn="0"/>
              <w:rPr>
                <w:sz w:val="18"/>
                <w:szCs w:val="18"/>
                <w:lang w:val="es-CO"/>
              </w:rPr>
            </w:pPr>
            <w:r w:rsidRPr="004B6A8C">
              <w:rPr>
                <w:sz w:val="18"/>
                <w:szCs w:val="18"/>
                <w:lang w:val="es-CO"/>
              </w:rPr>
              <w:t>3</w:t>
            </w:r>
          </w:p>
        </w:tc>
        <w:tc>
          <w:tcPr>
            <w:tcW w:w="966" w:type="dxa"/>
            <w:vAlign w:val="center"/>
          </w:tcPr>
          <w:p w:rsidR="009520A4" w:rsidRPr="004B6A8C" w:rsidRDefault="009520A4" w:rsidP="004B6A8C">
            <w:pPr>
              <w:jc w:val="center"/>
              <w:cnfStyle w:val="000000010000" w:firstRow="0" w:lastRow="0" w:firstColumn="0" w:lastColumn="0" w:oddVBand="0" w:evenVBand="0" w:oddHBand="0" w:evenHBand="1" w:firstRowFirstColumn="0" w:firstRowLastColumn="0" w:lastRowFirstColumn="0" w:lastRowLastColumn="0"/>
              <w:rPr>
                <w:sz w:val="18"/>
                <w:szCs w:val="18"/>
                <w:lang w:val="es-CO"/>
              </w:rPr>
            </w:pPr>
            <w:r w:rsidRPr="004B6A8C">
              <w:rPr>
                <w:sz w:val="18"/>
                <w:szCs w:val="18"/>
                <w:lang w:val="es-CO"/>
              </w:rPr>
              <w:t>3</w:t>
            </w:r>
          </w:p>
        </w:tc>
        <w:tc>
          <w:tcPr>
            <w:tcW w:w="784" w:type="dxa"/>
            <w:vAlign w:val="center"/>
          </w:tcPr>
          <w:p w:rsidR="009520A4" w:rsidRPr="004B6A8C" w:rsidRDefault="009520A4" w:rsidP="004B6A8C">
            <w:pPr>
              <w:jc w:val="center"/>
              <w:cnfStyle w:val="000000010000" w:firstRow="0" w:lastRow="0" w:firstColumn="0" w:lastColumn="0" w:oddVBand="0" w:evenVBand="0" w:oddHBand="0" w:evenHBand="1" w:firstRowFirstColumn="0" w:firstRowLastColumn="0" w:lastRowFirstColumn="0" w:lastRowLastColumn="0"/>
              <w:rPr>
                <w:sz w:val="18"/>
                <w:szCs w:val="18"/>
                <w:lang w:val="es-CO"/>
              </w:rPr>
            </w:pPr>
            <w:r w:rsidRPr="004B6A8C">
              <w:rPr>
                <w:sz w:val="18"/>
                <w:szCs w:val="18"/>
                <w:lang w:val="es-CO"/>
              </w:rPr>
              <w:t>100%</w:t>
            </w:r>
          </w:p>
        </w:tc>
      </w:tr>
      <w:tr w:rsidR="009520A4" w:rsidRPr="004B6A8C" w:rsidTr="0012432B">
        <w:trPr>
          <w:cnfStyle w:val="000000100000" w:firstRow="0" w:lastRow="0" w:firstColumn="0" w:lastColumn="0" w:oddVBand="0" w:evenVBand="0" w:oddHBand="1" w:evenHBand="0" w:firstRowFirstColumn="0" w:firstRowLastColumn="0" w:lastRowFirstColumn="0" w:lastRowLastColumn="0"/>
          <w:trHeight w:val="1906"/>
          <w:jc w:val="center"/>
        </w:trPr>
        <w:tc>
          <w:tcPr>
            <w:cnfStyle w:val="001000000000" w:firstRow="0" w:lastRow="0" w:firstColumn="1" w:lastColumn="0" w:oddVBand="0" w:evenVBand="0" w:oddHBand="0" w:evenHBand="0" w:firstRowFirstColumn="0" w:firstRowLastColumn="0" w:lastRowFirstColumn="0" w:lastRowLastColumn="0"/>
            <w:tcW w:w="1091" w:type="dxa"/>
            <w:vMerge/>
          </w:tcPr>
          <w:p w:rsidR="009520A4" w:rsidRPr="004B6A8C" w:rsidRDefault="009520A4" w:rsidP="009520A4">
            <w:pPr>
              <w:jc w:val="center"/>
              <w:rPr>
                <w:sz w:val="18"/>
                <w:szCs w:val="18"/>
                <w:lang w:val="es-CO"/>
              </w:rPr>
            </w:pPr>
          </w:p>
        </w:tc>
        <w:tc>
          <w:tcPr>
            <w:tcW w:w="2144" w:type="dxa"/>
            <w:vMerge/>
          </w:tcPr>
          <w:p w:rsidR="009520A4" w:rsidRPr="004B6A8C" w:rsidRDefault="009520A4" w:rsidP="009520A4">
            <w:pPr>
              <w:jc w:val="center"/>
              <w:cnfStyle w:val="000000100000" w:firstRow="0" w:lastRow="0" w:firstColumn="0" w:lastColumn="0" w:oddVBand="0" w:evenVBand="0" w:oddHBand="1" w:evenHBand="0" w:firstRowFirstColumn="0" w:firstRowLastColumn="0" w:lastRowFirstColumn="0" w:lastRowLastColumn="0"/>
              <w:rPr>
                <w:sz w:val="18"/>
                <w:szCs w:val="18"/>
                <w:lang w:val="es-CO"/>
              </w:rPr>
            </w:pPr>
          </w:p>
        </w:tc>
        <w:tc>
          <w:tcPr>
            <w:tcW w:w="2602" w:type="dxa"/>
            <w:vMerge/>
            <w:vAlign w:val="center"/>
          </w:tcPr>
          <w:p w:rsidR="009520A4" w:rsidRPr="004B6A8C" w:rsidRDefault="009520A4" w:rsidP="004B6A8C">
            <w:pPr>
              <w:jc w:val="center"/>
              <w:cnfStyle w:val="000000100000" w:firstRow="0" w:lastRow="0" w:firstColumn="0" w:lastColumn="0" w:oddVBand="0" w:evenVBand="0" w:oddHBand="1" w:evenHBand="0" w:firstRowFirstColumn="0" w:firstRowLastColumn="0" w:lastRowFirstColumn="0" w:lastRowLastColumn="0"/>
              <w:rPr>
                <w:sz w:val="18"/>
                <w:szCs w:val="18"/>
                <w:lang w:val="es-CO"/>
              </w:rPr>
            </w:pPr>
          </w:p>
        </w:tc>
        <w:tc>
          <w:tcPr>
            <w:tcW w:w="1830" w:type="dxa"/>
            <w:vAlign w:val="center"/>
          </w:tcPr>
          <w:p w:rsidR="009520A4" w:rsidRPr="004B6A8C" w:rsidRDefault="009520A4" w:rsidP="004B6A8C">
            <w:pPr>
              <w:jc w:val="center"/>
              <w:cnfStyle w:val="000000100000" w:firstRow="0" w:lastRow="0" w:firstColumn="0" w:lastColumn="0" w:oddVBand="0" w:evenVBand="0" w:oddHBand="1" w:evenHBand="0" w:firstRowFirstColumn="0" w:firstRowLastColumn="0" w:lastRowFirstColumn="0" w:lastRowLastColumn="0"/>
              <w:rPr>
                <w:sz w:val="18"/>
                <w:szCs w:val="18"/>
                <w:lang w:val="es-CO"/>
              </w:rPr>
            </w:pPr>
            <w:r w:rsidRPr="004B6A8C">
              <w:rPr>
                <w:sz w:val="18"/>
                <w:szCs w:val="18"/>
                <w:lang w:val="es-CO"/>
              </w:rPr>
              <w:t>Conocimiento científico y académico de carácter regional y en red puesto a disposición de la región</w:t>
            </w:r>
          </w:p>
        </w:tc>
        <w:tc>
          <w:tcPr>
            <w:tcW w:w="638" w:type="dxa"/>
            <w:vAlign w:val="center"/>
          </w:tcPr>
          <w:p w:rsidR="009520A4" w:rsidRPr="004B6A8C" w:rsidRDefault="009520A4" w:rsidP="004B6A8C">
            <w:pPr>
              <w:jc w:val="center"/>
              <w:cnfStyle w:val="000000100000" w:firstRow="0" w:lastRow="0" w:firstColumn="0" w:lastColumn="0" w:oddVBand="0" w:evenVBand="0" w:oddHBand="1" w:evenHBand="0" w:firstRowFirstColumn="0" w:firstRowLastColumn="0" w:lastRowFirstColumn="0" w:lastRowLastColumn="0"/>
              <w:rPr>
                <w:sz w:val="18"/>
                <w:szCs w:val="18"/>
                <w:lang w:val="es-CO"/>
              </w:rPr>
            </w:pPr>
            <w:r w:rsidRPr="004B6A8C">
              <w:rPr>
                <w:sz w:val="18"/>
                <w:szCs w:val="18"/>
                <w:lang w:val="es-CO"/>
              </w:rPr>
              <w:t>18</w:t>
            </w:r>
          </w:p>
        </w:tc>
        <w:tc>
          <w:tcPr>
            <w:tcW w:w="966" w:type="dxa"/>
            <w:vAlign w:val="center"/>
          </w:tcPr>
          <w:p w:rsidR="009520A4" w:rsidRPr="004B6A8C" w:rsidRDefault="009520A4" w:rsidP="004B6A8C">
            <w:pPr>
              <w:jc w:val="center"/>
              <w:cnfStyle w:val="000000100000" w:firstRow="0" w:lastRow="0" w:firstColumn="0" w:lastColumn="0" w:oddVBand="0" w:evenVBand="0" w:oddHBand="1" w:evenHBand="0" w:firstRowFirstColumn="0" w:firstRowLastColumn="0" w:lastRowFirstColumn="0" w:lastRowLastColumn="0"/>
              <w:rPr>
                <w:sz w:val="18"/>
                <w:szCs w:val="18"/>
                <w:lang w:val="es-CO"/>
              </w:rPr>
            </w:pPr>
            <w:r w:rsidRPr="004B6A8C">
              <w:rPr>
                <w:sz w:val="18"/>
                <w:szCs w:val="18"/>
                <w:lang w:val="es-CO"/>
              </w:rPr>
              <w:t>18</w:t>
            </w:r>
          </w:p>
        </w:tc>
        <w:tc>
          <w:tcPr>
            <w:tcW w:w="784" w:type="dxa"/>
            <w:vAlign w:val="center"/>
          </w:tcPr>
          <w:p w:rsidR="009520A4" w:rsidRPr="004B6A8C" w:rsidRDefault="009520A4" w:rsidP="004B6A8C">
            <w:pPr>
              <w:jc w:val="center"/>
              <w:cnfStyle w:val="000000100000" w:firstRow="0" w:lastRow="0" w:firstColumn="0" w:lastColumn="0" w:oddVBand="0" w:evenVBand="0" w:oddHBand="1" w:evenHBand="0" w:firstRowFirstColumn="0" w:firstRowLastColumn="0" w:lastRowFirstColumn="0" w:lastRowLastColumn="0"/>
              <w:rPr>
                <w:sz w:val="18"/>
                <w:szCs w:val="18"/>
                <w:lang w:val="es-CO"/>
              </w:rPr>
            </w:pPr>
            <w:r w:rsidRPr="004B6A8C">
              <w:rPr>
                <w:sz w:val="18"/>
                <w:szCs w:val="18"/>
                <w:lang w:val="es-CO"/>
              </w:rPr>
              <w:t>100%</w:t>
            </w:r>
          </w:p>
        </w:tc>
      </w:tr>
      <w:tr w:rsidR="009520A4" w:rsidRPr="004B6A8C" w:rsidTr="0012432B">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091" w:type="dxa"/>
            <w:vAlign w:val="center"/>
          </w:tcPr>
          <w:p w:rsidR="009520A4" w:rsidRPr="004B6A8C" w:rsidRDefault="009520A4" w:rsidP="004B6A8C">
            <w:pPr>
              <w:jc w:val="center"/>
              <w:rPr>
                <w:sz w:val="18"/>
                <w:szCs w:val="18"/>
                <w:lang w:val="es-CO"/>
              </w:rPr>
            </w:pPr>
            <w:r w:rsidRPr="004B6A8C">
              <w:rPr>
                <w:sz w:val="18"/>
                <w:szCs w:val="18"/>
                <w:lang w:val="es-CO"/>
              </w:rPr>
              <w:lastRenderedPageBreak/>
              <w:t>DESA</w:t>
            </w:r>
          </w:p>
        </w:tc>
        <w:tc>
          <w:tcPr>
            <w:tcW w:w="2144" w:type="dxa"/>
            <w:vAlign w:val="center"/>
          </w:tcPr>
          <w:p w:rsidR="009520A4" w:rsidRPr="004B6A8C" w:rsidRDefault="009520A4" w:rsidP="004B6A8C">
            <w:pPr>
              <w:jc w:val="center"/>
              <w:cnfStyle w:val="000000010000" w:firstRow="0" w:lastRow="0" w:firstColumn="0" w:lastColumn="0" w:oddVBand="0" w:evenVBand="0" w:oddHBand="0" w:evenHBand="1" w:firstRowFirstColumn="0" w:firstRowLastColumn="0" w:lastRowFirstColumn="0" w:lastRowLastColumn="0"/>
              <w:rPr>
                <w:sz w:val="18"/>
                <w:szCs w:val="18"/>
                <w:lang w:val="es-CO"/>
              </w:rPr>
            </w:pPr>
            <w:r w:rsidRPr="004B6A8C">
              <w:rPr>
                <w:sz w:val="18"/>
                <w:szCs w:val="18"/>
                <w:lang w:val="es-CO"/>
              </w:rPr>
              <w:t>Direccionamiento Estratégico Sociedad y Ambiente</w:t>
            </w:r>
          </w:p>
        </w:tc>
        <w:tc>
          <w:tcPr>
            <w:tcW w:w="2602" w:type="dxa"/>
            <w:vAlign w:val="center"/>
          </w:tcPr>
          <w:p w:rsidR="009520A4" w:rsidRPr="004B6A8C" w:rsidRDefault="009520A4" w:rsidP="004B6A8C">
            <w:pPr>
              <w:jc w:val="center"/>
              <w:cnfStyle w:val="000000010000" w:firstRow="0" w:lastRow="0" w:firstColumn="0" w:lastColumn="0" w:oddVBand="0" w:evenVBand="0" w:oddHBand="0" w:evenHBand="1" w:firstRowFirstColumn="0" w:firstRowLastColumn="0" w:lastRowFirstColumn="0" w:lastRowLastColumn="0"/>
              <w:rPr>
                <w:sz w:val="18"/>
                <w:szCs w:val="18"/>
                <w:lang w:val="es-CO"/>
              </w:rPr>
            </w:pPr>
            <w:r w:rsidRPr="004B6A8C">
              <w:rPr>
                <w:sz w:val="18"/>
                <w:szCs w:val="18"/>
                <w:lang w:val="es-CO"/>
              </w:rPr>
              <w:t>Evidencia el aporte de la Universidad en proyectos o actividades a nivel regional en concordancia de la agenda de la Ecorregión.</w:t>
            </w:r>
          </w:p>
        </w:tc>
        <w:tc>
          <w:tcPr>
            <w:tcW w:w="1830" w:type="dxa"/>
            <w:vAlign w:val="center"/>
          </w:tcPr>
          <w:p w:rsidR="009520A4" w:rsidRPr="004B6A8C" w:rsidRDefault="009520A4" w:rsidP="004B6A8C">
            <w:pPr>
              <w:jc w:val="center"/>
              <w:cnfStyle w:val="000000010000" w:firstRow="0" w:lastRow="0" w:firstColumn="0" w:lastColumn="0" w:oddVBand="0" w:evenVBand="0" w:oddHBand="0" w:evenHBand="1" w:firstRowFirstColumn="0" w:firstRowLastColumn="0" w:lastRowFirstColumn="0" w:lastRowLastColumn="0"/>
              <w:rPr>
                <w:sz w:val="18"/>
                <w:szCs w:val="18"/>
                <w:lang w:val="es-CO"/>
              </w:rPr>
            </w:pPr>
            <w:r w:rsidRPr="004B6A8C">
              <w:rPr>
                <w:sz w:val="18"/>
                <w:szCs w:val="18"/>
                <w:lang w:val="es-CO"/>
              </w:rPr>
              <w:t>Aporte de la UTP en proyectos y/o actividades a nivel regional del componente ambiental de la agenda de la Ecorregión</w:t>
            </w:r>
          </w:p>
        </w:tc>
        <w:tc>
          <w:tcPr>
            <w:tcW w:w="638" w:type="dxa"/>
            <w:vAlign w:val="center"/>
          </w:tcPr>
          <w:p w:rsidR="009520A4" w:rsidRPr="004B6A8C" w:rsidRDefault="009520A4" w:rsidP="004B6A8C">
            <w:pPr>
              <w:jc w:val="center"/>
              <w:cnfStyle w:val="000000010000" w:firstRow="0" w:lastRow="0" w:firstColumn="0" w:lastColumn="0" w:oddVBand="0" w:evenVBand="0" w:oddHBand="0" w:evenHBand="1" w:firstRowFirstColumn="0" w:firstRowLastColumn="0" w:lastRowFirstColumn="0" w:lastRowLastColumn="0"/>
              <w:rPr>
                <w:sz w:val="18"/>
                <w:szCs w:val="18"/>
                <w:lang w:val="es-CO"/>
              </w:rPr>
            </w:pPr>
            <w:r w:rsidRPr="004B6A8C">
              <w:rPr>
                <w:sz w:val="18"/>
                <w:szCs w:val="18"/>
                <w:lang w:val="es-CO"/>
              </w:rPr>
              <w:t>27</w:t>
            </w:r>
          </w:p>
        </w:tc>
        <w:tc>
          <w:tcPr>
            <w:tcW w:w="966" w:type="dxa"/>
            <w:vAlign w:val="center"/>
          </w:tcPr>
          <w:p w:rsidR="009520A4" w:rsidRPr="004B6A8C" w:rsidRDefault="009520A4" w:rsidP="004B6A8C">
            <w:pPr>
              <w:jc w:val="center"/>
              <w:cnfStyle w:val="000000010000" w:firstRow="0" w:lastRow="0" w:firstColumn="0" w:lastColumn="0" w:oddVBand="0" w:evenVBand="0" w:oddHBand="0" w:evenHBand="1" w:firstRowFirstColumn="0" w:firstRowLastColumn="0" w:lastRowFirstColumn="0" w:lastRowLastColumn="0"/>
              <w:rPr>
                <w:sz w:val="18"/>
                <w:szCs w:val="18"/>
                <w:lang w:val="es-CO"/>
              </w:rPr>
            </w:pPr>
            <w:r w:rsidRPr="004B6A8C">
              <w:rPr>
                <w:sz w:val="18"/>
                <w:szCs w:val="18"/>
                <w:lang w:val="es-CO"/>
              </w:rPr>
              <w:t>27</w:t>
            </w:r>
          </w:p>
        </w:tc>
        <w:tc>
          <w:tcPr>
            <w:tcW w:w="784" w:type="dxa"/>
            <w:vAlign w:val="center"/>
          </w:tcPr>
          <w:p w:rsidR="009520A4" w:rsidRPr="004B6A8C" w:rsidRDefault="009520A4" w:rsidP="004B6A8C">
            <w:pPr>
              <w:jc w:val="center"/>
              <w:cnfStyle w:val="000000010000" w:firstRow="0" w:lastRow="0" w:firstColumn="0" w:lastColumn="0" w:oddVBand="0" w:evenVBand="0" w:oddHBand="0" w:evenHBand="1" w:firstRowFirstColumn="0" w:firstRowLastColumn="0" w:lastRowFirstColumn="0" w:lastRowLastColumn="0"/>
              <w:rPr>
                <w:sz w:val="18"/>
                <w:szCs w:val="18"/>
                <w:lang w:val="es-CO"/>
              </w:rPr>
            </w:pPr>
            <w:r w:rsidRPr="004B6A8C">
              <w:rPr>
                <w:sz w:val="18"/>
                <w:szCs w:val="18"/>
                <w:lang w:val="es-CO"/>
              </w:rPr>
              <w:t>100%</w:t>
            </w:r>
          </w:p>
        </w:tc>
      </w:tr>
    </w:tbl>
    <w:p w:rsidR="009520A4" w:rsidRDefault="009520A4" w:rsidP="009520A4">
      <w:pPr>
        <w:spacing w:after="0"/>
        <w:rPr>
          <w:szCs w:val="20"/>
        </w:rPr>
      </w:pPr>
    </w:p>
    <w:p w:rsidR="009520A4" w:rsidRPr="00F9773C" w:rsidRDefault="009520A4" w:rsidP="009520A4">
      <w:pPr>
        <w:autoSpaceDE w:val="0"/>
        <w:autoSpaceDN w:val="0"/>
        <w:adjustRightInd w:val="0"/>
        <w:spacing w:after="0"/>
        <w:jc w:val="left"/>
        <w:rPr>
          <w:rFonts w:cs="Calibri"/>
          <w:color w:val="000000"/>
          <w:sz w:val="24"/>
          <w:szCs w:val="24"/>
        </w:rPr>
      </w:pPr>
    </w:p>
    <w:p w:rsidR="009520A4" w:rsidRPr="00403741" w:rsidRDefault="009520A4" w:rsidP="0012432B">
      <w:pPr>
        <w:pStyle w:val="Ttulo3"/>
      </w:pPr>
      <w:bookmarkStart w:id="150" w:name="_Toc354671364"/>
      <w:r w:rsidRPr="006C1B0A">
        <w:t>Direccionamiento Estratégico de la Tecnología y Producción.</w:t>
      </w:r>
      <w:bookmarkEnd w:id="150"/>
    </w:p>
    <w:p w:rsidR="009520A4" w:rsidRDefault="009520A4" w:rsidP="009520A4">
      <w:pPr>
        <w:spacing w:after="0"/>
        <w:rPr>
          <w:szCs w:val="20"/>
        </w:rPr>
      </w:pPr>
    </w:p>
    <w:p w:rsidR="009520A4" w:rsidRDefault="009520A4" w:rsidP="009520A4">
      <w:pPr>
        <w:spacing w:after="0"/>
      </w:pPr>
      <w:r>
        <w:t>La U</w:t>
      </w:r>
      <w:r w:rsidRPr="00072415">
        <w:t xml:space="preserve">niversidad </w:t>
      </w:r>
      <w:r>
        <w:t>es consciente de la importancia del trabajo en equipo con el sector productivo. Lo anterior</w:t>
      </w:r>
      <w:r w:rsidRPr="00072415">
        <w:t xml:space="preserve"> para desarrollar </w:t>
      </w:r>
      <w:r>
        <w:t>acciones que logren la</w:t>
      </w:r>
      <w:r w:rsidRPr="00072415">
        <w:t xml:space="preserve"> transferencia de conocimiento</w:t>
      </w:r>
      <w:r>
        <w:t>, y que como resultado redunde beneficios entre ambos sectores</w:t>
      </w:r>
      <w:r w:rsidRPr="00072415">
        <w:t>. Este proyecto tiene como indicador la participación de la UTP en formular y gestionar planes, programas y proyectos que lleva a la transferencia de conocimiento en alianza universidad empresa-estado.</w:t>
      </w:r>
    </w:p>
    <w:p w:rsidR="009520A4" w:rsidRDefault="009520A4" w:rsidP="009520A4">
      <w:pPr>
        <w:spacing w:after="0"/>
      </w:pPr>
    </w:p>
    <w:p w:rsidR="009520A4" w:rsidRPr="0069072F" w:rsidRDefault="009520A4" w:rsidP="009520A4">
      <w:pPr>
        <w:pStyle w:val="Epgrafe"/>
        <w:keepNext/>
        <w:spacing w:line="276" w:lineRule="auto"/>
        <w:rPr>
          <w:color w:val="000000" w:themeColor="text1"/>
        </w:rPr>
      </w:pPr>
      <w:r w:rsidRPr="0069072F">
        <w:rPr>
          <w:color w:val="000000" w:themeColor="text1"/>
        </w:rPr>
        <w:t xml:space="preserve">Resultados </w:t>
      </w:r>
      <w:r>
        <w:rPr>
          <w:color w:val="000000" w:themeColor="text1"/>
        </w:rPr>
        <w:t>–</w:t>
      </w:r>
      <w:r w:rsidRPr="0069072F">
        <w:rPr>
          <w:color w:val="000000" w:themeColor="text1"/>
        </w:rPr>
        <w:t xml:space="preserve"> Metas</w:t>
      </w:r>
      <w:r>
        <w:rPr>
          <w:color w:val="000000" w:themeColor="text1"/>
        </w:rPr>
        <w:t xml:space="preserve"> </w:t>
      </w:r>
      <w:r w:rsidR="003F5CB1">
        <w:rPr>
          <w:color w:val="000000" w:themeColor="text1"/>
        </w:rPr>
        <w:t>T</w:t>
      </w:r>
      <w:r>
        <w:rPr>
          <w:color w:val="000000" w:themeColor="text1"/>
        </w:rPr>
        <w:t>ransferencia del conocimiento al sector productivo</w:t>
      </w:r>
    </w:p>
    <w:p w:rsidR="009520A4" w:rsidRPr="0069072F" w:rsidRDefault="009520A4" w:rsidP="009520A4">
      <w:pPr>
        <w:spacing w:after="0"/>
        <w:jc w:val="center"/>
      </w:pPr>
      <w:r w:rsidRPr="0069072F">
        <w:rPr>
          <w:noProof/>
          <w:lang w:val="es-CO" w:eastAsia="es-CO"/>
        </w:rPr>
        <w:drawing>
          <wp:inline distT="0" distB="0" distL="0" distR="0">
            <wp:extent cx="4772025" cy="1743075"/>
            <wp:effectExtent l="0" t="0" r="0" b="0"/>
            <wp:docPr id="59" name="1 Gráfico"/>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p w:rsidR="009520A4" w:rsidRDefault="009520A4" w:rsidP="009520A4">
      <w:pPr>
        <w:jc w:val="center"/>
        <w:rPr>
          <w:b/>
          <w:i/>
          <w:sz w:val="20"/>
        </w:rPr>
      </w:pPr>
      <w:r w:rsidRPr="0069072F">
        <w:rPr>
          <w:b/>
          <w:i/>
          <w:sz w:val="20"/>
        </w:rPr>
        <w:t>Fuente: SIGOB</w:t>
      </w:r>
    </w:p>
    <w:p w:rsidR="009520A4" w:rsidRDefault="009520A4" w:rsidP="009520A4">
      <w:pPr>
        <w:spacing w:after="0"/>
      </w:pPr>
    </w:p>
    <w:p w:rsidR="009520A4" w:rsidRPr="00BF5469" w:rsidRDefault="009520A4" w:rsidP="009520A4">
      <w:pPr>
        <w:spacing w:after="0"/>
      </w:pPr>
      <w:r>
        <w:t>De 8 alianzas de transferencia del conocimiento a nivel regional que se pretendían establecer para el año 2012, se logró seguir trabajando con 7 aliados estratégicos lográndose el cumplimiento de este indicador en un</w:t>
      </w:r>
      <w:r w:rsidRPr="00BF5469">
        <w:t xml:space="preserve"> 87,50%</w:t>
      </w:r>
      <w:r>
        <w:t>. Los aliados son:</w:t>
      </w:r>
    </w:p>
    <w:p w:rsidR="009520A4" w:rsidRPr="00BF5469" w:rsidRDefault="009520A4" w:rsidP="009520A4">
      <w:pPr>
        <w:spacing w:after="0"/>
      </w:pPr>
    </w:p>
    <w:p w:rsidR="009520A4" w:rsidRPr="00BF5469" w:rsidRDefault="009520A4" w:rsidP="00C21E52">
      <w:pPr>
        <w:pStyle w:val="Prrafodelista"/>
        <w:numPr>
          <w:ilvl w:val="0"/>
          <w:numId w:val="40"/>
        </w:numPr>
        <w:spacing w:after="0"/>
      </w:pPr>
      <w:r w:rsidRPr="00BF5469">
        <w:lastRenderedPageBreak/>
        <w:t>Fundación Universidad Empresa Estado</w:t>
      </w:r>
      <w:r w:rsidR="004B6A8C">
        <w:t>.</w:t>
      </w:r>
    </w:p>
    <w:p w:rsidR="009520A4" w:rsidRPr="00BF5469" w:rsidRDefault="009520A4" w:rsidP="00C21E52">
      <w:pPr>
        <w:pStyle w:val="Prrafodelista"/>
        <w:numPr>
          <w:ilvl w:val="0"/>
          <w:numId w:val="40"/>
        </w:numPr>
        <w:spacing w:after="0"/>
      </w:pPr>
      <w:r w:rsidRPr="00BF5469">
        <w:t>Comité Universidad Empresa Estado del Eje Cafetero</w:t>
      </w:r>
      <w:r w:rsidR="004B6A8C">
        <w:t>.</w:t>
      </w:r>
      <w:r w:rsidRPr="00BF5469">
        <w:t xml:space="preserve"> </w:t>
      </w:r>
    </w:p>
    <w:p w:rsidR="009520A4" w:rsidRPr="00BF5469" w:rsidRDefault="009520A4" w:rsidP="00C21E52">
      <w:pPr>
        <w:pStyle w:val="Prrafodelista"/>
        <w:numPr>
          <w:ilvl w:val="0"/>
          <w:numId w:val="40"/>
        </w:numPr>
        <w:spacing w:after="0"/>
      </w:pPr>
      <w:r w:rsidRPr="00BF5469">
        <w:t>Incubar Eje Cafetero</w:t>
      </w:r>
      <w:r w:rsidR="004B6A8C">
        <w:t>.</w:t>
      </w:r>
    </w:p>
    <w:p w:rsidR="009520A4" w:rsidRPr="00BF5469" w:rsidRDefault="009520A4" w:rsidP="00C21E52">
      <w:pPr>
        <w:pStyle w:val="Prrafodelista"/>
        <w:numPr>
          <w:ilvl w:val="0"/>
          <w:numId w:val="40"/>
        </w:numPr>
        <w:spacing w:after="0"/>
      </w:pPr>
      <w:r w:rsidRPr="00BF5469">
        <w:t>Universidad del Quindío</w:t>
      </w:r>
      <w:r w:rsidR="004B6A8C">
        <w:t>.</w:t>
      </w:r>
    </w:p>
    <w:p w:rsidR="009520A4" w:rsidRPr="00BF5469" w:rsidRDefault="009520A4" w:rsidP="00C21E52">
      <w:pPr>
        <w:pStyle w:val="Prrafodelista"/>
        <w:numPr>
          <w:ilvl w:val="0"/>
          <w:numId w:val="40"/>
        </w:numPr>
        <w:spacing w:after="0"/>
      </w:pPr>
      <w:r w:rsidRPr="00BF5469">
        <w:t xml:space="preserve">Comité </w:t>
      </w:r>
      <w:proofErr w:type="spellStart"/>
      <w:r w:rsidRPr="00BF5469">
        <w:t>Intergremial</w:t>
      </w:r>
      <w:proofErr w:type="spellEnd"/>
      <w:r w:rsidRPr="00BF5469">
        <w:t xml:space="preserve"> de Risaralda</w:t>
      </w:r>
      <w:r w:rsidR="004B6A8C">
        <w:t>.</w:t>
      </w:r>
      <w:r w:rsidRPr="00BF5469">
        <w:t xml:space="preserve"> </w:t>
      </w:r>
    </w:p>
    <w:p w:rsidR="009520A4" w:rsidRPr="00BF5469" w:rsidRDefault="009520A4" w:rsidP="00C21E52">
      <w:pPr>
        <w:pStyle w:val="Prrafodelista"/>
        <w:numPr>
          <w:ilvl w:val="0"/>
          <w:numId w:val="40"/>
        </w:numPr>
        <w:spacing w:after="0"/>
      </w:pPr>
      <w:r w:rsidRPr="00BF5469">
        <w:t>Alianza entre diversas entidades en la temática de  Cadenas Productivas para la agroindustria con la participación de diversas facultades de la UTP, SENA, Administraciones municipales, Comité de Cafeteros, CARDER y otras instituciones,   lo que permitirá la identificación y aporte en otras posibles Alianza</w:t>
      </w:r>
      <w:r w:rsidR="00830E5F">
        <w:t>s</w:t>
      </w:r>
      <w:r w:rsidRPr="00BF5469">
        <w:t xml:space="preserve"> constituidas para el sector agroindustrial. </w:t>
      </w:r>
    </w:p>
    <w:p w:rsidR="009520A4" w:rsidRPr="00BF5469" w:rsidRDefault="009520A4" w:rsidP="00C21E52">
      <w:pPr>
        <w:pStyle w:val="Prrafodelista"/>
        <w:numPr>
          <w:ilvl w:val="0"/>
          <w:numId w:val="40"/>
        </w:numPr>
        <w:spacing w:after="0"/>
      </w:pPr>
      <w:r w:rsidRPr="00BF5469">
        <w:t xml:space="preserve">Alianza para el Proyecto </w:t>
      </w:r>
      <w:r w:rsidR="005438C7" w:rsidRPr="00BF5469">
        <w:t xml:space="preserve">HIMIGRA </w:t>
      </w:r>
      <w:r w:rsidRPr="00BF5469">
        <w:t>con Incubar Eje Cafetero.</w:t>
      </w:r>
    </w:p>
    <w:p w:rsidR="009520A4" w:rsidRPr="00BF5469" w:rsidRDefault="009520A4" w:rsidP="009520A4">
      <w:pPr>
        <w:spacing w:after="0"/>
      </w:pPr>
    </w:p>
    <w:p w:rsidR="009520A4" w:rsidRDefault="009520A4" w:rsidP="009520A4">
      <w:pPr>
        <w:spacing w:after="0"/>
        <w:rPr>
          <w:szCs w:val="20"/>
        </w:rPr>
      </w:pPr>
    </w:p>
    <w:p w:rsidR="009520A4" w:rsidRDefault="009520A4" w:rsidP="009520A4">
      <w:pPr>
        <w:spacing w:after="0"/>
      </w:pPr>
      <w:r w:rsidRPr="00BF5469">
        <w:t xml:space="preserve">Las 5 primeras alianzas se han desarrollado y mantenido a través de </w:t>
      </w:r>
      <w:r>
        <w:t>relaciones</w:t>
      </w:r>
      <w:r w:rsidRPr="00BF5469">
        <w:t xml:space="preserve"> duraderas y con proyección a futuro que aportan al desarrollo de la región desde el ámbito</w:t>
      </w:r>
      <w:r>
        <w:t xml:space="preserve"> de la tecnología y producción. </w:t>
      </w:r>
      <w:r w:rsidRPr="00BF5469">
        <w:t>Se destaca el trabajo realizado a fin de establecer proyectos de carácter regional que se esperan sean financiados por los nuevos recursos del Sistema General de Regalías y lo que se pueda derivar en los diversos procesos asociados a la agroindustria.</w:t>
      </w:r>
    </w:p>
    <w:p w:rsidR="009520A4" w:rsidRDefault="009520A4" w:rsidP="009520A4">
      <w:pPr>
        <w:autoSpaceDE w:val="0"/>
        <w:autoSpaceDN w:val="0"/>
        <w:adjustRightInd w:val="0"/>
        <w:spacing w:after="0"/>
        <w:jc w:val="left"/>
      </w:pPr>
    </w:p>
    <w:p w:rsidR="009520A4" w:rsidRDefault="009520A4" w:rsidP="009520A4">
      <w:pPr>
        <w:autoSpaceDE w:val="0"/>
        <w:autoSpaceDN w:val="0"/>
        <w:adjustRightInd w:val="0"/>
        <w:spacing w:after="0"/>
        <w:jc w:val="left"/>
        <w:rPr>
          <w:rFonts w:cs="Calibri"/>
          <w:color w:val="000000"/>
          <w:sz w:val="24"/>
          <w:szCs w:val="24"/>
        </w:rPr>
      </w:pPr>
      <w:r>
        <w:rPr>
          <w:rFonts w:cs="Calibri"/>
          <w:color w:val="000000"/>
          <w:sz w:val="24"/>
          <w:szCs w:val="24"/>
        </w:rPr>
        <w:t>A lo largo de estos cuatro años se han obtenido los siguientes resultados:</w:t>
      </w:r>
    </w:p>
    <w:p w:rsidR="009520A4" w:rsidRDefault="009520A4" w:rsidP="009520A4">
      <w:pPr>
        <w:autoSpaceDE w:val="0"/>
        <w:autoSpaceDN w:val="0"/>
        <w:adjustRightInd w:val="0"/>
        <w:spacing w:after="0"/>
        <w:jc w:val="left"/>
        <w:rPr>
          <w:rFonts w:cs="Calibri"/>
          <w:color w:val="000000"/>
          <w:sz w:val="24"/>
          <w:szCs w:val="24"/>
        </w:rPr>
      </w:pPr>
    </w:p>
    <w:tbl>
      <w:tblPr>
        <w:tblStyle w:val="Cuadrculaclara-nfasis1"/>
        <w:tblW w:w="0" w:type="auto"/>
        <w:tblLook w:val="04A0" w:firstRow="1" w:lastRow="0" w:firstColumn="1" w:lastColumn="0" w:noHBand="0" w:noVBand="1"/>
      </w:tblPr>
      <w:tblGrid>
        <w:gridCol w:w="1242"/>
        <w:gridCol w:w="7736"/>
      </w:tblGrid>
      <w:tr w:rsidR="00625391" w:rsidRPr="00625391" w:rsidTr="0062539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tcPr>
          <w:p w:rsidR="009520A4" w:rsidRPr="00625391" w:rsidRDefault="009520A4" w:rsidP="009520A4">
            <w:pPr>
              <w:autoSpaceDE w:val="0"/>
              <w:autoSpaceDN w:val="0"/>
              <w:adjustRightInd w:val="0"/>
              <w:jc w:val="center"/>
              <w:rPr>
                <w:rFonts w:cs="Calibri"/>
                <w:sz w:val="24"/>
                <w:szCs w:val="24"/>
              </w:rPr>
            </w:pPr>
            <w:r w:rsidRPr="00625391">
              <w:rPr>
                <w:rFonts w:cs="Calibri"/>
                <w:sz w:val="24"/>
                <w:szCs w:val="24"/>
              </w:rPr>
              <w:t>Año</w:t>
            </w:r>
          </w:p>
        </w:tc>
        <w:tc>
          <w:tcPr>
            <w:tcW w:w="7736" w:type="dxa"/>
          </w:tcPr>
          <w:p w:rsidR="009520A4" w:rsidRPr="00625391" w:rsidRDefault="009520A4" w:rsidP="009520A4">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cs="Calibri"/>
                <w:sz w:val="24"/>
                <w:szCs w:val="24"/>
              </w:rPr>
            </w:pPr>
            <w:r w:rsidRPr="00625391">
              <w:rPr>
                <w:rFonts w:cs="Calibri"/>
                <w:sz w:val="24"/>
                <w:szCs w:val="24"/>
              </w:rPr>
              <w:t>Resultados</w:t>
            </w:r>
          </w:p>
        </w:tc>
      </w:tr>
      <w:tr w:rsidR="009520A4" w:rsidTr="00A27F9C">
        <w:trPr>
          <w:cnfStyle w:val="000000100000" w:firstRow="0" w:lastRow="0" w:firstColumn="0" w:lastColumn="0" w:oddVBand="0" w:evenVBand="0" w:oddHBand="1" w:evenHBand="0"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1242" w:type="dxa"/>
            <w:vAlign w:val="center"/>
          </w:tcPr>
          <w:p w:rsidR="009520A4" w:rsidRPr="00A27F9C" w:rsidRDefault="009520A4" w:rsidP="00A27F9C">
            <w:pPr>
              <w:autoSpaceDE w:val="0"/>
              <w:autoSpaceDN w:val="0"/>
              <w:adjustRightInd w:val="0"/>
              <w:jc w:val="center"/>
              <w:rPr>
                <w:rFonts w:cs="Calibri"/>
                <w:color w:val="000000"/>
                <w:sz w:val="18"/>
                <w:szCs w:val="18"/>
              </w:rPr>
            </w:pPr>
            <w:r w:rsidRPr="00A27F9C">
              <w:rPr>
                <w:rFonts w:cs="Calibri"/>
                <w:color w:val="000000"/>
                <w:sz w:val="18"/>
                <w:szCs w:val="18"/>
              </w:rPr>
              <w:t>2009</w:t>
            </w:r>
          </w:p>
        </w:tc>
        <w:tc>
          <w:tcPr>
            <w:tcW w:w="7736" w:type="dxa"/>
          </w:tcPr>
          <w:p w:rsidR="009520A4" w:rsidRPr="004A2580" w:rsidRDefault="009520A4" w:rsidP="009520A4">
            <w:pPr>
              <w:pStyle w:val="Default"/>
              <w:jc w:val="both"/>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8"/>
                <w:szCs w:val="18"/>
              </w:rPr>
            </w:pPr>
            <w:r w:rsidRPr="004A2580">
              <w:rPr>
                <w:rFonts w:ascii="Calibri" w:hAnsi="Calibri" w:cs="Calibri"/>
                <w:color w:val="auto"/>
                <w:sz w:val="18"/>
                <w:szCs w:val="18"/>
              </w:rPr>
              <w:t>Como logro importante se resalta la presentación de la propuesta de Política Institucional de Impacto Regional, como acción inicial y punto de partida para la consolidación de la estrategia de impacto regional por parte de la UTP.</w:t>
            </w:r>
          </w:p>
          <w:p w:rsidR="009520A4" w:rsidRPr="004A2580" w:rsidRDefault="009520A4" w:rsidP="00625391">
            <w:pPr>
              <w:pStyle w:val="Default"/>
              <w:jc w:val="both"/>
              <w:cnfStyle w:val="000000100000" w:firstRow="0" w:lastRow="0" w:firstColumn="0" w:lastColumn="0" w:oddVBand="0" w:evenVBand="0" w:oddHBand="1" w:evenHBand="0" w:firstRowFirstColumn="0" w:firstRowLastColumn="0" w:lastRowFirstColumn="0" w:lastRowLastColumn="0"/>
              <w:rPr>
                <w:rFonts w:ascii="Calibri" w:hAnsi="Calibri" w:cs="Calibri"/>
                <w:sz w:val="18"/>
                <w:szCs w:val="18"/>
              </w:rPr>
            </w:pPr>
            <w:r w:rsidRPr="004A2580">
              <w:rPr>
                <w:rFonts w:ascii="Calibri" w:hAnsi="Calibri" w:cs="Calibri"/>
                <w:color w:val="auto"/>
                <w:sz w:val="18"/>
                <w:szCs w:val="18"/>
              </w:rPr>
              <w:t>Así mismo la transferencia al sector productivo se enfatizó en el fortalecimiento del Clúster de Conocimiento en Biotecnología Agropecuaria e industrial del Eje Cafetero que tuvo como resultado la vinculación de 3 empresas de Manizales, 2 de Risaralda y 4 de Quindío.</w:t>
            </w:r>
          </w:p>
        </w:tc>
      </w:tr>
      <w:tr w:rsidR="009520A4" w:rsidTr="00A27F9C">
        <w:trPr>
          <w:cnfStyle w:val="000000010000" w:firstRow="0" w:lastRow="0" w:firstColumn="0" w:lastColumn="0" w:oddVBand="0" w:evenVBand="0" w:oddHBand="0" w:evenHBand="1"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1242" w:type="dxa"/>
            <w:vAlign w:val="center"/>
          </w:tcPr>
          <w:p w:rsidR="009520A4" w:rsidRPr="00A27F9C" w:rsidRDefault="009520A4" w:rsidP="00A27F9C">
            <w:pPr>
              <w:autoSpaceDE w:val="0"/>
              <w:autoSpaceDN w:val="0"/>
              <w:adjustRightInd w:val="0"/>
              <w:jc w:val="center"/>
              <w:rPr>
                <w:rFonts w:cs="Calibri"/>
                <w:color w:val="000000"/>
                <w:sz w:val="18"/>
                <w:szCs w:val="18"/>
              </w:rPr>
            </w:pPr>
            <w:r w:rsidRPr="00A27F9C">
              <w:rPr>
                <w:rFonts w:cs="Calibri"/>
                <w:color w:val="000000"/>
                <w:sz w:val="18"/>
                <w:szCs w:val="18"/>
              </w:rPr>
              <w:t>2010</w:t>
            </w:r>
          </w:p>
        </w:tc>
        <w:tc>
          <w:tcPr>
            <w:tcW w:w="7736" w:type="dxa"/>
          </w:tcPr>
          <w:p w:rsidR="009520A4" w:rsidRPr="004A2580" w:rsidRDefault="009520A4" w:rsidP="009520A4">
            <w:pPr>
              <w:autoSpaceDE w:val="0"/>
              <w:autoSpaceDN w:val="0"/>
              <w:adjustRightInd w:val="0"/>
              <w:cnfStyle w:val="000000010000" w:firstRow="0" w:lastRow="0" w:firstColumn="0" w:lastColumn="0" w:oddVBand="0" w:evenVBand="0" w:oddHBand="0" w:evenHBand="1" w:firstRowFirstColumn="0" w:firstRowLastColumn="0" w:lastRowFirstColumn="0" w:lastRowLastColumn="0"/>
              <w:rPr>
                <w:rFonts w:cs="Calibri"/>
                <w:sz w:val="18"/>
                <w:szCs w:val="18"/>
              </w:rPr>
            </w:pPr>
            <w:r w:rsidRPr="004A2580">
              <w:rPr>
                <w:rFonts w:cs="Calibri"/>
                <w:sz w:val="18"/>
                <w:szCs w:val="18"/>
              </w:rPr>
              <w:t>Se pactaron diferentes alianzas estratégicas con la Fundación Universidad – Empresa – Estado, Incubar Eje cafetero e Incubar Quindío. Se plantea la alianza universidad empresa estado como mecanismo para fortalecer relaciones entre los sectores públicos, productivos y la academia, cuyo principal objetivo es coordinar esfuerzos y recursos para el mejor aprovechamiento de las capacidades científicas, tecnológicas y de innovación a favor de la productividad y competitividad.</w:t>
            </w:r>
          </w:p>
        </w:tc>
      </w:tr>
      <w:tr w:rsidR="009520A4" w:rsidTr="00A27F9C">
        <w:trPr>
          <w:cnfStyle w:val="000000100000" w:firstRow="0" w:lastRow="0" w:firstColumn="0" w:lastColumn="0" w:oddVBand="0" w:evenVBand="0" w:oddHBand="1" w:evenHBand="0" w:firstRowFirstColumn="0" w:firstRowLastColumn="0" w:lastRowFirstColumn="0" w:lastRowLastColumn="0"/>
          <w:trHeight w:val="242"/>
        </w:trPr>
        <w:tc>
          <w:tcPr>
            <w:cnfStyle w:val="001000000000" w:firstRow="0" w:lastRow="0" w:firstColumn="1" w:lastColumn="0" w:oddVBand="0" w:evenVBand="0" w:oddHBand="0" w:evenHBand="0" w:firstRowFirstColumn="0" w:firstRowLastColumn="0" w:lastRowFirstColumn="0" w:lastRowLastColumn="0"/>
            <w:tcW w:w="1242" w:type="dxa"/>
            <w:vAlign w:val="center"/>
          </w:tcPr>
          <w:p w:rsidR="009520A4" w:rsidRPr="00A27F9C" w:rsidRDefault="009520A4" w:rsidP="00A27F9C">
            <w:pPr>
              <w:autoSpaceDE w:val="0"/>
              <w:autoSpaceDN w:val="0"/>
              <w:adjustRightInd w:val="0"/>
              <w:jc w:val="center"/>
              <w:rPr>
                <w:rFonts w:cs="Calibri"/>
                <w:color w:val="000000"/>
                <w:sz w:val="18"/>
                <w:szCs w:val="18"/>
              </w:rPr>
            </w:pPr>
            <w:r w:rsidRPr="00A27F9C">
              <w:rPr>
                <w:rFonts w:cs="Calibri"/>
                <w:color w:val="000000"/>
                <w:sz w:val="18"/>
                <w:szCs w:val="18"/>
              </w:rPr>
              <w:t>2011</w:t>
            </w:r>
          </w:p>
        </w:tc>
        <w:tc>
          <w:tcPr>
            <w:tcW w:w="7736" w:type="dxa"/>
          </w:tcPr>
          <w:p w:rsidR="009520A4" w:rsidRDefault="009520A4" w:rsidP="009520A4">
            <w:pPr>
              <w:autoSpaceDE w:val="0"/>
              <w:autoSpaceDN w:val="0"/>
              <w:adjustRightInd w:val="0"/>
              <w:jc w:val="left"/>
              <w:cnfStyle w:val="000000100000" w:firstRow="0" w:lastRow="0" w:firstColumn="0" w:lastColumn="0" w:oddVBand="0" w:evenVBand="0" w:oddHBand="1" w:evenHBand="0" w:firstRowFirstColumn="0" w:firstRowLastColumn="0" w:lastRowFirstColumn="0" w:lastRowLastColumn="0"/>
              <w:rPr>
                <w:rFonts w:cs="Calibri"/>
                <w:sz w:val="18"/>
                <w:szCs w:val="18"/>
              </w:rPr>
            </w:pPr>
            <w:r w:rsidRPr="004A2580">
              <w:rPr>
                <w:rFonts w:cs="Calibri"/>
                <w:sz w:val="18"/>
                <w:szCs w:val="18"/>
              </w:rPr>
              <w:t>Se incluyen nuevos aliados tales como:</w:t>
            </w:r>
          </w:p>
          <w:p w:rsidR="004A2580" w:rsidRDefault="004A2580" w:rsidP="009520A4">
            <w:pPr>
              <w:autoSpaceDE w:val="0"/>
              <w:autoSpaceDN w:val="0"/>
              <w:adjustRightInd w:val="0"/>
              <w:jc w:val="left"/>
              <w:cnfStyle w:val="000000100000" w:firstRow="0" w:lastRow="0" w:firstColumn="0" w:lastColumn="0" w:oddVBand="0" w:evenVBand="0" w:oddHBand="1" w:evenHBand="0" w:firstRowFirstColumn="0" w:firstRowLastColumn="0" w:lastRowFirstColumn="0" w:lastRowLastColumn="0"/>
              <w:rPr>
                <w:rFonts w:cs="Calibri"/>
                <w:sz w:val="18"/>
                <w:szCs w:val="18"/>
              </w:rPr>
            </w:pPr>
            <w:r w:rsidRPr="004A2580">
              <w:rPr>
                <w:rFonts w:cs="Calibri"/>
                <w:sz w:val="18"/>
                <w:szCs w:val="18"/>
                <w:u w:val="single"/>
              </w:rPr>
              <w:t xml:space="preserve">Comité </w:t>
            </w:r>
            <w:proofErr w:type="spellStart"/>
            <w:r w:rsidRPr="004A2580">
              <w:rPr>
                <w:rFonts w:cs="Calibri"/>
                <w:sz w:val="18"/>
                <w:szCs w:val="18"/>
                <w:u w:val="single"/>
              </w:rPr>
              <w:t>Intergremial</w:t>
            </w:r>
            <w:proofErr w:type="spellEnd"/>
            <w:r w:rsidRPr="004A2580">
              <w:rPr>
                <w:rFonts w:cs="Calibri"/>
                <w:sz w:val="18"/>
                <w:szCs w:val="18"/>
                <w:u w:val="single"/>
              </w:rPr>
              <w:t xml:space="preserve"> de Risaralda:</w:t>
            </w:r>
            <w:r w:rsidRPr="004A2580">
              <w:rPr>
                <w:rFonts w:cs="Calibri"/>
                <w:sz w:val="18"/>
                <w:szCs w:val="18"/>
              </w:rPr>
              <w:t xml:space="preserve"> En esta instancia se trabajó a través del Subcomité Integración academia- empresa, esta alianza es clave para dinamizar el Comité en Risaralda y liderar el Comité por empresarios.</w:t>
            </w:r>
          </w:p>
          <w:p w:rsidR="004A2580" w:rsidRDefault="004A2580" w:rsidP="004A2580">
            <w:pPr>
              <w:pStyle w:val="Default"/>
              <w:jc w:val="both"/>
              <w:cnfStyle w:val="000000100000" w:firstRow="0" w:lastRow="0" w:firstColumn="0" w:lastColumn="0" w:oddVBand="0" w:evenVBand="0" w:oddHBand="1" w:evenHBand="0" w:firstRowFirstColumn="0" w:firstRowLastColumn="0" w:lastRowFirstColumn="0" w:lastRowLastColumn="0"/>
              <w:rPr>
                <w:rFonts w:ascii="Calibri" w:hAnsi="Calibri" w:cs="Calibri"/>
                <w:sz w:val="18"/>
                <w:szCs w:val="18"/>
              </w:rPr>
            </w:pPr>
            <w:r w:rsidRPr="004A2580">
              <w:rPr>
                <w:rFonts w:ascii="Calibri" w:hAnsi="Calibri" w:cs="Calibri"/>
                <w:sz w:val="18"/>
                <w:szCs w:val="18"/>
                <w:u w:val="single"/>
              </w:rPr>
              <w:t>Comité Universidad – Empresa Estado:</w:t>
            </w:r>
            <w:r w:rsidRPr="004A2580">
              <w:rPr>
                <w:rFonts w:ascii="Calibri" w:hAnsi="Calibri" w:cs="Calibri"/>
                <w:sz w:val="18"/>
                <w:szCs w:val="18"/>
              </w:rPr>
              <w:t xml:space="preserve"> La Universidad Tecnológica de Pereira participa permanentemente en este Comité y desde la Red Alma Mater se realiza la secretaría técnica. Este es un espacio para establecer directrices para propiciar el relacionamiento universidad-empresa a nivel regional. </w:t>
            </w:r>
          </w:p>
          <w:p w:rsidR="009520A4" w:rsidRPr="004A2580" w:rsidRDefault="009520A4" w:rsidP="009520A4">
            <w:pPr>
              <w:pStyle w:val="Default"/>
              <w:jc w:val="both"/>
              <w:cnfStyle w:val="000000100000" w:firstRow="0" w:lastRow="0" w:firstColumn="0" w:lastColumn="0" w:oddVBand="0" w:evenVBand="0" w:oddHBand="1" w:evenHBand="0" w:firstRowFirstColumn="0" w:firstRowLastColumn="0" w:lastRowFirstColumn="0" w:lastRowLastColumn="0"/>
              <w:rPr>
                <w:rFonts w:ascii="Calibri" w:hAnsi="Calibri" w:cs="Calibri"/>
                <w:sz w:val="18"/>
                <w:szCs w:val="18"/>
              </w:rPr>
            </w:pPr>
            <w:r w:rsidRPr="004A2580">
              <w:rPr>
                <w:rFonts w:ascii="Calibri" w:hAnsi="Calibri" w:cs="Calibri"/>
                <w:sz w:val="18"/>
                <w:szCs w:val="18"/>
              </w:rPr>
              <w:t>Igualmente, la Universidad participó de la rueda de innovación del Eje Cafetero " Te inventas” y del Taller de relacionamiento empresa y universidad "Empresa ancla”</w:t>
            </w:r>
          </w:p>
        </w:tc>
      </w:tr>
      <w:tr w:rsidR="009520A4" w:rsidTr="00A27F9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vAlign w:val="center"/>
          </w:tcPr>
          <w:p w:rsidR="009520A4" w:rsidRPr="00A27F9C" w:rsidRDefault="009520A4" w:rsidP="00A27F9C">
            <w:pPr>
              <w:autoSpaceDE w:val="0"/>
              <w:autoSpaceDN w:val="0"/>
              <w:adjustRightInd w:val="0"/>
              <w:jc w:val="center"/>
              <w:rPr>
                <w:rFonts w:cs="Calibri"/>
                <w:color w:val="000000"/>
                <w:sz w:val="18"/>
                <w:szCs w:val="18"/>
              </w:rPr>
            </w:pPr>
            <w:r w:rsidRPr="00A27F9C">
              <w:rPr>
                <w:rFonts w:cs="Calibri"/>
                <w:color w:val="000000"/>
                <w:sz w:val="18"/>
                <w:szCs w:val="18"/>
              </w:rPr>
              <w:t>2012</w:t>
            </w:r>
          </w:p>
        </w:tc>
        <w:tc>
          <w:tcPr>
            <w:tcW w:w="7736" w:type="dxa"/>
          </w:tcPr>
          <w:p w:rsidR="009520A4" w:rsidRPr="004A2580" w:rsidRDefault="009520A4" w:rsidP="009520A4">
            <w:pPr>
              <w:autoSpaceDE w:val="0"/>
              <w:autoSpaceDN w:val="0"/>
              <w:adjustRightInd w:val="0"/>
              <w:cnfStyle w:val="000000010000" w:firstRow="0" w:lastRow="0" w:firstColumn="0" w:lastColumn="0" w:oddVBand="0" w:evenVBand="0" w:oddHBand="0" w:evenHBand="1" w:firstRowFirstColumn="0" w:firstRowLastColumn="0" w:lastRowFirstColumn="0" w:lastRowLastColumn="0"/>
              <w:rPr>
                <w:rFonts w:cs="Calibri"/>
                <w:sz w:val="18"/>
                <w:szCs w:val="18"/>
              </w:rPr>
            </w:pPr>
            <w:r w:rsidRPr="004A2580">
              <w:rPr>
                <w:rFonts w:cs="Calibri"/>
                <w:sz w:val="18"/>
                <w:szCs w:val="18"/>
              </w:rPr>
              <w:t xml:space="preserve">Se concretan nuevas alianzas con la Universidad del Quindío, Alianza para el proyecto </w:t>
            </w:r>
            <w:r w:rsidR="005438C7" w:rsidRPr="004A2580">
              <w:rPr>
                <w:rFonts w:cs="Calibri"/>
                <w:sz w:val="18"/>
                <w:szCs w:val="18"/>
              </w:rPr>
              <w:t xml:space="preserve">HIMIGRA </w:t>
            </w:r>
            <w:r w:rsidRPr="004A2580">
              <w:rPr>
                <w:rFonts w:cs="Calibri"/>
                <w:sz w:val="18"/>
                <w:szCs w:val="18"/>
              </w:rPr>
              <w:t>con Incubar Eje Cafetero y una Alianza Interinstitucional para el fortalecimiento de cadenas productivas para la agroindustria (UTP, SENA, Comité de Cafeteros, SENA, Municipios, entre otros).</w:t>
            </w:r>
          </w:p>
        </w:tc>
      </w:tr>
    </w:tbl>
    <w:p w:rsidR="009520A4" w:rsidRDefault="009520A4" w:rsidP="009520A4">
      <w:pPr>
        <w:autoSpaceDE w:val="0"/>
        <w:autoSpaceDN w:val="0"/>
        <w:adjustRightInd w:val="0"/>
        <w:spacing w:after="0"/>
        <w:jc w:val="left"/>
        <w:rPr>
          <w:rFonts w:cs="Calibri"/>
          <w:color w:val="000000"/>
          <w:sz w:val="24"/>
          <w:szCs w:val="24"/>
        </w:rPr>
      </w:pPr>
    </w:p>
    <w:p w:rsidR="009520A4" w:rsidRPr="00217AC9" w:rsidRDefault="009520A4" w:rsidP="0012432B">
      <w:pPr>
        <w:pStyle w:val="Ttulo3"/>
      </w:pPr>
      <w:bookmarkStart w:id="151" w:name="_Toc354671365"/>
      <w:r w:rsidRPr="00217AC9">
        <w:lastRenderedPageBreak/>
        <w:t>Direccionamiento Estratégico del Conocimiento</w:t>
      </w:r>
      <w:bookmarkEnd w:id="151"/>
    </w:p>
    <w:p w:rsidR="009520A4" w:rsidRDefault="009520A4" w:rsidP="009520A4">
      <w:pPr>
        <w:rPr>
          <w:b/>
          <w:bCs/>
        </w:rPr>
      </w:pPr>
    </w:p>
    <w:p w:rsidR="009520A4" w:rsidRDefault="009520A4" w:rsidP="009520A4">
      <w:r>
        <w:t>Mediante este</w:t>
      </w:r>
      <w:r w:rsidRPr="004B2CE6">
        <w:t xml:space="preserve"> componente </w:t>
      </w:r>
      <w:r>
        <w:t xml:space="preserve"> de acción, la UTP acompaña y aporta en</w:t>
      </w:r>
      <w:r w:rsidRPr="004B2CE6">
        <w:t xml:space="preserve"> la generación de planes, programas y proyectos ofrecidos a la región basado en el conocimiento científico y académico. Igualmente en la formulación o intervención de políticas públicas </w:t>
      </w:r>
      <w:r>
        <w:t>de interés regional</w:t>
      </w:r>
      <w:r w:rsidRPr="004B2CE6">
        <w:t xml:space="preserve">. </w:t>
      </w:r>
      <w:r>
        <w:t xml:space="preserve">La Universidad participó en 18 planes, programas y/o proyectos basados en el conocimiento lográndose un cumplimiento del 100% en la meta planteada. </w:t>
      </w:r>
    </w:p>
    <w:p w:rsidR="006D1CE2" w:rsidRDefault="006D1CE2" w:rsidP="009520A4"/>
    <w:p w:rsidR="006D1CE2" w:rsidRPr="00ED72DA" w:rsidRDefault="006D1CE2" w:rsidP="006D1CE2">
      <w:pPr>
        <w:pStyle w:val="Epgrafe"/>
        <w:keepNext/>
        <w:spacing w:line="276" w:lineRule="auto"/>
        <w:rPr>
          <w:color w:val="000000" w:themeColor="text1"/>
        </w:rPr>
      </w:pPr>
      <w:r w:rsidRPr="0069072F">
        <w:rPr>
          <w:color w:val="000000" w:themeColor="text1"/>
        </w:rPr>
        <w:t xml:space="preserve">Resultados </w:t>
      </w:r>
      <w:r>
        <w:rPr>
          <w:color w:val="000000" w:themeColor="text1"/>
        </w:rPr>
        <w:t>–</w:t>
      </w:r>
      <w:r w:rsidRPr="0069072F">
        <w:rPr>
          <w:color w:val="000000" w:themeColor="text1"/>
        </w:rPr>
        <w:t xml:space="preserve"> </w:t>
      </w:r>
      <w:r w:rsidRPr="004447C5">
        <w:t>Conocimiento científico y académico de carácter regional y en red puesto a disposición de la región</w:t>
      </w:r>
    </w:p>
    <w:p w:rsidR="006D1CE2" w:rsidRPr="0069072F" w:rsidRDefault="006D1CE2" w:rsidP="006D1CE2">
      <w:pPr>
        <w:spacing w:after="0"/>
        <w:jc w:val="center"/>
      </w:pPr>
      <w:r w:rsidRPr="0069072F">
        <w:rPr>
          <w:noProof/>
          <w:lang w:val="es-CO" w:eastAsia="es-CO"/>
        </w:rPr>
        <w:drawing>
          <wp:inline distT="0" distB="0" distL="0" distR="0">
            <wp:extent cx="4772025" cy="1743075"/>
            <wp:effectExtent l="0" t="0" r="0" b="0"/>
            <wp:docPr id="61" name="1 Gráfico"/>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p>
    <w:p w:rsidR="006D1CE2" w:rsidRPr="00B27BB6" w:rsidRDefault="006D1CE2" w:rsidP="006D1CE2">
      <w:pPr>
        <w:jc w:val="center"/>
        <w:rPr>
          <w:b/>
          <w:i/>
          <w:sz w:val="20"/>
        </w:rPr>
      </w:pPr>
      <w:r w:rsidRPr="0069072F">
        <w:rPr>
          <w:b/>
          <w:i/>
          <w:sz w:val="20"/>
        </w:rPr>
        <w:t>Fuente: SIGOB</w:t>
      </w:r>
    </w:p>
    <w:p w:rsidR="009520A4" w:rsidRPr="00500A4B" w:rsidRDefault="009520A4" w:rsidP="009520A4">
      <w:r w:rsidRPr="004B2CE6">
        <w:t>Los resultados se enmarcan en:</w:t>
      </w:r>
    </w:p>
    <w:p w:rsidR="009520A4" w:rsidRPr="00500A4B" w:rsidRDefault="009520A4" w:rsidP="009520A4">
      <w:pPr>
        <w:rPr>
          <w:bCs/>
        </w:rPr>
      </w:pPr>
      <w:r w:rsidRPr="00500A4B">
        <w:rPr>
          <w:bCs/>
          <w:u w:val="single"/>
        </w:rPr>
        <w:t>Observatorios en Red:</w:t>
      </w:r>
      <w:r>
        <w:rPr>
          <w:b/>
          <w:bCs/>
        </w:rPr>
        <w:t xml:space="preserve"> </w:t>
      </w:r>
      <w:r w:rsidRPr="00500A4B">
        <w:rPr>
          <w:bCs/>
        </w:rPr>
        <w:t xml:space="preserve">la Universidad participa en 8 observatorios en red. Estos observatorios acopian y analizan información para la toma de decisiones en los diferentes temas: </w:t>
      </w:r>
    </w:p>
    <w:p w:rsidR="009520A4" w:rsidRPr="00500A4B" w:rsidRDefault="009520A4" w:rsidP="00C21E52">
      <w:pPr>
        <w:pStyle w:val="Prrafodelista"/>
        <w:numPr>
          <w:ilvl w:val="0"/>
          <w:numId w:val="37"/>
        </w:numPr>
        <w:spacing w:after="200" w:line="276" w:lineRule="auto"/>
        <w:rPr>
          <w:rFonts w:ascii="Calibri" w:hAnsi="Calibri"/>
          <w:bCs/>
        </w:rPr>
      </w:pPr>
      <w:r w:rsidRPr="00500A4B">
        <w:rPr>
          <w:rFonts w:ascii="Calibri" w:hAnsi="Calibri"/>
          <w:bCs/>
        </w:rPr>
        <w:t>Observatorio de Drogas del Eje Cafetero</w:t>
      </w:r>
      <w:r w:rsidR="006A6187">
        <w:rPr>
          <w:rFonts w:ascii="Calibri" w:hAnsi="Calibri"/>
          <w:bCs/>
        </w:rPr>
        <w:t>.</w:t>
      </w:r>
    </w:p>
    <w:p w:rsidR="009520A4" w:rsidRPr="00500A4B" w:rsidRDefault="009520A4" w:rsidP="00C21E52">
      <w:pPr>
        <w:pStyle w:val="Prrafodelista"/>
        <w:numPr>
          <w:ilvl w:val="0"/>
          <w:numId w:val="37"/>
        </w:numPr>
        <w:spacing w:after="200" w:line="276" w:lineRule="auto"/>
        <w:rPr>
          <w:rFonts w:ascii="Calibri" w:hAnsi="Calibri"/>
          <w:bCs/>
        </w:rPr>
      </w:pPr>
      <w:r w:rsidRPr="00500A4B">
        <w:rPr>
          <w:rFonts w:ascii="Calibri" w:hAnsi="Calibri"/>
          <w:bCs/>
        </w:rPr>
        <w:t>Observatorio de Migraciones</w:t>
      </w:r>
      <w:r w:rsidR="006A6187">
        <w:rPr>
          <w:rFonts w:ascii="Calibri" w:hAnsi="Calibri"/>
          <w:bCs/>
        </w:rPr>
        <w:t>.</w:t>
      </w:r>
    </w:p>
    <w:p w:rsidR="009520A4" w:rsidRPr="00500A4B" w:rsidRDefault="009520A4" w:rsidP="00C21E52">
      <w:pPr>
        <w:pStyle w:val="Prrafodelista"/>
        <w:numPr>
          <w:ilvl w:val="0"/>
          <w:numId w:val="37"/>
        </w:numPr>
        <w:spacing w:after="200" w:line="276" w:lineRule="auto"/>
        <w:rPr>
          <w:rFonts w:ascii="Calibri" w:hAnsi="Calibri"/>
          <w:bCs/>
        </w:rPr>
      </w:pPr>
      <w:r w:rsidRPr="00500A4B">
        <w:rPr>
          <w:rFonts w:ascii="Calibri" w:hAnsi="Calibri"/>
          <w:bCs/>
        </w:rPr>
        <w:t>Observatorio de Turismo Sostenible</w:t>
      </w:r>
      <w:r w:rsidR="006A6187">
        <w:rPr>
          <w:rFonts w:ascii="Calibri" w:hAnsi="Calibri"/>
          <w:bCs/>
        </w:rPr>
        <w:t>.</w:t>
      </w:r>
    </w:p>
    <w:p w:rsidR="009520A4" w:rsidRPr="00500A4B" w:rsidRDefault="009520A4" w:rsidP="00C21E52">
      <w:pPr>
        <w:pStyle w:val="Prrafodelista"/>
        <w:numPr>
          <w:ilvl w:val="0"/>
          <w:numId w:val="37"/>
        </w:numPr>
        <w:spacing w:after="200" w:line="276" w:lineRule="auto"/>
        <w:rPr>
          <w:rFonts w:ascii="Calibri" w:hAnsi="Calibri"/>
          <w:bCs/>
        </w:rPr>
      </w:pPr>
      <w:r w:rsidRPr="00500A4B">
        <w:rPr>
          <w:rFonts w:ascii="Calibri" w:hAnsi="Calibri"/>
          <w:bCs/>
        </w:rPr>
        <w:t>Observatorio de Sostenibilidad de los Paisajes culturales</w:t>
      </w:r>
      <w:r w:rsidR="006A6187">
        <w:rPr>
          <w:rFonts w:ascii="Calibri" w:hAnsi="Calibri"/>
          <w:bCs/>
        </w:rPr>
        <w:t>.</w:t>
      </w:r>
    </w:p>
    <w:p w:rsidR="009520A4" w:rsidRPr="00500A4B" w:rsidRDefault="009520A4" w:rsidP="00C21E52">
      <w:pPr>
        <w:pStyle w:val="Prrafodelista"/>
        <w:numPr>
          <w:ilvl w:val="0"/>
          <w:numId w:val="37"/>
        </w:numPr>
        <w:spacing w:after="200" w:line="276" w:lineRule="auto"/>
        <w:rPr>
          <w:rFonts w:ascii="Calibri" w:hAnsi="Calibri"/>
          <w:bCs/>
        </w:rPr>
      </w:pPr>
      <w:r w:rsidRPr="00500A4B">
        <w:rPr>
          <w:rFonts w:ascii="Calibri" w:hAnsi="Calibri"/>
          <w:bCs/>
        </w:rPr>
        <w:t>Observatorio del Mercado laboral Risaralda</w:t>
      </w:r>
      <w:r w:rsidR="006A6187">
        <w:rPr>
          <w:rFonts w:ascii="Calibri" w:hAnsi="Calibri"/>
          <w:bCs/>
        </w:rPr>
        <w:t>.</w:t>
      </w:r>
    </w:p>
    <w:p w:rsidR="009520A4" w:rsidRPr="00500A4B" w:rsidRDefault="009520A4" w:rsidP="00C21E52">
      <w:pPr>
        <w:pStyle w:val="Prrafodelista"/>
        <w:numPr>
          <w:ilvl w:val="0"/>
          <w:numId w:val="37"/>
        </w:numPr>
        <w:spacing w:after="200" w:line="276" w:lineRule="auto"/>
        <w:rPr>
          <w:rFonts w:ascii="Calibri" w:hAnsi="Calibri"/>
          <w:bCs/>
        </w:rPr>
      </w:pPr>
      <w:r w:rsidRPr="00500A4B">
        <w:rPr>
          <w:rFonts w:ascii="Calibri" w:hAnsi="Calibri"/>
          <w:bCs/>
        </w:rPr>
        <w:t>Observatorio de Salud pública</w:t>
      </w:r>
      <w:r w:rsidR="006A6187">
        <w:rPr>
          <w:rFonts w:ascii="Calibri" w:hAnsi="Calibri"/>
          <w:bCs/>
        </w:rPr>
        <w:t>.</w:t>
      </w:r>
    </w:p>
    <w:p w:rsidR="009520A4" w:rsidRPr="00A738B1" w:rsidRDefault="009520A4" w:rsidP="00C21E52">
      <w:pPr>
        <w:pStyle w:val="Prrafodelista"/>
        <w:numPr>
          <w:ilvl w:val="0"/>
          <w:numId w:val="37"/>
        </w:numPr>
        <w:spacing w:after="200" w:line="276" w:lineRule="auto"/>
        <w:rPr>
          <w:rFonts w:ascii="Calibri" w:hAnsi="Calibri"/>
          <w:bCs/>
        </w:rPr>
      </w:pPr>
      <w:r w:rsidRPr="00A738B1">
        <w:rPr>
          <w:rFonts w:ascii="Calibri" w:hAnsi="Calibri"/>
          <w:bCs/>
        </w:rPr>
        <w:t>Observatorio Ambiental</w:t>
      </w:r>
      <w:r w:rsidR="00A738B1" w:rsidRPr="00A738B1">
        <w:rPr>
          <w:rFonts w:ascii="Calibri" w:hAnsi="Calibri"/>
          <w:bCs/>
        </w:rPr>
        <w:t xml:space="preserve"> – Sistema Información Regional SIAE </w:t>
      </w:r>
      <w:r w:rsidR="006A6187" w:rsidRPr="00A738B1">
        <w:rPr>
          <w:rFonts w:ascii="Calibri" w:hAnsi="Calibri"/>
          <w:bCs/>
        </w:rPr>
        <w:t>CARDER</w:t>
      </w:r>
      <w:r w:rsidR="006A6187">
        <w:rPr>
          <w:rFonts w:ascii="Calibri" w:hAnsi="Calibri"/>
          <w:bCs/>
        </w:rPr>
        <w:t>.</w:t>
      </w:r>
    </w:p>
    <w:p w:rsidR="009520A4" w:rsidRPr="00500A4B" w:rsidRDefault="009520A4" w:rsidP="00C21E52">
      <w:pPr>
        <w:pStyle w:val="Prrafodelista"/>
        <w:numPr>
          <w:ilvl w:val="0"/>
          <w:numId w:val="37"/>
        </w:numPr>
        <w:spacing w:after="200" w:line="276" w:lineRule="auto"/>
        <w:rPr>
          <w:rFonts w:ascii="Calibri" w:hAnsi="Calibri"/>
          <w:bCs/>
        </w:rPr>
      </w:pPr>
      <w:r w:rsidRPr="00500A4B">
        <w:rPr>
          <w:rFonts w:ascii="Calibri" w:hAnsi="Calibri"/>
          <w:bCs/>
        </w:rPr>
        <w:t>Observatorio de la Actividad física, deporte y recreación</w:t>
      </w:r>
      <w:r w:rsidR="006A6187">
        <w:rPr>
          <w:rFonts w:ascii="Calibri" w:hAnsi="Calibri"/>
          <w:bCs/>
        </w:rPr>
        <w:t>.</w:t>
      </w:r>
    </w:p>
    <w:p w:rsidR="009520A4" w:rsidRDefault="009520A4" w:rsidP="009520A4">
      <w:pPr>
        <w:rPr>
          <w:b/>
          <w:bCs/>
        </w:rPr>
      </w:pPr>
    </w:p>
    <w:p w:rsidR="009520A4" w:rsidRDefault="009520A4" w:rsidP="009520A4">
      <w:pPr>
        <w:rPr>
          <w:b/>
          <w:bCs/>
        </w:rPr>
      </w:pPr>
      <w:r w:rsidRPr="00E541E0">
        <w:rPr>
          <w:bCs/>
          <w:u w:val="single"/>
        </w:rPr>
        <w:t>Postgrados en Red con la participación de la UTP:</w:t>
      </w:r>
      <w:r w:rsidRPr="0052657E">
        <w:rPr>
          <w:bCs/>
        </w:rPr>
        <w:t xml:space="preserve"> La universidad </w:t>
      </w:r>
      <w:r>
        <w:rPr>
          <w:bCs/>
        </w:rPr>
        <w:t xml:space="preserve">en su dinámica fundamental y misional de formar profesionales altamente competitivos, y reconociendo las fortalezas y posibilidades de aprendizaje, además del trabajo colaborativo con otras Instituciones de Educación Superior del País y del Mundo, desarrolla actualmente 5 postgrados en Red: </w:t>
      </w:r>
      <w:r>
        <w:rPr>
          <w:b/>
          <w:bCs/>
        </w:rPr>
        <w:t xml:space="preserve"> </w:t>
      </w:r>
      <w:r w:rsidRPr="0052657E">
        <w:rPr>
          <w:b/>
          <w:bCs/>
        </w:rPr>
        <w:t xml:space="preserve">  </w:t>
      </w:r>
    </w:p>
    <w:p w:rsidR="009520A4" w:rsidRPr="00E541E0" w:rsidRDefault="009520A4" w:rsidP="00C21E52">
      <w:pPr>
        <w:pStyle w:val="Prrafodelista"/>
        <w:numPr>
          <w:ilvl w:val="0"/>
          <w:numId w:val="38"/>
        </w:numPr>
        <w:spacing w:after="200" w:line="276" w:lineRule="auto"/>
        <w:rPr>
          <w:rFonts w:ascii="Calibri" w:hAnsi="Calibri"/>
          <w:bCs/>
        </w:rPr>
      </w:pPr>
      <w:r w:rsidRPr="00E541E0">
        <w:rPr>
          <w:rFonts w:ascii="Calibri" w:hAnsi="Calibri"/>
          <w:bCs/>
        </w:rPr>
        <w:t>Migraciones internacionales</w:t>
      </w:r>
      <w:r w:rsidR="006A6187">
        <w:rPr>
          <w:rFonts w:ascii="Calibri" w:hAnsi="Calibri"/>
          <w:bCs/>
        </w:rPr>
        <w:t>.</w:t>
      </w:r>
    </w:p>
    <w:p w:rsidR="009520A4" w:rsidRPr="00E541E0" w:rsidRDefault="009520A4" w:rsidP="00C21E52">
      <w:pPr>
        <w:pStyle w:val="Prrafodelista"/>
        <w:numPr>
          <w:ilvl w:val="0"/>
          <w:numId w:val="38"/>
        </w:numPr>
        <w:spacing w:after="200" w:line="276" w:lineRule="auto"/>
        <w:rPr>
          <w:rFonts w:ascii="Calibri" w:hAnsi="Calibri"/>
          <w:bCs/>
        </w:rPr>
      </w:pPr>
      <w:r w:rsidRPr="00E541E0">
        <w:rPr>
          <w:rFonts w:ascii="Calibri" w:hAnsi="Calibri"/>
          <w:bCs/>
        </w:rPr>
        <w:t>Doctorado Ciencias E</w:t>
      </w:r>
      <w:r w:rsidR="006A6187">
        <w:rPr>
          <w:rFonts w:ascii="Calibri" w:hAnsi="Calibri"/>
          <w:bCs/>
        </w:rPr>
        <w:t>ducación.</w:t>
      </w:r>
    </w:p>
    <w:p w:rsidR="009520A4" w:rsidRPr="00E541E0" w:rsidRDefault="006A6187" w:rsidP="00C21E52">
      <w:pPr>
        <w:pStyle w:val="Prrafodelista"/>
        <w:numPr>
          <w:ilvl w:val="0"/>
          <w:numId w:val="38"/>
        </w:numPr>
        <w:spacing w:after="200" w:line="276" w:lineRule="auto"/>
        <w:rPr>
          <w:rFonts w:ascii="Calibri" w:hAnsi="Calibri"/>
          <w:bCs/>
        </w:rPr>
      </w:pPr>
      <w:r>
        <w:rPr>
          <w:rFonts w:ascii="Calibri" w:hAnsi="Calibri"/>
          <w:bCs/>
        </w:rPr>
        <w:t>Doctorado Ciencias Biomédicas.</w:t>
      </w:r>
    </w:p>
    <w:p w:rsidR="009520A4" w:rsidRPr="00E541E0" w:rsidRDefault="009520A4" w:rsidP="00C21E52">
      <w:pPr>
        <w:pStyle w:val="Prrafodelista"/>
        <w:numPr>
          <w:ilvl w:val="0"/>
          <w:numId w:val="38"/>
        </w:numPr>
        <w:spacing w:after="200" w:line="276" w:lineRule="auto"/>
        <w:rPr>
          <w:rFonts w:ascii="Calibri" w:hAnsi="Calibri"/>
          <w:bCs/>
        </w:rPr>
      </w:pPr>
      <w:r w:rsidRPr="00E541E0">
        <w:rPr>
          <w:rFonts w:ascii="Calibri" w:hAnsi="Calibri"/>
          <w:bCs/>
        </w:rPr>
        <w:t>Do</w:t>
      </w:r>
      <w:r w:rsidR="006A6187">
        <w:rPr>
          <w:rFonts w:ascii="Calibri" w:hAnsi="Calibri"/>
          <w:bCs/>
        </w:rPr>
        <w:t>ctorado en Ciencias Ambientales.</w:t>
      </w:r>
    </w:p>
    <w:p w:rsidR="009520A4" w:rsidRDefault="009520A4" w:rsidP="00C21E52">
      <w:pPr>
        <w:pStyle w:val="Prrafodelista"/>
        <w:numPr>
          <w:ilvl w:val="0"/>
          <w:numId w:val="38"/>
        </w:numPr>
        <w:spacing w:after="200" w:line="276" w:lineRule="auto"/>
        <w:rPr>
          <w:rFonts w:ascii="Calibri" w:hAnsi="Calibri"/>
          <w:bCs/>
        </w:rPr>
      </w:pPr>
      <w:r w:rsidRPr="00E541E0">
        <w:rPr>
          <w:rFonts w:ascii="Calibri" w:hAnsi="Calibri"/>
          <w:bCs/>
        </w:rPr>
        <w:lastRenderedPageBreak/>
        <w:t>Doctorado en Administración en convenio con la UNAM</w:t>
      </w:r>
      <w:r w:rsidR="006A6187">
        <w:rPr>
          <w:rFonts w:ascii="Calibri" w:hAnsi="Calibri"/>
          <w:bCs/>
        </w:rPr>
        <w:t>.</w:t>
      </w:r>
    </w:p>
    <w:p w:rsidR="009520A4" w:rsidRPr="004447C5" w:rsidRDefault="009520A4" w:rsidP="009520A4">
      <w:pPr>
        <w:pStyle w:val="Prrafodelista"/>
        <w:rPr>
          <w:rFonts w:ascii="Calibri" w:hAnsi="Calibri"/>
          <w:bCs/>
        </w:rPr>
      </w:pPr>
    </w:p>
    <w:p w:rsidR="009520A4" w:rsidRDefault="009520A4" w:rsidP="009520A4">
      <w:pPr>
        <w:rPr>
          <w:bCs/>
        </w:rPr>
      </w:pPr>
      <w:r>
        <w:rPr>
          <w:bCs/>
          <w:u w:val="single"/>
        </w:rPr>
        <w:t>Investigaciones en Red:</w:t>
      </w:r>
      <w:r>
        <w:rPr>
          <w:bCs/>
        </w:rPr>
        <w:t xml:space="preserve"> además de la formación, la Universidad también desarrolla investigación en Red; aspecto fundamental para la suma de capacidades y conocimiento en la generación de proyectos que logren más y mejores impactos.  </w:t>
      </w:r>
      <w:r w:rsidRPr="00500A4B">
        <w:rPr>
          <w:b/>
          <w:bCs/>
        </w:rPr>
        <w:t xml:space="preserve"> </w:t>
      </w:r>
      <w:r w:rsidRPr="00E541E0">
        <w:rPr>
          <w:bCs/>
        </w:rPr>
        <w:t>La UTP participó en 3 proyectos que fueron beneficiados en la convocatoria del Fondo Regional de Investigaciones, destacando que es el 100% de los proyectos seleccionados en dicha convocatoria.</w:t>
      </w:r>
      <w:r>
        <w:rPr>
          <w:bCs/>
        </w:rPr>
        <w:t xml:space="preserve"> Los proyectos en red son:</w:t>
      </w:r>
    </w:p>
    <w:p w:rsidR="009520A4" w:rsidRPr="00C26A16" w:rsidRDefault="009520A4" w:rsidP="00C21E52">
      <w:pPr>
        <w:pStyle w:val="Prrafodelista"/>
        <w:numPr>
          <w:ilvl w:val="0"/>
          <w:numId w:val="38"/>
        </w:numPr>
        <w:spacing w:after="200" w:line="276" w:lineRule="auto"/>
        <w:rPr>
          <w:rFonts w:ascii="Calibri" w:hAnsi="Calibri"/>
          <w:bCs/>
        </w:rPr>
      </w:pPr>
      <w:r w:rsidRPr="00C26A16">
        <w:rPr>
          <w:rFonts w:ascii="Calibri" w:hAnsi="Calibri"/>
          <w:bCs/>
        </w:rPr>
        <w:t>Lineamientos de Política Pública para la Sustentabilidad de Procesos Constructivos de Vivienda de Interés Social en el Área Metropolitana Área Metropolitana Centro Occidente (AMCO).</w:t>
      </w:r>
    </w:p>
    <w:p w:rsidR="009520A4" w:rsidRPr="00C26A16" w:rsidRDefault="009520A4" w:rsidP="00C21E52">
      <w:pPr>
        <w:pStyle w:val="Prrafodelista"/>
        <w:numPr>
          <w:ilvl w:val="0"/>
          <w:numId w:val="38"/>
        </w:numPr>
        <w:spacing w:after="200" w:line="276" w:lineRule="auto"/>
        <w:rPr>
          <w:rFonts w:ascii="Calibri" w:hAnsi="Calibri"/>
          <w:bCs/>
        </w:rPr>
      </w:pPr>
      <w:r w:rsidRPr="00C26A16">
        <w:rPr>
          <w:rFonts w:ascii="Calibri" w:hAnsi="Calibri"/>
          <w:bCs/>
        </w:rPr>
        <w:t xml:space="preserve">Estudio sobre la implementación de procesos de internacionalización en las universidades de la Red ALMA MATER. </w:t>
      </w:r>
    </w:p>
    <w:p w:rsidR="009520A4" w:rsidRPr="00C26A16" w:rsidRDefault="009520A4" w:rsidP="00C21E52">
      <w:pPr>
        <w:pStyle w:val="Prrafodelista"/>
        <w:numPr>
          <w:ilvl w:val="0"/>
          <w:numId w:val="38"/>
        </w:numPr>
        <w:spacing w:after="200" w:line="276" w:lineRule="auto"/>
        <w:rPr>
          <w:rFonts w:ascii="Calibri" w:hAnsi="Calibri"/>
          <w:bCs/>
        </w:rPr>
      </w:pPr>
      <w:r w:rsidRPr="00C26A16">
        <w:rPr>
          <w:rFonts w:ascii="Calibri" w:hAnsi="Calibri"/>
          <w:bCs/>
        </w:rPr>
        <w:t xml:space="preserve">Capacidades en ciencia, tecnología e innovación de las universidades de la red ALMA MATER. </w:t>
      </w:r>
    </w:p>
    <w:p w:rsidR="009520A4" w:rsidRDefault="009520A4" w:rsidP="009520A4">
      <w:pPr>
        <w:rPr>
          <w:bCs/>
          <w:u w:val="single"/>
        </w:rPr>
      </w:pPr>
    </w:p>
    <w:p w:rsidR="009520A4" w:rsidRPr="002A6259" w:rsidRDefault="009520A4" w:rsidP="009520A4">
      <w:pPr>
        <w:rPr>
          <w:bCs/>
        </w:rPr>
      </w:pPr>
      <w:r w:rsidRPr="002A6259">
        <w:rPr>
          <w:bCs/>
          <w:u w:val="single"/>
        </w:rPr>
        <w:t>Políticas públicas:</w:t>
      </w:r>
      <w:r>
        <w:rPr>
          <w:bCs/>
        </w:rPr>
        <w:t xml:space="preserve"> Durante el 2012 la Universidad participó en la formulación de 3 políticas públicas: </w:t>
      </w:r>
      <w:r w:rsidRPr="002A6259">
        <w:rPr>
          <w:bCs/>
        </w:rPr>
        <w:t xml:space="preserve"> </w:t>
      </w:r>
    </w:p>
    <w:p w:rsidR="009520A4" w:rsidRDefault="009520A4" w:rsidP="00C21E52">
      <w:pPr>
        <w:pStyle w:val="Prrafodelista"/>
        <w:numPr>
          <w:ilvl w:val="0"/>
          <w:numId w:val="39"/>
        </w:numPr>
        <w:spacing w:after="200" w:line="276" w:lineRule="auto"/>
        <w:rPr>
          <w:rFonts w:ascii="Calibri" w:hAnsi="Calibri"/>
          <w:bCs/>
        </w:rPr>
      </w:pPr>
      <w:r w:rsidRPr="002A6259">
        <w:rPr>
          <w:rFonts w:ascii="Calibri" w:hAnsi="Calibri"/>
          <w:bCs/>
        </w:rPr>
        <w:t>Ordenanza para Risaralda "Por el cual se formaliza el presupuesto participativo en el departamento de Risaralda", cuyo resultado es la dinamización de procesos de participación ciudadana: conformación del nodo del Eje Cafetero de Planeación y Presupuesto Participativo, V Encuentro Nacional de Planeación y PP realizado en Pereira, generación de dinámicas asociadas al Sistema Municipal de Participación Ciudadana.</w:t>
      </w:r>
    </w:p>
    <w:p w:rsidR="009520A4" w:rsidRDefault="009520A4" w:rsidP="009520A4">
      <w:pPr>
        <w:pStyle w:val="Prrafodelista"/>
        <w:rPr>
          <w:rFonts w:ascii="Calibri" w:hAnsi="Calibri"/>
          <w:bCs/>
        </w:rPr>
      </w:pPr>
    </w:p>
    <w:p w:rsidR="009520A4" w:rsidRDefault="009520A4" w:rsidP="00C21E52">
      <w:pPr>
        <w:pStyle w:val="Prrafodelista"/>
        <w:numPr>
          <w:ilvl w:val="0"/>
          <w:numId w:val="39"/>
        </w:numPr>
        <w:spacing w:after="200" w:line="276" w:lineRule="auto"/>
        <w:rPr>
          <w:rFonts w:ascii="Calibri" w:hAnsi="Calibri"/>
          <w:bCs/>
        </w:rPr>
      </w:pPr>
      <w:r w:rsidRPr="002A6259">
        <w:rPr>
          <w:rFonts w:ascii="Calibri" w:hAnsi="Calibri"/>
          <w:bCs/>
        </w:rPr>
        <w:t>Política pública Pereira activa, saludable e incluyente Proyecto de Acuerdo No. 108 del municipio de Pereira para la Actividad Física, Salud, Deporte y Recreación.</w:t>
      </w:r>
    </w:p>
    <w:p w:rsidR="009520A4" w:rsidRPr="002A6259" w:rsidRDefault="009520A4" w:rsidP="009520A4">
      <w:pPr>
        <w:pStyle w:val="Prrafodelista"/>
        <w:rPr>
          <w:rFonts w:ascii="Calibri" w:hAnsi="Calibri"/>
          <w:bCs/>
        </w:rPr>
      </w:pPr>
    </w:p>
    <w:p w:rsidR="009520A4" w:rsidRDefault="009520A4" w:rsidP="00C21E52">
      <w:pPr>
        <w:pStyle w:val="Prrafodelista"/>
        <w:numPr>
          <w:ilvl w:val="0"/>
          <w:numId w:val="39"/>
        </w:numPr>
        <w:spacing w:after="200" w:line="276" w:lineRule="auto"/>
        <w:rPr>
          <w:rFonts w:ascii="Calibri" w:hAnsi="Calibri"/>
          <w:bCs/>
        </w:rPr>
      </w:pPr>
      <w:r w:rsidRPr="002A6259">
        <w:rPr>
          <w:rFonts w:ascii="Calibri" w:hAnsi="Calibri"/>
          <w:bCs/>
        </w:rPr>
        <w:t xml:space="preserve">Propuesta de política pública </w:t>
      </w:r>
      <w:r>
        <w:rPr>
          <w:rFonts w:ascii="Calibri" w:hAnsi="Calibri"/>
          <w:bCs/>
        </w:rPr>
        <w:t>Plan Integral d</w:t>
      </w:r>
      <w:r w:rsidRPr="002A6259">
        <w:rPr>
          <w:rFonts w:ascii="Calibri" w:hAnsi="Calibri"/>
          <w:bCs/>
        </w:rPr>
        <w:t>e Desarrollo Metropolitano para Pereira, Dosquebradas, Santa Rosa y la Virginia (Risaralda).</w:t>
      </w:r>
    </w:p>
    <w:p w:rsidR="009520A4" w:rsidRDefault="009520A4" w:rsidP="009520A4">
      <w:pPr>
        <w:pStyle w:val="Prrafodelista"/>
        <w:rPr>
          <w:rFonts w:ascii="Calibri" w:hAnsi="Calibri"/>
          <w:bCs/>
        </w:rPr>
      </w:pPr>
    </w:p>
    <w:p w:rsidR="009520A4" w:rsidRPr="00ED72DA" w:rsidRDefault="009520A4" w:rsidP="009520A4">
      <w:pPr>
        <w:pStyle w:val="Epgrafe"/>
        <w:keepNext/>
        <w:spacing w:line="276" w:lineRule="auto"/>
        <w:rPr>
          <w:color w:val="000000" w:themeColor="text1"/>
        </w:rPr>
      </w:pPr>
      <w:r w:rsidRPr="0069072F">
        <w:rPr>
          <w:color w:val="000000" w:themeColor="text1"/>
        </w:rPr>
        <w:t xml:space="preserve">Resultados </w:t>
      </w:r>
      <w:r>
        <w:rPr>
          <w:color w:val="000000" w:themeColor="text1"/>
        </w:rPr>
        <w:t>–</w:t>
      </w:r>
      <w:r w:rsidRPr="0069072F">
        <w:rPr>
          <w:color w:val="000000" w:themeColor="text1"/>
        </w:rPr>
        <w:t xml:space="preserve"> Metas</w:t>
      </w:r>
      <w:r>
        <w:rPr>
          <w:color w:val="000000" w:themeColor="text1"/>
        </w:rPr>
        <w:t xml:space="preserve"> </w:t>
      </w:r>
      <w:r w:rsidR="006D1CE2">
        <w:rPr>
          <w:color w:val="000000" w:themeColor="text1"/>
        </w:rPr>
        <w:t xml:space="preserve">Políticas Públicas </w:t>
      </w:r>
      <w:r>
        <w:rPr>
          <w:color w:val="000000" w:themeColor="text1"/>
        </w:rPr>
        <w:t>formuladas o intervenidas a nivel regional</w:t>
      </w:r>
    </w:p>
    <w:p w:rsidR="009520A4" w:rsidRPr="0069072F" w:rsidRDefault="009520A4" w:rsidP="009520A4">
      <w:pPr>
        <w:spacing w:after="0"/>
        <w:jc w:val="center"/>
      </w:pPr>
      <w:r w:rsidRPr="0069072F">
        <w:rPr>
          <w:noProof/>
          <w:lang w:val="es-CO" w:eastAsia="es-CO"/>
        </w:rPr>
        <w:drawing>
          <wp:inline distT="0" distB="0" distL="0" distR="0">
            <wp:extent cx="4772025" cy="1743075"/>
            <wp:effectExtent l="0" t="0" r="0" b="0"/>
            <wp:docPr id="62" name="1 Gráfico"/>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p>
    <w:p w:rsidR="009520A4" w:rsidRPr="00B27BB6" w:rsidRDefault="009520A4" w:rsidP="009520A4">
      <w:pPr>
        <w:jc w:val="center"/>
        <w:rPr>
          <w:b/>
          <w:i/>
          <w:sz w:val="20"/>
        </w:rPr>
      </w:pPr>
      <w:r w:rsidRPr="0069072F">
        <w:rPr>
          <w:b/>
          <w:i/>
          <w:sz w:val="20"/>
        </w:rPr>
        <w:lastRenderedPageBreak/>
        <w:t>Fuente: SIGOB</w:t>
      </w:r>
    </w:p>
    <w:p w:rsidR="009520A4" w:rsidRPr="0016067A" w:rsidRDefault="009520A4" w:rsidP="009520A4">
      <w:pPr>
        <w:autoSpaceDE w:val="0"/>
        <w:autoSpaceDN w:val="0"/>
        <w:adjustRightInd w:val="0"/>
        <w:spacing w:after="0"/>
        <w:ind w:left="360"/>
        <w:jc w:val="left"/>
        <w:rPr>
          <w:rFonts w:cs="Calibri"/>
          <w:color w:val="000000"/>
          <w:sz w:val="24"/>
          <w:szCs w:val="24"/>
        </w:rPr>
      </w:pPr>
      <w:r>
        <w:rPr>
          <w:rFonts w:cs="Calibri"/>
          <w:color w:val="000000"/>
          <w:sz w:val="24"/>
          <w:szCs w:val="24"/>
        </w:rPr>
        <w:t>A continuación se presentan los logros en los cuatro años de ejecución del Objetivo, en el marco  de este componente:</w:t>
      </w:r>
    </w:p>
    <w:p w:rsidR="009520A4" w:rsidRPr="0016067A" w:rsidRDefault="009520A4" w:rsidP="009520A4">
      <w:pPr>
        <w:pStyle w:val="Prrafodelista"/>
        <w:autoSpaceDE w:val="0"/>
        <w:autoSpaceDN w:val="0"/>
        <w:adjustRightInd w:val="0"/>
        <w:spacing w:after="0"/>
        <w:jc w:val="left"/>
        <w:rPr>
          <w:rFonts w:ascii="Calibri" w:hAnsi="Calibri" w:cs="Calibri"/>
          <w:color w:val="000000"/>
          <w:sz w:val="24"/>
          <w:szCs w:val="24"/>
        </w:rPr>
      </w:pPr>
    </w:p>
    <w:tbl>
      <w:tblPr>
        <w:tblStyle w:val="Cuadrculaclara-nfasis1"/>
        <w:tblW w:w="0" w:type="auto"/>
        <w:tblLook w:val="04A0" w:firstRow="1" w:lastRow="0" w:firstColumn="1" w:lastColumn="0" w:noHBand="0" w:noVBand="1"/>
      </w:tblPr>
      <w:tblGrid>
        <w:gridCol w:w="1242"/>
        <w:gridCol w:w="7736"/>
      </w:tblGrid>
      <w:tr w:rsidR="006D1CE2" w:rsidRPr="006D1CE2" w:rsidTr="006D1CE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tcPr>
          <w:p w:rsidR="009520A4" w:rsidRPr="006D1CE2" w:rsidRDefault="009520A4" w:rsidP="009520A4">
            <w:pPr>
              <w:autoSpaceDE w:val="0"/>
              <w:autoSpaceDN w:val="0"/>
              <w:adjustRightInd w:val="0"/>
              <w:jc w:val="center"/>
              <w:rPr>
                <w:rFonts w:cs="Calibri"/>
                <w:sz w:val="24"/>
                <w:szCs w:val="24"/>
              </w:rPr>
            </w:pPr>
            <w:r w:rsidRPr="006D1CE2">
              <w:rPr>
                <w:rFonts w:cs="Calibri"/>
                <w:sz w:val="24"/>
                <w:szCs w:val="24"/>
              </w:rPr>
              <w:t>Año</w:t>
            </w:r>
          </w:p>
        </w:tc>
        <w:tc>
          <w:tcPr>
            <w:tcW w:w="7736" w:type="dxa"/>
          </w:tcPr>
          <w:p w:rsidR="009520A4" w:rsidRPr="006D1CE2" w:rsidRDefault="009520A4" w:rsidP="009520A4">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cs="Calibri"/>
                <w:sz w:val="24"/>
                <w:szCs w:val="24"/>
              </w:rPr>
            </w:pPr>
            <w:r w:rsidRPr="006D1CE2">
              <w:rPr>
                <w:rFonts w:cs="Calibri"/>
                <w:sz w:val="24"/>
                <w:szCs w:val="24"/>
              </w:rPr>
              <w:t>Resultados</w:t>
            </w:r>
          </w:p>
        </w:tc>
      </w:tr>
      <w:tr w:rsidR="009520A4" w:rsidTr="00A27F9C">
        <w:trPr>
          <w:cnfStyle w:val="000000100000" w:firstRow="0" w:lastRow="0" w:firstColumn="0" w:lastColumn="0" w:oddVBand="0" w:evenVBand="0" w:oddHBand="1" w:evenHBand="0"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1242" w:type="dxa"/>
            <w:vAlign w:val="center"/>
          </w:tcPr>
          <w:p w:rsidR="009520A4" w:rsidRPr="00A27F9C" w:rsidRDefault="009520A4" w:rsidP="00A27F9C">
            <w:pPr>
              <w:autoSpaceDE w:val="0"/>
              <w:autoSpaceDN w:val="0"/>
              <w:adjustRightInd w:val="0"/>
              <w:jc w:val="center"/>
              <w:rPr>
                <w:rFonts w:cs="Calibri"/>
                <w:sz w:val="18"/>
                <w:szCs w:val="18"/>
              </w:rPr>
            </w:pPr>
            <w:r w:rsidRPr="00A27F9C">
              <w:rPr>
                <w:rFonts w:cs="Calibri"/>
                <w:color w:val="000000"/>
                <w:sz w:val="18"/>
                <w:szCs w:val="18"/>
              </w:rPr>
              <w:t>2009</w:t>
            </w:r>
          </w:p>
        </w:tc>
        <w:tc>
          <w:tcPr>
            <w:tcW w:w="7736" w:type="dxa"/>
          </w:tcPr>
          <w:p w:rsidR="009520A4" w:rsidRPr="004A2580" w:rsidRDefault="009520A4" w:rsidP="009520A4">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cs="Calibri"/>
                <w:sz w:val="18"/>
                <w:szCs w:val="18"/>
              </w:rPr>
            </w:pPr>
            <w:r w:rsidRPr="004A2580">
              <w:rPr>
                <w:rFonts w:cs="Calibri"/>
                <w:sz w:val="18"/>
                <w:szCs w:val="18"/>
              </w:rPr>
              <w:t>Dentro de los proyectos de investigación formulados mediante redes académicas regionales se encuentran:</w:t>
            </w:r>
          </w:p>
          <w:p w:rsidR="009520A4" w:rsidRPr="004A2580" w:rsidRDefault="009520A4" w:rsidP="009520A4">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cs="Calibri"/>
                <w:sz w:val="18"/>
                <w:szCs w:val="18"/>
              </w:rPr>
            </w:pPr>
            <w:r w:rsidRPr="004A2580">
              <w:rPr>
                <w:rFonts w:cs="Calibri"/>
                <w:sz w:val="18"/>
                <w:szCs w:val="18"/>
              </w:rPr>
              <w:t xml:space="preserve">*Grupo de Investigación </w:t>
            </w:r>
            <w:proofErr w:type="spellStart"/>
            <w:r w:rsidRPr="004A2580">
              <w:rPr>
                <w:rFonts w:cs="Calibri"/>
                <w:sz w:val="18"/>
                <w:szCs w:val="18"/>
              </w:rPr>
              <w:t>Polifenoles</w:t>
            </w:r>
            <w:proofErr w:type="spellEnd"/>
            <w:r w:rsidRPr="004A2580">
              <w:rPr>
                <w:rFonts w:cs="Calibri"/>
                <w:sz w:val="18"/>
                <w:szCs w:val="18"/>
              </w:rPr>
              <w:t xml:space="preserve"> - UTP, Grupo de investigación en Infección e inmunidad UTP y grupo de investigación en cromatografía y Técnicas Afines GICTA Universidad de Caldas.</w:t>
            </w:r>
          </w:p>
          <w:p w:rsidR="009520A4" w:rsidRPr="004A2580" w:rsidRDefault="009520A4" w:rsidP="009520A4">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cs="Calibri"/>
                <w:sz w:val="18"/>
                <w:szCs w:val="18"/>
              </w:rPr>
            </w:pPr>
            <w:r w:rsidRPr="004A2580">
              <w:rPr>
                <w:rFonts w:cs="Calibri"/>
                <w:sz w:val="18"/>
                <w:szCs w:val="18"/>
              </w:rPr>
              <w:t xml:space="preserve">*Grupo Biotecnología Productos Naturales UTP y </w:t>
            </w:r>
            <w:proofErr w:type="spellStart"/>
            <w:r w:rsidRPr="004A2580">
              <w:rPr>
                <w:rFonts w:cs="Calibri"/>
                <w:sz w:val="18"/>
                <w:szCs w:val="18"/>
              </w:rPr>
              <w:t>Jhon</w:t>
            </w:r>
            <w:proofErr w:type="spellEnd"/>
            <w:r w:rsidRPr="004A2580">
              <w:rPr>
                <w:rFonts w:cs="Calibri"/>
                <w:sz w:val="18"/>
                <w:szCs w:val="18"/>
              </w:rPr>
              <w:t xml:space="preserve"> Grupo de Investigación de Productos Naturales Universidad del Tolima".</w:t>
            </w:r>
          </w:p>
        </w:tc>
      </w:tr>
      <w:tr w:rsidR="009520A4" w:rsidTr="00A27F9C">
        <w:trPr>
          <w:cnfStyle w:val="000000010000" w:firstRow="0" w:lastRow="0" w:firstColumn="0" w:lastColumn="0" w:oddVBand="0" w:evenVBand="0" w:oddHBand="0" w:evenHBand="1"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1242" w:type="dxa"/>
            <w:vAlign w:val="center"/>
          </w:tcPr>
          <w:p w:rsidR="009520A4" w:rsidRPr="00A27F9C" w:rsidRDefault="009520A4" w:rsidP="00A27F9C">
            <w:pPr>
              <w:autoSpaceDE w:val="0"/>
              <w:autoSpaceDN w:val="0"/>
              <w:adjustRightInd w:val="0"/>
              <w:jc w:val="center"/>
              <w:rPr>
                <w:rFonts w:cs="Calibri"/>
                <w:color w:val="000000"/>
                <w:sz w:val="18"/>
                <w:szCs w:val="18"/>
              </w:rPr>
            </w:pPr>
            <w:r w:rsidRPr="00A27F9C">
              <w:rPr>
                <w:rFonts w:cs="Calibri"/>
                <w:color w:val="000000"/>
                <w:sz w:val="18"/>
                <w:szCs w:val="18"/>
              </w:rPr>
              <w:t>2010</w:t>
            </w:r>
          </w:p>
        </w:tc>
        <w:tc>
          <w:tcPr>
            <w:tcW w:w="7736" w:type="dxa"/>
          </w:tcPr>
          <w:p w:rsidR="009520A4" w:rsidRPr="004A2580" w:rsidRDefault="009520A4" w:rsidP="009520A4">
            <w:pPr>
              <w:autoSpaceDE w:val="0"/>
              <w:autoSpaceDN w:val="0"/>
              <w:adjustRightInd w:val="0"/>
              <w:cnfStyle w:val="000000010000" w:firstRow="0" w:lastRow="0" w:firstColumn="0" w:lastColumn="0" w:oddVBand="0" w:evenVBand="0" w:oddHBand="0" w:evenHBand="1" w:firstRowFirstColumn="0" w:firstRowLastColumn="0" w:lastRowFirstColumn="0" w:lastRowLastColumn="0"/>
              <w:rPr>
                <w:rFonts w:cs="Calibri"/>
                <w:sz w:val="18"/>
                <w:szCs w:val="18"/>
              </w:rPr>
            </w:pPr>
            <w:r w:rsidRPr="004A2580">
              <w:rPr>
                <w:rFonts w:cs="Calibri"/>
                <w:sz w:val="18"/>
                <w:szCs w:val="18"/>
              </w:rPr>
              <w:t xml:space="preserve">Se </w:t>
            </w:r>
            <w:r w:rsidR="000B3653" w:rsidRPr="004A2580">
              <w:rPr>
                <w:rFonts w:cs="Calibri"/>
                <w:sz w:val="18"/>
                <w:szCs w:val="18"/>
              </w:rPr>
              <w:t>d</w:t>
            </w:r>
            <w:r w:rsidRPr="004A2580">
              <w:rPr>
                <w:rFonts w:cs="Calibri"/>
                <w:sz w:val="18"/>
                <w:szCs w:val="18"/>
              </w:rPr>
              <w:t xml:space="preserve">estaca la conformaron de 4 Observatorios (Drogas, Migraciones, Niñez y Juventud y Derechos Humanos), Oferta de postgrado (Doctorado en Ciencias de la Educación, Ciencias Biomédicas y Maestría en Migraciones Internacionales) y la participación de la Universidad en el Fondo Regional de Investigaciones. </w:t>
            </w:r>
          </w:p>
          <w:p w:rsidR="009520A4" w:rsidRPr="004A2580" w:rsidRDefault="009520A4" w:rsidP="009520A4">
            <w:pPr>
              <w:autoSpaceDE w:val="0"/>
              <w:autoSpaceDN w:val="0"/>
              <w:adjustRightInd w:val="0"/>
              <w:cnfStyle w:val="000000010000" w:firstRow="0" w:lastRow="0" w:firstColumn="0" w:lastColumn="0" w:oddVBand="0" w:evenVBand="0" w:oddHBand="0" w:evenHBand="1" w:firstRowFirstColumn="0" w:firstRowLastColumn="0" w:lastRowFirstColumn="0" w:lastRowLastColumn="0"/>
              <w:rPr>
                <w:rFonts w:cs="Calibri"/>
                <w:sz w:val="18"/>
                <w:szCs w:val="18"/>
              </w:rPr>
            </w:pPr>
            <w:r w:rsidRPr="004A2580">
              <w:rPr>
                <w:rFonts w:cs="Calibri"/>
                <w:sz w:val="18"/>
                <w:szCs w:val="18"/>
              </w:rPr>
              <w:t>Se procuró la consolidación de la Región Académica, mediante el impulso y fortalecimiento a iniciativas de tipo netamente académico, gestadas al interior de las universidades que conforman la Red Alma Mater, las cuales se han definido con base en el trabajo realizado en los últimos años, recogiendo proyectos y apuestas de formación en red, consolidar las propuestas y apoyar conformación y fortalecimiento de los postgrados.</w:t>
            </w:r>
          </w:p>
        </w:tc>
      </w:tr>
      <w:tr w:rsidR="009520A4" w:rsidTr="00A27F9C">
        <w:trPr>
          <w:cnfStyle w:val="000000100000" w:firstRow="0" w:lastRow="0" w:firstColumn="0" w:lastColumn="0" w:oddVBand="0" w:evenVBand="0" w:oddHBand="1" w:evenHBand="0" w:firstRowFirstColumn="0" w:firstRowLastColumn="0" w:lastRowFirstColumn="0" w:lastRowLastColumn="0"/>
          <w:trHeight w:val="242"/>
        </w:trPr>
        <w:tc>
          <w:tcPr>
            <w:cnfStyle w:val="001000000000" w:firstRow="0" w:lastRow="0" w:firstColumn="1" w:lastColumn="0" w:oddVBand="0" w:evenVBand="0" w:oddHBand="0" w:evenHBand="0" w:firstRowFirstColumn="0" w:firstRowLastColumn="0" w:lastRowFirstColumn="0" w:lastRowLastColumn="0"/>
            <w:tcW w:w="1242" w:type="dxa"/>
            <w:vAlign w:val="center"/>
          </w:tcPr>
          <w:p w:rsidR="009520A4" w:rsidRPr="00A27F9C" w:rsidRDefault="009520A4" w:rsidP="00A27F9C">
            <w:pPr>
              <w:autoSpaceDE w:val="0"/>
              <w:autoSpaceDN w:val="0"/>
              <w:adjustRightInd w:val="0"/>
              <w:jc w:val="center"/>
              <w:rPr>
                <w:rFonts w:cs="Calibri"/>
                <w:color w:val="000000"/>
                <w:sz w:val="18"/>
                <w:szCs w:val="18"/>
              </w:rPr>
            </w:pPr>
            <w:r w:rsidRPr="00A27F9C">
              <w:rPr>
                <w:rFonts w:cs="Calibri"/>
                <w:color w:val="000000"/>
                <w:sz w:val="18"/>
                <w:szCs w:val="18"/>
              </w:rPr>
              <w:t>2011</w:t>
            </w:r>
          </w:p>
        </w:tc>
        <w:tc>
          <w:tcPr>
            <w:tcW w:w="7736" w:type="dxa"/>
          </w:tcPr>
          <w:p w:rsidR="009520A4" w:rsidRPr="004A2580" w:rsidRDefault="009520A4" w:rsidP="009520A4">
            <w:pPr>
              <w:pStyle w:val="Default"/>
              <w:jc w:val="both"/>
              <w:cnfStyle w:val="000000100000" w:firstRow="0" w:lastRow="0" w:firstColumn="0" w:lastColumn="0" w:oddVBand="0" w:evenVBand="0" w:oddHBand="1" w:evenHBand="0" w:firstRowFirstColumn="0" w:firstRowLastColumn="0" w:lastRowFirstColumn="0" w:lastRowLastColumn="0"/>
              <w:rPr>
                <w:rFonts w:ascii="Calibri" w:hAnsi="Calibri" w:cs="Calibri"/>
                <w:sz w:val="18"/>
                <w:szCs w:val="18"/>
              </w:rPr>
            </w:pPr>
            <w:r w:rsidRPr="004A2580">
              <w:rPr>
                <w:rFonts w:ascii="Calibri" w:hAnsi="Calibri" w:cs="Calibri"/>
                <w:sz w:val="18"/>
                <w:szCs w:val="18"/>
              </w:rPr>
              <w:t xml:space="preserve">De los observatorios conformados, </w:t>
            </w:r>
            <w:r w:rsidRPr="004A2580">
              <w:rPr>
                <w:rFonts w:ascii="Calibri" w:hAnsi="Calibri"/>
                <w:sz w:val="18"/>
                <w:szCs w:val="18"/>
              </w:rPr>
              <w:t xml:space="preserve">dos de ellos ya se encontraban articulados y produciendo información en la plataforma del Sistema de Información Regional (SIR): El Observatorio de drogas y el observatorio de sostenibilidad de patrimonio de paisajes, en donde la Universidad comienza a participar. Esta </w:t>
            </w:r>
            <w:proofErr w:type="spellStart"/>
            <w:r w:rsidRPr="004A2580">
              <w:rPr>
                <w:rFonts w:ascii="Calibri" w:hAnsi="Calibri"/>
                <w:sz w:val="18"/>
                <w:szCs w:val="18"/>
              </w:rPr>
              <w:t>georeferenciación</w:t>
            </w:r>
            <w:proofErr w:type="spellEnd"/>
            <w:r w:rsidRPr="004A2580">
              <w:rPr>
                <w:rFonts w:ascii="Calibri" w:hAnsi="Calibri"/>
                <w:sz w:val="18"/>
                <w:szCs w:val="18"/>
              </w:rPr>
              <w:t xml:space="preserve"> trabaja bajo la plataforma de </w:t>
            </w:r>
            <w:proofErr w:type="spellStart"/>
            <w:r w:rsidRPr="004A2580">
              <w:rPr>
                <w:rFonts w:ascii="Calibri" w:hAnsi="Calibri" w:cs="Calibri"/>
                <w:b/>
                <w:bCs/>
                <w:i/>
                <w:iCs/>
                <w:sz w:val="18"/>
                <w:szCs w:val="18"/>
              </w:rPr>
              <w:t>google</w:t>
            </w:r>
            <w:proofErr w:type="spellEnd"/>
            <w:r w:rsidRPr="004A2580">
              <w:rPr>
                <w:rFonts w:ascii="Calibri" w:hAnsi="Calibri" w:cs="Calibri"/>
                <w:b/>
                <w:bCs/>
                <w:i/>
                <w:iCs/>
                <w:sz w:val="18"/>
                <w:szCs w:val="18"/>
              </w:rPr>
              <w:t xml:space="preserve"> </w:t>
            </w:r>
            <w:proofErr w:type="spellStart"/>
            <w:r w:rsidRPr="004A2580">
              <w:rPr>
                <w:rFonts w:ascii="Calibri" w:hAnsi="Calibri" w:cs="Calibri"/>
                <w:b/>
                <w:bCs/>
                <w:i/>
                <w:iCs/>
                <w:sz w:val="18"/>
                <w:szCs w:val="18"/>
              </w:rPr>
              <w:t>earth</w:t>
            </w:r>
            <w:proofErr w:type="spellEnd"/>
            <w:r w:rsidRPr="004A2580">
              <w:rPr>
                <w:rFonts w:ascii="Calibri" w:hAnsi="Calibri" w:cs="Calibri"/>
                <w:sz w:val="18"/>
                <w:szCs w:val="18"/>
              </w:rPr>
              <w:t xml:space="preserve"> la cual permitía la obtención de información satelital, lineal o cruce de ellos.</w:t>
            </w:r>
          </w:p>
          <w:p w:rsidR="004A2580" w:rsidRPr="004A2580" w:rsidRDefault="004A2580" w:rsidP="009520A4">
            <w:pPr>
              <w:pStyle w:val="Default"/>
              <w:jc w:val="both"/>
              <w:cnfStyle w:val="000000100000" w:firstRow="0" w:lastRow="0" w:firstColumn="0" w:lastColumn="0" w:oddVBand="0" w:evenVBand="0" w:oddHBand="1" w:evenHBand="0" w:firstRowFirstColumn="0" w:firstRowLastColumn="0" w:lastRowFirstColumn="0" w:lastRowLastColumn="0"/>
              <w:rPr>
                <w:rFonts w:ascii="Calibri" w:hAnsi="Calibri" w:cs="Calibri"/>
                <w:sz w:val="18"/>
                <w:szCs w:val="18"/>
              </w:rPr>
            </w:pPr>
          </w:p>
          <w:p w:rsidR="009520A4" w:rsidRPr="004A2580" w:rsidRDefault="009520A4" w:rsidP="009520A4">
            <w:pPr>
              <w:pStyle w:val="Default"/>
              <w:jc w:val="both"/>
              <w:cnfStyle w:val="000000100000" w:firstRow="0" w:lastRow="0" w:firstColumn="0" w:lastColumn="0" w:oddVBand="0" w:evenVBand="0" w:oddHBand="1" w:evenHBand="0" w:firstRowFirstColumn="0" w:firstRowLastColumn="0" w:lastRowFirstColumn="0" w:lastRowLastColumn="0"/>
              <w:rPr>
                <w:rFonts w:ascii="Calibri" w:hAnsi="Calibri" w:cs="Calibri"/>
                <w:sz w:val="18"/>
                <w:szCs w:val="18"/>
              </w:rPr>
            </w:pPr>
            <w:r w:rsidRPr="004A2580">
              <w:rPr>
                <w:rFonts w:ascii="Calibri" w:hAnsi="Calibri" w:cs="Calibri"/>
                <w:sz w:val="18"/>
                <w:szCs w:val="18"/>
              </w:rPr>
              <w:t xml:space="preserve">La Universidad en su consolidación de la integración académica, </w:t>
            </w:r>
            <w:r w:rsidRPr="004A2580">
              <w:rPr>
                <w:rFonts w:ascii="Calibri" w:hAnsi="Calibri" w:cs="Calibri"/>
                <w:b/>
                <w:bCs/>
                <w:color w:val="auto"/>
                <w:sz w:val="18"/>
                <w:szCs w:val="18"/>
              </w:rPr>
              <w:t>generó una nueva oferta de postgrado a través del doctorado en Ciencias Ambientales</w:t>
            </w:r>
            <w:r w:rsidRPr="004A2580">
              <w:rPr>
                <w:rFonts w:ascii="Calibri" w:hAnsi="Calibri" w:cs="Calibri"/>
                <w:color w:val="auto"/>
                <w:sz w:val="18"/>
                <w:szCs w:val="18"/>
              </w:rPr>
              <w:t>. Se destaca el Convenio entre la Universidad Autónoma de México-UNAM y la Red Alma Mater por el cual se asignaron  becas para estudiar el Doctorado en Ciencias de la Administración.</w:t>
            </w:r>
          </w:p>
        </w:tc>
      </w:tr>
      <w:tr w:rsidR="009520A4" w:rsidTr="00A27F9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vAlign w:val="center"/>
          </w:tcPr>
          <w:p w:rsidR="009520A4" w:rsidRPr="00A27F9C" w:rsidRDefault="009520A4" w:rsidP="00A27F9C">
            <w:pPr>
              <w:autoSpaceDE w:val="0"/>
              <w:autoSpaceDN w:val="0"/>
              <w:adjustRightInd w:val="0"/>
              <w:jc w:val="center"/>
              <w:rPr>
                <w:rFonts w:cs="Calibri"/>
                <w:color w:val="000000"/>
                <w:sz w:val="18"/>
                <w:szCs w:val="18"/>
              </w:rPr>
            </w:pPr>
            <w:r w:rsidRPr="00A27F9C">
              <w:rPr>
                <w:rFonts w:cs="Calibri"/>
                <w:color w:val="000000"/>
                <w:sz w:val="18"/>
                <w:szCs w:val="18"/>
              </w:rPr>
              <w:t>2012</w:t>
            </w:r>
          </w:p>
        </w:tc>
        <w:tc>
          <w:tcPr>
            <w:tcW w:w="7736" w:type="dxa"/>
          </w:tcPr>
          <w:p w:rsidR="009520A4" w:rsidRPr="004A2580" w:rsidRDefault="009520A4" w:rsidP="009520A4">
            <w:pPr>
              <w:autoSpaceDE w:val="0"/>
              <w:autoSpaceDN w:val="0"/>
              <w:adjustRightInd w:val="0"/>
              <w:cnfStyle w:val="000000010000" w:firstRow="0" w:lastRow="0" w:firstColumn="0" w:lastColumn="0" w:oddVBand="0" w:evenVBand="0" w:oddHBand="0" w:evenHBand="1" w:firstRowFirstColumn="0" w:firstRowLastColumn="0" w:lastRowFirstColumn="0" w:lastRowLastColumn="0"/>
              <w:rPr>
                <w:rFonts w:cs="Calibri"/>
                <w:sz w:val="18"/>
                <w:szCs w:val="18"/>
              </w:rPr>
            </w:pPr>
            <w:r w:rsidRPr="004A2580">
              <w:rPr>
                <w:rFonts w:cs="Calibri"/>
                <w:sz w:val="18"/>
                <w:szCs w:val="18"/>
              </w:rPr>
              <w:t xml:space="preserve">Se continúa trabajando en la consolidación de los observatorios regionales y se participa en otros: </w:t>
            </w:r>
          </w:p>
          <w:p w:rsidR="009520A4" w:rsidRPr="004A2580" w:rsidRDefault="009520A4" w:rsidP="00C21E52">
            <w:pPr>
              <w:pStyle w:val="Prrafodelista"/>
              <w:numPr>
                <w:ilvl w:val="0"/>
                <w:numId w:val="37"/>
              </w:numPr>
              <w:spacing w:after="0"/>
              <w:cnfStyle w:val="000000010000" w:firstRow="0" w:lastRow="0" w:firstColumn="0" w:lastColumn="0" w:oddVBand="0" w:evenVBand="0" w:oddHBand="0" w:evenHBand="1" w:firstRowFirstColumn="0" w:firstRowLastColumn="0" w:lastRowFirstColumn="0" w:lastRowLastColumn="0"/>
              <w:rPr>
                <w:rFonts w:ascii="Calibri" w:hAnsi="Calibri"/>
                <w:bCs/>
                <w:sz w:val="18"/>
                <w:szCs w:val="18"/>
              </w:rPr>
            </w:pPr>
            <w:r w:rsidRPr="004A2580">
              <w:rPr>
                <w:rFonts w:ascii="Calibri" w:hAnsi="Calibri"/>
                <w:bCs/>
                <w:sz w:val="18"/>
                <w:szCs w:val="18"/>
              </w:rPr>
              <w:t>Observatorio de Turismo Sostenible</w:t>
            </w:r>
          </w:p>
          <w:p w:rsidR="009520A4" w:rsidRPr="004A2580" w:rsidRDefault="009520A4" w:rsidP="00C21E52">
            <w:pPr>
              <w:pStyle w:val="Prrafodelista"/>
              <w:numPr>
                <w:ilvl w:val="0"/>
                <w:numId w:val="37"/>
              </w:numPr>
              <w:spacing w:after="0"/>
              <w:cnfStyle w:val="000000010000" w:firstRow="0" w:lastRow="0" w:firstColumn="0" w:lastColumn="0" w:oddVBand="0" w:evenVBand="0" w:oddHBand="0" w:evenHBand="1" w:firstRowFirstColumn="0" w:firstRowLastColumn="0" w:lastRowFirstColumn="0" w:lastRowLastColumn="0"/>
              <w:rPr>
                <w:rFonts w:ascii="Calibri" w:hAnsi="Calibri"/>
                <w:bCs/>
                <w:sz w:val="18"/>
                <w:szCs w:val="18"/>
              </w:rPr>
            </w:pPr>
            <w:r w:rsidRPr="004A2580">
              <w:rPr>
                <w:rFonts w:ascii="Calibri" w:hAnsi="Calibri"/>
                <w:bCs/>
                <w:sz w:val="18"/>
                <w:szCs w:val="18"/>
              </w:rPr>
              <w:t>Observatorio de Sostenibilidad de los Paisajes culturales</w:t>
            </w:r>
          </w:p>
          <w:p w:rsidR="009520A4" w:rsidRPr="004A2580" w:rsidRDefault="009520A4" w:rsidP="00C21E52">
            <w:pPr>
              <w:pStyle w:val="Prrafodelista"/>
              <w:numPr>
                <w:ilvl w:val="0"/>
                <w:numId w:val="37"/>
              </w:numPr>
              <w:spacing w:after="0"/>
              <w:cnfStyle w:val="000000010000" w:firstRow="0" w:lastRow="0" w:firstColumn="0" w:lastColumn="0" w:oddVBand="0" w:evenVBand="0" w:oddHBand="0" w:evenHBand="1" w:firstRowFirstColumn="0" w:firstRowLastColumn="0" w:lastRowFirstColumn="0" w:lastRowLastColumn="0"/>
              <w:rPr>
                <w:rFonts w:ascii="Calibri" w:hAnsi="Calibri"/>
                <w:bCs/>
                <w:sz w:val="18"/>
                <w:szCs w:val="18"/>
              </w:rPr>
            </w:pPr>
            <w:r w:rsidRPr="004A2580">
              <w:rPr>
                <w:rFonts w:ascii="Calibri" w:hAnsi="Calibri"/>
                <w:bCs/>
                <w:sz w:val="18"/>
                <w:szCs w:val="18"/>
              </w:rPr>
              <w:t>Observatorio del Mercado laboral Risaralda</w:t>
            </w:r>
          </w:p>
          <w:p w:rsidR="009520A4" w:rsidRPr="004A2580" w:rsidRDefault="009520A4" w:rsidP="00C21E52">
            <w:pPr>
              <w:pStyle w:val="Prrafodelista"/>
              <w:numPr>
                <w:ilvl w:val="0"/>
                <w:numId w:val="37"/>
              </w:numPr>
              <w:spacing w:after="0"/>
              <w:cnfStyle w:val="000000010000" w:firstRow="0" w:lastRow="0" w:firstColumn="0" w:lastColumn="0" w:oddVBand="0" w:evenVBand="0" w:oddHBand="0" w:evenHBand="1" w:firstRowFirstColumn="0" w:firstRowLastColumn="0" w:lastRowFirstColumn="0" w:lastRowLastColumn="0"/>
              <w:rPr>
                <w:rFonts w:ascii="Calibri" w:hAnsi="Calibri"/>
                <w:bCs/>
                <w:sz w:val="18"/>
                <w:szCs w:val="18"/>
              </w:rPr>
            </w:pPr>
            <w:r w:rsidRPr="004A2580">
              <w:rPr>
                <w:rFonts w:ascii="Calibri" w:hAnsi="Calibri"/>
                <w:bCs/>
                <w:sz w:val="18"/>
                <w:szCs w:val="18"/>
              </w:rPr>
              <w:t>Observatorio de Salud pública</w:t>
            </w:r>
          </w:p>
          <w:p w:rsidR="009520A4" w:rsidRPr="004A2580" w:rsidRDefault="009520A4" w:rsidP="00C21E52">
            <w:pPr>
              <w:pStyle w:val="Prrafodelista"/>
              <w:numPr>
                <w:ilvl w:val="0"/>
                <w:numId w:val="37"/>
              </w:numPr>
              <w:spacing w:after="0"/>
              <w:cnfStyle w:val="000000010000" w:firstRow="0" w:lastRow="0" w:firstColumn="0" w:lastColumn="0" w:oddVBand="0" w:evenVBand="0" w:oddHBand="0" w:evenHBand="1" w:firstRowFirstColumn="0" w:firstRowLastColumn="0" w:lastRowFirstColumn="0" w:lastRowLastColumn="0"/>
              <w:rPr>
                <w:rFonts w:ascii="Calibri" w:hAnsi="Calibri"/>
                <w:bCs/>
                <w:sz w:val="18"/>
                <w:szCs w:val="18"/>
              </w:rPr>
            </w:pPr>
            <w:r w:rsidRPr="004A2580">
              <w:rPr>
                <w:rFonts w:ascii="Calibri" w:hAnsi="Calibri"/>
                <w:bCs/>
                <w:sz w:val="18"/>
                <w:szCs w:val="18"/>
              </w:rPr>
              <w:t>Observatorio Ambiental</w:t>
            </w:r>
          </w:p>
          <w:p w:rsidR="009520A4" w:rsidRPr="004A2580" w:rsidRDefault="009520A4" w:rsidP="00C21E52">
            <w:pPr>
              <w:pStyle w:val="Prrafodelista"/>
              <w:numPr>
                <w:ilvl w:val="0"/>
                <w:numId w:val="37"/>
              </w:numPr>
              <w:spacing w:after="0"/>
              <w:cnfStyle w:val="000000010000" w:firstRow="0" w:lastRow="0" w:firstColumn="0" w:lastColumn="0" w:oddVBand="0" w:evenVBand="0" w:oddHBand="0" w:evenHBand="1" w:firstRowFirstColumn="0" w:firstRowLastColumn="0" w:lastRowFirstColumn="0" w:lastRowLastColumn="0"/>
              <w:rPr>
                <w:rFonts w:ascii="Calibri" w:hAnsi="Calibri"/>
                <w:bCs/>
                <w:sz w:val="18"/>
                <w:szCs w:val="18"/>
              </w:rPr>
            </w:pPr>
            <w:r w:rsidRPr="004A2580">
              <w:rPr>
                <w:rFonts w:ascii="Calibri" w:hAnsi="Calibri"/>
                <w:bCs/>
                <w:sz w:val="18"/>
                <w:szCs w:val="18"/>
              </w:rPr>
              <w:t>Observatorio de la Actividad física, deporte y recreación</w:t>
            </w:r>
          </w:p>
          <w:p w:rsidR="009520A4" w:rsidRPr="004A2580" w:rsidRDefault="009520A4" w:rsidP="009520A4">
            <w:pPr>
              <w:cnfStyle w:val="000000010000" w:firstRow="0" w:lastRow="0" w:firstColumn="0" w:lastColumn="0" w:oddVBand="0" w:evenVBand="0" w:oddHBand="0" w:evenHBand="1" w:firstRowFirstColumn="0" w:firstRowLastColumn="0" w:lastRowFirstColumn="0" w:lastRowLastColumn="0"/>
              <w:rPr>
                <w:bCs/>
                <w:sz w:val="18"/>
                <w:szCs w:val="18"/>
              </w:rPr>
            </w:pPr>
            <w:r w:rsidRPr="004A2580">
              <w:rPr>
                <w:bCs/>
                <w:sz w:val="18"/>
                <w:szCs w:val="18"/>
              </w:rPr>
              <w:t xml:space="preserve">Se continúa con los cinco postgrados en red ofrecidos desde el año </w:t>
            </w:r>
            <w:r w:rsidRPr="004A2580">
              <w:rPr>
                <w:b/>
                <w:bCs/>
                <w:sz w:val="18"/>
                <w:szCs w:val="18"/>
              </w:rPr>
              <w:t>2011</w:t>
            </w:r>
            <w:r w:rsidRPr="004A2580">
              <w:rPr>
                <w:bCs/>
                <w:sz w:val="18"/>
                <w:szCs w:val="18"/>
              </w:rPr>
              <w:t>, la participación de proyectos de investigación en red a través del Fondo Regional de Investigaciones, y el apoyo a políticas públicas de interés regional (presupuesto participativo, Pereira Activa y Saludable y Plan Integral de Desarrollo Metropolitano).</w:t>
            </w:r>
          </w:p>
        </w:tc>
      </w:tr>
    </w:tbl>
    <w:p w:rsidR="009520A4" w:rsidRDefault="009520A4" w:rsidP="009520A4">
      <w:pPr>
        <w:autoSpaceDE w:val="0"/>
        <w:autoSpaceDN w:val="0"/>
        <w:adjustRightInd w:val="0"/>
        <w:spacing w:after="0"/>
        <w:jc w:val="left"/>
        <w:rPr>
          <w:b/>
          <w:bCs/>
        </w:rPr>
      </w:pPr>
    </w:p>
    <w:p w:rsidR="009520A4" w:rsidRDefault="009520A4" w:rsidP="009520A4">
      <w:pPr>
        <w:autoSpaceDE w:val="0"/>
        <w:autoSpaceDN w:val="0"/>
        <w:adjustRightInd w:val="0"/>
        <w:spacing w:after="0"/>
        <w:jc w:val="left"/>
        <w:rPr>
          <w:b/>
          <w:bCs/>
        </w:rPr>
      </w:pPr>
    </w:p>
    <w:p w:rsidR="009520A4" w:rsidRPr="00DA5B02" w:rsidRDefault="009520A4" w:rsidP="0012432B">
      <w:pPr>
        <w:pStyle w:val="Ttulo3"/>
        <w:rPr>
          <w:rFonts w:cs="Calibri"/>
          <w:color w:val="000000"/>
          <w:sz w:val="24"/>
          <w:szCs w:val="24"/>
        </w:rPr>
      </w:pPr>
      <w:bookmarkStart w:id="152" w:name="_Toc354671366"/>
      <w:r w:rsidRPr="00DA5B02">
        <w:t xml:space="preserve">Direccionamiento Estratégico </w:t>
      </w:r>
      <w:r>
        <w:t>de la sociedad y ambiente</w:t>
      </w:r>
      <w:bookmarkEnd w:id="152"/>
    </w:p>
    <w:p w:rsidR="009520A4" w:rsidRDefault="009520A4" w:rsidP="009520A4">
      <w:pPr>
        <w:rPr>
          <w:b/>
          <w:bCs/>
        </w:rPr>
      </w:pPr>
    </w:p>
    <w:p w:rsidR="009520A4" w:rsidRDefault="009520A4" w:rsidP="009520A4">
      <w:pPr>
        <w:rPr>
          <w:b/>
          <w:bCs/>
        </w:rPr>
      </w:pPr>
      <w:r>
        <w:t>Dentro de la a</w:t>
      </w:r>
      <w:r w:rsidRPr="00F66363">
        <w:t>genda de la Ecorregión Eje Cafetero</w:t>
      </w:r>
      <w:r>
        <w:t>, la Universidad ha participado activamente en el desarrollo y consolidación de su componente ambiental</w:t>
      </w:r>
      <w:r w:rsidRPr="00F66363">
        <w:t xml:space="preserve">. </w:t>
      </w:r>
      <w:r>
        <w:t>Actualmente</w:t>
      </w:r>
      <w:r w:rsidRPr="00F66363">
        <w:t xml:space="preserve"> parti</w:t>
      </w:r>
      <w:r>
        <w:t xml:space="preserve">cipa en proyectos y </w:t>
      </w:r>
      <w:r>
        <w:lastRenderedPageBreak/>
        <w:t xml:space="preserve">actividades, generando </w:t>
      </w:r>
      <w:r w:rsidRPr="00F66363">
        <w:t xml:space="preserve">aportes </w:t>
      </w:r>
      <w:r>
        <w:t>en temas de interés como: la</w:t>
      </w:r>
      <w:r w:rsidRPr="00F66363">
        <w:t xml:space="preserve"> consolidación del Paisaje Cultural Cafetero y la plataforma natural del territorio, como base para el desarrollo sostenible.</w:t>
      </w:r>
    </w:p>
    <w:p w:rsidR="009520A4" w:rsidRDefault="009520A4" w:rsidP="009520A4">
      <w:pPr>
        <w:rPr>
          <w:bCs/>
        </w:rPr>
      </w:pPr>
      <w:r w:rsidRPr="00EA3AE3">
        <w:rPr>
          <w:bCs/>
        </w:rPr>
        <w:t>Las accion</w:t>
      </w:r>
      <w:r>
        <w:rPr>
          <w:bCs/>
        </w:rPr>
        <w:t>es desarrolladas en este campo</w:t>
      </w:r>
      <w:r w:rsidRPr="00EA3AE3">
        <w:rPr>
          <w:bCs/>
        </w:rPr>
        <w:t xml:space="preserve"> se mide</w:t>
      </w:r>
      <w:r>
        <w:rPr>
          <w:bCs/>
        </w:rPr>
        <w:t>n mediante</w:t>
      </w:r>
      <w:r w:rsidRPr="00EA3AE3">
        <w:rPr>
          <w:bCs/>
        </w:rPr>
        <w:t xml:space="preserve"> el aporte de la UTP en el proyecto Paisaje Cultural Cafetero-PCC (por ser un proyecto integrador de 47 municipios de la Ecorregión Eje Cafetero), aportes desde lo ambiental a la Ecorregión y los resultados de la alianza con el Instituto de Investigaciones Ambientales. </w:t>
      </w:r>
    </w:p>
    <w:p w:rsidR="009520A4" w:rsidRDefault="009520A4" w:rsidP="009520A4">
      <w:pPr>
        <w:pStyle w:val="Epgrafe"/>
        <w:keepNext/>
        <w:spacing w:line="276" w:lineRule="auto"/>
        <w:rPr>
          <w:noProof/>
          <w:lang w:eastAsia="es-CO"/>
        </w:rPr>
      </w:pPr>
      <w:r w:rsidRPr="0069072F">
        <w:rPr>
          <w:color w:val="000000" w:themeColor="text1"/>
        </w:rPr>
        <w:t xml:space="preserve">Resultados </w:t>
      </w:r>
      <w:r>
        <w:rPr>
          <w:color w:val="000000" w:themeColor="text1"/>
        </w:rPr>
        <w:t>–</w:t>
      </w:r>
      <w:r w:rsidRPr="0069072F">
        <w:rPr>
          <w:color w:val="000000" w:themeColor="text1"/>
        </w:rPr>
        <w:t xml:space="preserve"> </w:t>
      </w:r>
      <w:r w:rsidRPr="00D7223B">
        <w:t>Aporte de la UTP en proyectos y/o actividades a nivel regional del componente ambiental de la agenda de la Ecorregión</w:t>
      </w:r>
      <w:r w:rsidRPr="00D7223B">
        <w:rPr>
          <w:noProof/>
          <w:lang w:eastAsia="es-CO"/>
        </w:rPr>
        <w:t xml:space="preserve"> </w:t>
      </w:r>
    </w:p>
    <w:p w:rsidR="009520A4" w:rsidRPr="0069072F" w:rsidRDefault="009520A4" w:rsidP="009520A4">
      <w:pPr>
        <w:pStyle w:val="Epgrafe"/>
        <w:keepNext/>
        <w:spacing w:line="276" w:lineRule="auto"/>
      </w:pPr>
      <w:r w:rsidRPr="0069072F">
        <w:rPr>
          <w:noProof/>
          <w:lang w:eastAsia="es-CO" w:bidi="ar-SA"/>
        </w:rPr>
        <w:drawing>
          <wp:inline distT="0" distB="0" distL="0" distR="0">
            <wp:extent cx="4772025" cy="1743075"/>
            <wp:effectExtent l="0" t="0" r="0" b="0"/>
            <wp:docPr id="63" name="1 Gráfico"/>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p>
    <w:p w:rsidR="009520A4" w:rsidRPr="00B27BB6" w:rsidRDefault="009520A4" w:rsidP="009520A4">
      <w:pPr>
        <w:jc w:val="center"/>
        <w:rPr>
          <w:b/>
          <w:i/>
          <w:sz w:val="20"/>
        </w:rPr>
      </w:pPr>
      <w:r w:rsidRPr="0069072F">
        <w:rPr>
          <w:b/>
          <w:i/>
          <w:sz w:val="20"/>
        </w:rPr>
        <w:t>Fuente: SIGOB</w:t>
      </w:r>
    </w:p>
    <w:p w:rsidR="009520A4" w:rsidRDefault="009520A4" w:rsidP="009520A4">
      <w:pPr>
        <w:rPr>
          <w:bCs/>
        </w:rPr>
      </w:pPr>
    </w:p>
    <w:p w:rsidR="009520A4" w:rsidRPr="00EA3AE3" w:rsidRDefault="009520A4" w:rsidP="009520A4">
      <w:pPr>
        <w:rPr>
          <w:bCs/>
        </w:rPr>
      </w:pPr>
      <w:r>
        <w:rPr>
          <w:bCs/>
        </w:rPr>
        <w:t>En este sentido durante el año 2012 la Universidad participó en las siguientes actividades:</w:t>
      </w:r>
    </w:p>
    <w:p w:rsidR="009520A4" w:rsidRPr="004C0176" w:rsidRDefault="009520A4" w:rsidP="00C21E52">
      <w:pPr>
        <w:pStyle w:val="Prrafodelista"/>
        <w:numPr>
          <w:ilvl w:val="0"/>
          <w:numId w:val="39"/>
        </w:numPr>
        <w:spacing w:after="200" w:line="276" w:lineRule="auto"/>
        <w:ind w:left="360"/>
        <w:rPr>
          <w:rFonts w:ascii="Calibri" w:hAnsi="Calibri"/>
          <w:bCs/>
          <w:u w:val="single"/>
        </w:rPr>
      </w:pPr>
      <w:r w:rsidRPr="00EA3AE3">
        <w:rPr>
          <w:rFonts w:ascii="Calibri" w:hAnsi="Calibri"/>
          <w:bCs/>
        </w:rPr>
        <w:t>Acuerdo firmado con el Ministerio de Cultura para la promoción de Contrato Plan para el Paisaje Cultural</w:t>
      </w:r>
    </w:p>
    <w:p w:rsidR="009520A4" w:rsidRPr="004C0176" w:rsidRDefault="009520A4" w:rsidP="00C21E52">
      <w:pPr>
        <w:pStyle w:val="Prrafodelista"/>
        <w:numPr>
          <w:ilvl w:val="0"/>
          <w:numId w:val="39"/>
        </w:numPr>
        <w:spacing w:after="200" w:line="276" w:lineRule="auto"/>
        <w:ind w:left="360"/>
        <w:rPr>
          <w:rFonts w:ascii="Calibri" w:hAnsi="Calibri"/>
          <w:bCs/>
          <w:u w:val="single"/>
        </w:rPr>
      </w:pPr>
      <w:r>
        <w:rPr>
          <w:rFonts w:ascii="Calibri" w:hAnsi="Calibri"/>
          <w:bCs/>
        </w:rPr>
        <w:t>Encuentro de Alcaldes del PCC</w:t>
      </w:r>
    </w:p>
    <w:p w:rsidR="009520A4" w:rsidRPr="004C0176" w:rsidRDefault="009520A4" w:rsidP="00C21E52">
      <w:pPr>
        <w:pStyle w:val="Prrafodelista"/>
        <w:numPr>
          <w:ilvl w:val="0"/>
          <w:numId w:val="39"/>
        </w:numPr>
        <w:spacing w:after="200" w:line="276" w:lineRule="auto"/>
        <w:ind w:left="360"/>
        <w:rPr>
          <w:rFonts w:ascii="Calibri" w:hAnsi="Calibri"/>
          <w:bCs/>
          <w:u w:val="single"/>
        </w:rPr>
      </w:pPr>
      <w:r w:rsidRPr="00EA3AE3">
        <w:rPr>
          <w:rFonts w:ascii="Calibri" w:hAnsi="Calibri"/>
          <w:bCs/>
        </w:rPr>
        <w:t>Taller de Concertación Regional con diversos actores para acuerdos con</w:t>
      </w:r>
      <w:r>
        <w:rPr>
          <w:rFonts w:ascii="Calibri" w:hAnsi="Calibri"/>
          <w:bCs/>
        </w:rPr>
        <w:t>juntos en torno a contrato plan.</w:t>
      </w:r>
    </w:p>
    <w:p w:rsidR="009520A4" w:rsidRPr="004C0176" w:rsidRDefault="009520A4" w:rsidP="00C21E52">
      <w:pPr>
        <w:pStyle w:val="Prrafodelista"/>
        <w:numPr>
          <w:ilvl w:val="0"/>
          <w:numId w:val="39"/>
        </w:numPr>
        <w:spacing w:after="200" w:line="276" w:lineRule="auto"/>
        <w:ind w:left="360"/>
        <w:rPr>
          <w:rFonts w:ascii="Calibri" w:hAnsi="Calibri"/>
          <w:bCs/>
          <w:u w:val="single"/>
        </w:rPr>
      </w:pPr>
      <w:r>
        <w:rPr>
          <w:rFonts w:ascii="Calibri" w:hAnsi="Calibri"/>
          <w:bCs/>
        </w:rPr>
        <w:t>CONPES Paisaje Cultural Cafetero - Propuesta de documento</w:t>
      </w:r>
    </w:p>
    <w:p w:rsidR="009520A4" w:rsidRPr="004C0176" w:rsidRDefault="009520A4" w:rsidP="00C21E52">
      <w:pPr>
        <w:pStyle w:val="Prrafodelista"/>
        <w:numPr>
          <w:ilvl w:val="0"/>
          <w:numId w:val="39"/>
        </w:numPr>
        <w:spacing w:after="200" w:line="276" w:lineRule="auto"/>
        <w:ind w:left="360"/>
        <w:rPr>
          <w:rFonts w:ascii="Calibri" w:hAnsi="Calibri"/>
          <w:bCs/>
          <w:u w:val="single"/>
        </w:rPr>
      </w:pPr>
      <w:r>
        <w:rPr>
          <w:rFonts w:ascii="Calibri" w:hAnsi="Calibri"/>
          <w:bCs/>
        </w:rPr>
        <w:t>Desarrollo de encuentros ciudadanos en diferentes municipios de Risaralda alrededor del paisaje Cultural Cafetero</w:t>
      </w:r>
    </w:p>
    <w:p w:rsidR="009520A4" w:rsidRPr="004C0176" w:rsidRDefault="009520A4" w:rsidP="00C21E52">
      <w:pPr>
        <w:pStyle w:val="Prrafodelista"/>
        <w:numPr>
          <w:ilvl w:val="0"/>
          <w:numId w:val="39"/>
        </w:numPr>
        <w:spacing w:after="200" w:line="276" w:lineRule="auto"/>
        <w:ind w:left="360"/>
        <w:rPr>
          <w:rFonts w:ascii="Calibri" w:hAnsi="Calibri"/>
          <w:bCs/>
          <w:u w:val="single"/>
        </w:rPr>
      </w:pPr>
      <w:r>
        <w:rPr>
          <w:rFonts w:ascii="Calibri" w:hAnsi="Calibri"/>
          <w:bCs/>
        </w:rPr>
        <w:t>Participación en las mesas de trabajo de ajuste de los Planes de Desarrollo</w:t>
      </w:r>
    </w:p>
    <w:p w:rsidR="009520A4" w:rsidRPr="004C0176" w:rsidRDefault="009520A4" w:rsidP="00C21E52">
      <w:pPr>
        <w:pStyle w:val="Prrafodelista"/>
        <w:numPr>
          <w:ilvl w:val="0"/>
          <w:numId w:val="39"/>
        </w:numPr>
        <w:spacing w:after="200" w:line="276" w:lineRule="auto"/>
        <w:ind w:left="360"/>
        <w:rPr>
          <w:rFonts w:ascii="Calibri" w:hAnsi="Calibri"/>
          <w:bCs/>
          <w:u w:val="single"/>
        </w:rPr>
      </w:pPr>
      <w:r w:rsidRPr="00EA3AE3">
        <w:rPr>
          <w:rFonts w:ascii="Calibri" w:hAnsi="Calibri"/>
          <w:bCs/>
        </w:rPr>
        <w:t>I Foro Regional Soberanía Alimentaria</w:t>
      </w:r>
      <w:r>
        <w:rPr>
          <w:rFonts w:ascii="Calibri" w:hAnsi="Calibri"/>
          <w:bCs/>
        </w:rPr>
        <w:t>;  y participación en el Comité Técnico de la Ecorregión</w:t>
      </w:r>
    </w:p>
    <w:p w:rsidR="009520A4" w:rsidRPr="004C0176" w:rsidRDefault="009520A4" w:rsidP="00C21E52">
      <w:pPr>
        <w:pStyle w:val="Prrafodelista"/>
        <w:numPr>
          <w:ilvl w:val="0"/>
          <w:numId w:val="39"/>
        </w:numPr>
        <w:spacing w:after="200" w:line="276" w:lineRule="auto"/>
        <w:ind w:left="360"/>
        <w:rPr>
          <w:rFonts w:ascii="Calibri" w:hAnsi="Calibri"/>
          <w:bCs/>
          <w:u w:val="single"/>
        </w:rPr>
      </w:pPr>
      <w:r w:rsidRPr="004C0176">
        <w:rPr>
          <w:rFonts w:ascii="Calibri" w:hAnsi="Calibri"/>
          <w:bCs/>
        </w:rPr>
        <w:t>Participación formulación política local para el Plan de Desarrollo Nacional</w:t>
      </w:r>
    </w:p>
    <w:p w:rsidR="009520A4" w:rsidRPr="004C0176" w:rsidRDefault="009520A4" w:rsidP="00C21E52">
      <w:pPr>
        <w:pStyle w:val="Prrafodelista"/>
        <w:numPr>
          <w:ilvl w:val="0"/>
          <w:numId w:val="39"/>
        </w:numPr>
        <w:spacing w:after="200" w:line="276" w:lineRule="auto"/>
        <w:ind w:left="360"/>
        <w:rPr>
          <w:rFonts w:ascii="Calibri" w:hAnsi="Calibri"/>
          <w:bCs/>
          <w:u w:val="single"/>
        </w:rPr>
      </w:pPr>
      <w:r w:rsidRPr="004C0176">
        <w:rPr>
          <w:rFonts w:ascii="Calibri" w:hAnsi="Calibri"/>
          <w:bCs/>
        </w:rPr>
        <w:t>Realización del II Encuentro de Cuencas del Paisaje Cultural Cafetero realizado en Santa Rosa de Cabal y con la participación de delegados de las corporaciones, grupos de investigación, universidades, CTP, acueductos comunitarios e integrantes del doctorado en Cuencas de la Universidad del Tolima.</w:t>
      </w:r>
    </w:p>
    <w:p w:rsidR="009520A4" w:rsidRPr="00235589" w:rsidRDefault="009520A4" w:rsidP="00C21E52">
      <w:pPr>
        <w:pStyle w:val="Prrafodelista"/>
        <w:numPr>
          <w:ilvl w:val="0"/>
          <w:numId w:val="39"/>
        </w:numPr>
        <w:spacing w:after="200" w:line="276" w:lineRule="auto"/>
        <w:ind w:left="360"/>
        <w:rPr>
          <w:rFonts w:ascii="Calibri" w:hAnsi="Calibri"/>
          <w:bCs/>
          <w:u w:val="single"/>
        </w:rPr>
      </w:pPr>
      <w:r w:rsidRPr="004C0176">
        <w:rPr>
          <w:rFonts w:ascii="Calibri" w:hAnsi="Calibri"/>
          <w:bCs/>
        </w:rPr>
        <w:t>Encuentro de Consejos Territoriales de Planeación del Quindío</w:t>
      </w:r>
    </w:p>
    <w:p w:rsidR="009520A4" w:rsidRPr="00235589" w:rsidRDefault="009520A4" w:rsidP="009520A4">
      <w:pPr>
        <w:rPr>
          <w:bCs/>
          <w:u w:val="single"/>
        </w:rPr>
      </w:pPr>
      <w:r w:rsidRPr="00235589">
        <w:rPr>
          <w:rFonts w:cs="Calibri"/>
          <w:color w:val="000000"/>
          <w:sz w:val="24"/>
          <w:szCs w:val="24"/>
        </w:rPr>
        <w:t>A continuación se presentan los logros en los cuatro años de ejecución del Objetivo, en el marco  de este componente:</w:t>
      </w:r>
    </w:p>
    <w:p w:rsidR="009520A4" w:rsidRPr="0016067A" w:rsidRDefault="009520A4" w:rsidP="009520A4">
      <w:pPr>
        <w:pStyle w:val="Prrafodelista"/>
        <w:autoSpaceDE w:val="0"/>
        <w:autoSpaceDN w:val="0"/>
        <w:adjustRightInd w:val="0"/>
        <w:spacing w:after="0"/>
        <w:jc w:val="left"/>
        <w:rPr>
          <w:rFonts w:ascii="Calibri" w:hAnsi="Calibri" w:cs="Calibri"/>
          <w:color w:val="000000"/>
          <w:sz w:val="24"/>
          <w:szCs w:val="24"/>
        </w:rPr>
      </w:pPr>
    </w:p>
    <w:tbl>
      <w:tblPr>
        <w:tblStyle w:val="Cuadrculaclara-nfasis1"/>
        <w:tblW w:w="0" w:type="auto"/>
        <w:tblLook w:val="04A0" w:firstRow="1" w:lastRow="0" w:firstColumn="1" w:lastColumn="0" w:noHBand="0" w:noVBand="1"/>
      </w:tblPr>
      <w:tblGrid>
        <w:gridCol w:w="1242"/>
        <w:gridCol w:w="7736"/>
      </w:tblGrid>
      <w:tr w:rsidR="00074576" w:rsidRPr="00074576" w:rsidTr="0007457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tcPr>
          <w:p w:rsidR="009520A4" w:rsidRPr="00074576" w:rsidRDefault="009520A4" w:rsidP="009520A4">
            <w:pPr>
              <w:autoSpaceDE w:val="0"/>
              <w:autoSpaceDN w:val="0"/>
              <w:adjustRightInd w:val="0"/>
              <w:jc w:val="center"/>
              <w:rPr>
                <w:rFonts w:cs="Calibri"/>
                <w:sz w:val="18"/>
                <w:szCs w:val="18"/>
              </w:rPr>
            </w:pPr>
            <w:r w:rsidRPr="00074576">
              <w:rPr>
                <w:rFonts w:cs="Calibri"/>
                <w:sz w:val="18"/>
                <w:szCs w:val="18"/>
              </w:rPr>
              <w:t>Año</w:t>
            </w:r>
          </w:p>
        </w:tc>
        <w:tc>
          <w:tcPr>
            <w:tcW w:w="7736" w:type="dxa"/>
          </w:tcPr>
          <w:p w:rsidR="009520A4" w:rsidRPr="00074576" w:rsidRDefault="009520A4" w:rsidP="009520A4">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cs="Calibri"/>
                <w:sz w:val="18"/>
                <w:szCs w:val="18"/>
              </w:rPr>
            </w:pPr>
            <w:r w:rsidRPr="00074576">
              <w:rPr>
                <w:rFonts w:cs="Calibri"/>
                <w:sz w:val="18"/>
                <w:szCs w:val="18"/>
              </w:rPr>
              <w:t>Resultados</w:t>
            </w:r>
          </w:p>
        </w:tc>
      </w:tr>
      <w:tr w:rsidR="009520A4" w:rsidRPr="00074576" w:rsidTr="00A27F9C">
        <w:trPr>
          <w:cnfStyle w:val="000000100000" w:firstRow="0" w:lastRow="0" w:firstColumn="0" w:lastColumn="0" w:oddVBand="0" w:evenVBand="0" w:oddHBand="1" w:evenHBand="0"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1242" w:type="dxa"/>
            <w:vAlign w:val="center"/>
          </w:tcPr>
          <w:p w:rsidR="009520A4" w:rsidRPr="00A27F9C" w:rsidRDefault="009520A4" w:rsidP="00A27F9C">
            <w:pPr>
              <w:autoSpaceDE w:val="0"/>
              <w:autoSpaceDN w:val="0"/>
              <w:adjustRightInd w:val="0"/>
              <w:jc w:val="center"/>
              <w:rPr>
                <w:rFonts w:cs="Calibri"/>
                <w:color w:val="000000"/>
                <w:sz w:val="18"/>
                <w:szCs w:val="18"/>
              </w:rPr>
            </w:pPr>
            <w:r w:rsidRPr="00A27F9C">
              <w:rPr>
                <w:rFonts w:cs="Calibri"/>
                <w:color w:val="000000"/>
                <w:sz w:val="18"/>
                <w:szCs w:val="18"/>
              </w:rPr>
              <w:t>2009</w:t>
            </w:r>
          </w:p>
        </w:tc>
        <w:tc>
          <w:tcPr>
            <w:tcW w:w="7736" w:type="dxa"/>
          </w:tcPr>
          <w:p w:rsidR="009520A4" w:rsidRPr="00074576" w:rsidRDefault="009520A4" w:rsidP="009520A4">
            <w:pPr>
              <w:pStyle w:val="Default"/>
              <w:jc w:val="both"/>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8"/>
                <w:szCs w:val="18"/>
              </w:rPr>
            </w:pPr>
            <w:r w:rsidRPr="00074576">
              <w:rPr>
                <w:rFonts w:ascii="Calibri" w:hAnsi="Calibri" w:cs="Calibri"/>
                <w:color w:val="auto"/>
                <w:sz w:val="18"/>
                <w:szCs w:val="18"/>
              </w:rPr>
              <w:t xml:space="preserve">Se envió a la UNESCO el dossier del plan de manejo del Paisaje Cultural Cafetero, documento elaborado con el apoyo del Centro de Estudios Regionales Cafeteros y Empresariales (CRECE) tomando como insumos los informes se los equipos técnicos de los departamentos de Caldas, Quindío, Risaralda y Valle del Cauca. Igualmente, se contó con la contribución de los equipos de la Federación Nacional de Cafeteros de Colombia, el Ministerio de Cultura, el Vice ministerio de Turismo y el Departamento Nacional de Planeación. </w:t>
            </w:r>
          </w:p>
          <w:p w:rsidR="009520A4" w:rsidRPr="00074576" w:rsidRDefault="009520A4" w:rsidP="009520A4">
            <w:pPr>
              <w:pStyle w:val="Default"/>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8"/>
                <w:szCs w:val="18"/>
              </w:rPr>
            </w:pPr>
            <w:r w:rsidRPr="00074576">
              <w:rPr>
                <w:rFonts w:ascii="Calibri" w:hAnsi="Calibri" w:cs="Calibri"/>
                <w:color w:val="auto"/>
                <w:sz w:val="18"/>
                <w:szCs w:val="18"/>
              </w:rPr>
              <w:t xml:space="preserve">Así mismo la Universidad  Tecnológica participó de los siguientes proyectos: </w:t>
            </w:r>
          </w:p>
          <w:p w:rsidR="009520A4" w:rsidRPr="00074576" w:rsidRDefault="009520A4" w:rsidP="009520A4">
            <w:pPr>
              <w:pStyle w:val="Default"/>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8"/>
                <w:szCs w:val="18"/>
              </w:rPr>
            </w:pPr>
            <w:r w:rsidRPr="00074576">
              <w:rPr>
                <w:rFonts w:ascii="Calibri" w:hAnsi="Calibri" w:cs="Calibri"/>
                <w:color w:val="auto"/>
                <w:sz w:val="18"/>
                <w:szCs w:val="18"/>
              </w:rPr>
              <w:t xml:space="preserve">1. Influencia de las instituciones en las tecnologías agrícolas en áreas del PCC- Caso Belén de Umbría </w:t>
            </w:r>
          </w:p>
          <w:p w:rsidR="009520A4" w:rsidRPr="00074576" w:rsidRDefault="009520A4" w:rsidP="009520A4">
            <w:pPr>
              <w:pStyle w:val="Default"/>
              <w:jc w:val="both"/>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8"/>
                <w:szCs w:val="18"/>
              </w:rPr>
            </w:pPr>
            <w:r w:rsidRPr="00074576">
              <w:rPr>
                <w:rFonts w:ascii="Calibri" w:hAnsi="Calibri" w:cs="Calibri"/>
                <w:color w:val="auto"/>
                <w:sz w:val="18"/>
                <w:szCs w:val="18"/>
              </w:rPr>
              <w:t>2. Aportes a la formulación e implementación del Plan de Manejo Arqueológico en áreas del PCC Risaralda y Quindío.</w:t>
            </w:r>
          </w:p>
          <w:p w:rsidR="009520A4" w:rsidRPr="00074576" w:rsidRDefault="009520A4" w:rsidP="009520A4">
            <w:pPr>
              <w:pStyle w:val="Default"/>
              <w:jc w:val="both"/>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8"/>
                <w:szCs w:val="18"/>
              </w:rPr>
            </w:pPr>
            <w:r w:rsidRPr="00074576">
              <w:rPr>
                <w:rFonts w:ascii="Calibri" w:hAnsi="Calibri" w:cs="Calibri"/>
                <w:color w:val="auto"/>
                <w:sz w:val="18"/>
                <w:szCs w:val="18"/>
              </w:rPr>
              <w:t>De otro lado e trabajo en coordinación con la Cátedra UNESCO Gestión Integral del Patrimonio de la Universidad Nacional sede Manizales en el desarrollo del Taller técnico el paisaje cultural y su territorio "observatorio para la sostenibilidad del patrimonio en Paisajes culturales" cátedra UNESCO Gestión integral del patrimonio.</w:t>
            </w:r>
          </w:p>
          <w:p w:rsidR="009520A4" w:rsidRPr="00074576" w:rsidRDefault="009520A4" w:rsidP="009520A4">
            <w:pPr>
              <w:pStyle w:val="Default"/>
              <w:jc w:val="both"/>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8"/>
                <w:szCs w:val="18"/>
              </w:rPr>
            </w:pPr>
            <w:r w:rsidRPr="00074576">
              <w:rPr>
                <w:rFonts w:ascii="Calibri" w:hAnsi="Calibri" w:cs="Calibri"/>
                <w:color w:val="auto"/>
                <w:sz w:val="18"/>
                <w:szCs w:val="18"/>
              </w:rPr>
              <w:t>También Se realizaron también talleres de socialización y valoración del paisaje cultural cafetero en Risaralda con la participación de extensionistas de la Federación de Cafeteros, Casas de la Cultura de los municipios de Risaralda, docentes de escuelas de los municipios, caficultores, campesinos y población de la región.</w:t>
            </w:r>
          </w:p>
        </w:tc>
      </w:tr>
      <w:tr w:rsidR="009520A4" w:rsidRPr="00074576" w:rsidTr="00A27F9C">
        <w:trPr>
          <w:cnfStyle w:val="000000010000" w:firstRow="0" w:lastRow="0" w:firstColumn="0" w:lastColumn="0" w:oddVBand="0" w:evenVBand="0" w:oddHBand="0" w:evenHBand="1"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1242" w:type="dxa"/>
            <w:vAlign w:val="center"/>
          </w:tcPr>
          <w:p w:rsidR="009520A4" w:rsidRPr="00A27F9C" w:rsidRDefault="009520A4" w:rsidP="00A27F9C">
            <w:pPr>
              <w:autoSpaceDE w:val="0"/>
              <w:autoSpaceDN w:val="0"/>
              <w:adjustRightInd w:val="0"/>
              <w:jc w:val="center"/>
              <w:rPr>
                <w:rFonts w:cs="Calibri"/>
                <w:color w:val="000000"/>
                <w:sz w:val="18"/>
                <w:szCs w:val="18"/>
              </w:rPr>
            </w:pPr>
            <w:r w:rsidRPr="00A27F9C">
              <w:rPr>
                <w:rFonts w:cs="Calibri"/>
                <w:color w:val="000000"/>
                <w:sz w:val="18"/>
                <w:szCs w:val="18"/>
              </w:rPr>
              <w:t>2010</w:t>
            </w:r>
          </w:p>
        </w:tc>
        <w:tc>
          <w:tcPr>
            <w:tcW w:w="7736" w:type="dxa"/>
          </w:tcPr>
          <w:p w:rsidR="009520A4" w:rsidRPr="00074576" w:rsidRDefault="009520A4" w:rsidP="009520A4">
            <w:pPr>
              <w:autoSpaceDE w:val="0"/>
              <w:autoSpaceDN w:val="0"/>
              <w:adjustRightInd w:val="0"/>
              <w:cnfStyle w:val="000000010000" w:firstRow="0" w:lastRow="0" w:firstColumn="0" w:lastColumn="0" w:oddVBand="0" w:evenVBand="0" w:oddHBand="0" w:evenHBand="1" w:firstRowFirstColumn="0" w:firstRowLastColumn="0" w:lastRowFirstColumn="0" w:lastRowLastColumn="0"/>
              <w:rPr>
                <w:rFonts w:cs="Calibri"/>
                <w:sz w:val="18"/>
                <w:szCs w:val="18"/>
              </w:rPr>
            </w:pPr>
            <w:r w:rsidRPr="00074576">
              <w:rPr>
                <w:rFonts w:cs="Calibri"/>
                <w:sz w:val="18"/>
                <w:szCs w:val="18"/>
              </w:rPr>
              <w:t>Se avanzó en actividades de divulgación del Paisaje Cultural Cafetero – PCC en su permanente  propósito de promover su inclusión patrimonio cultural de la humanidad. Dentro de esas actividades de divulgación se encontraban: Taller Socialización y valorización PCC, Participación Coloquio internacional de Desarrollo Rural con Enfoque Territorial (DRET), Acuerdos y avances proyecto con participación de los cuatro departamentos del proyecto, Muestra proyecto Ondas UTP sobre proyecto PCC, Encuentro regional de Vigías del Patrimonio, Taller Plan de Manejo del PCC. Herramientas Ecorregión (Minería, fichas municipales y línea de base).</w:t>
            </w:r>
          </w:p>
        </w:tc>
      </w:tr>
      <w:tr w:rsidR="009520A4" w:rsidRPr="00074576" w:rsidTr="00A27F9C">
        <w:trPr>
          <w:cnfStyle w:val="000000100000" w:firstRow="0" w:lastRow="0" w:firstColumn="0" w:lastColumn="0" w:oddVBand="0" w:evenVBand="0" w:oddHBand="1" w:evenHBand="0" w:firstRowFirstColumn="0" w:firstRowLastColumn="0" w:lastRowFirstColumn="0" w:lastRowLastColumn="0"/>
          <w:trHeight w:val="242"/>
        </w:trPr>
        <w:tc>
          <w:tcPr>
            <w:cnfStyle w:val="001000000000" w:firstRow="0" w:lastRow="0" w:firstColumn="1" w:lastColumn="0" w:oddVBand="0" w:evenVBand="0" w:oddHBand="0" w:evenHBand="0" w:firstRowFirstColumn="0" w:firstRowLastColumn="0" w:lastRowFirstColumn="0" w:lastRowLastColumn="0"/>
            <w:tcW w:w="1242" w:type="dxa"/>
            <w:vAlign w:val="center"/>
          </w:tcPr>
          <w:p w:rsidR="009520A4" w:rsidRPr="00A27F9C" w:rsidRDefault="009520A4" w:rsidP="00A27F9C">
            <w:pPr>
              <w:autoSpaceDE w:val="0"/>
              <w:autoSpaceDN w:val="0"/>
              <w:adjustRightInd w:val="0"/>
              <w:jc w:val="center"/>
              <w:rPr>
                <w:rFonts w:cs="Calibri"/>
                <w:color w:val="000000"/>
                <w:sz w:val="18"/>
                <w:szCs w:val="18"/>
              </w:rPr>
            </w:pPr>
            <w:r w:rsidRPr="00A27F9C">
              <w:rPr>
                <w:rFonts w:cs="Calibri"/>
                <w:color w:val="000000"/>
                <w:sz w:val="18"/>
                <w:szCs w:val="18"/>
              </w:rPr>
              <w:t>2011</w:t>
            </w:r>
          </w:p>
        </w:tc>
        <w:tc>
          <w:tcPr>
            <w:tcW w:w="7736" w:type="dxa"/>
          </w:tcPr>
          <w:p w:rsidR="009520A4" w:rsidRPr="00074576" w:rsidRDefault="009520A4" w:rsidP="009520A4">
            <w:pPr>
              <w:pStyle w:val="Default"/>
              <w:jc w:val="both"/>
              <w:cnfStyle w:val="000000100000" w:firstRow="0" w:lastRow="0" w:firstColumn="0" w:lastColumn="0" w:oddVBand="0" w:evenVBand="0" w:oddHBand="1" w:evenHBand="0" w:firstRowFirstColumn="0" w:firstRowLastColumn="0" w:lastRowFirstColumn="0" w:lastRowLastColumn="0"/>
              <w:rPr>
                <w:rFonts w:ascii="Calibri" w:hAnsi="Calibri" w:cs="Calibri"/>
                <w:sz w:val="18"/>
                <w:szCs w:val="18"/>
              </w:rPr>
            </w:pPr>
            <w:r w:rsidRPr="00074576">
              <w:rPr>
                <w:rFonts w:ascii="Calibri" w:hAnsi="Calibri" w:cs="Calibri"/>
                <w:sz w:val="18"/>
                <w:szCs w:val="18"/>
              </w:rPr>
              <w:t xml:space="preserve">Como logro principal se destaca la incorporación del </w:t>
            </w:r>
            <w:r w:rsidRPr="00BE6A05">
              <w:rPr>
                <w:rFonts w:ascii="Calibri" w:hAnsi="Calibri" w:cs="Calibri"/>
                <w:b/>
                <w:sz w:val="18"/>
                <w:szCs w:val="18"/>
              </w:rPr>
              <w:t>Paisaje Cultural cafetero como patrimonio mundial por la UNESCO</w:t>
            </w:r>
            <w:r w:rsidRPr="00074576">
              <w:rPr>
                <w:rFonts w:ascii="Calibri" w:hAnsi="Calibri" w:cs="Calibri"/>
                <w:sz w:val="18"/>
                <w:szCs w:val="18"/>
              </w:rPr>
              <w:t>. Gran cantidad de medios de comunicación (tanto nacional como internacional) cubrieron la noticia, siendo este un espacio de difusión masivo para la UTP, como partícipe de este logro.</w:t>
            </w:r>
          </w:p>
          <w:p w:rsidR="009520A4" w:rsidRPr="00074576" w:rsidRDefault="009520A4" w:rsidP="009520A4">
            <w:pPr>
              <w:autoSpaceDE w:val="0"/>
              <w:autoSpaceDN w:val="0"/>
              <w:adjustRightInd w:val="0"/>
              <w:jc w:val="left"/>
              <w:cnfStyle w:val="000000100000" w:firstRow="0" w:lastRow="0" w:firstColumn="0" w:lastColumn="0" w:oddVBand="0" w:evenVBand="0" w:oddHBand="1" w:evenHBand="0" w:firstRowFirstColumn="0" w:firstRowLastColumn="0" w:lastRowFirstColumn="0" w:lastRowLastColumn="0"/>
              <w:rPr>
                <w:rFonts w:cs="Calibri"/>
                <w:sz w:val="18"/>
                <w:szCs w:val="18"/>
              </w:rPr>
            </w:pPr>
            <w:r w:rsidRPr="00074576">
              <w:rPr>
                <w:rFonts w:cs="Calibri"/>
                <w:sz w:val="18"/>
                <w:szCs w:val="18"/>
              </w:rPr>
              <w:t>Se continuaron con las acciones de divulgación y promoción, dentro de las cuales se destacan:</w:t>
            </w:r>
          </w:p>
          <w:p w:rsidR="009520A4" w:rsidRPr="00074576" w:rsidRDefault="00C71DD6" w:rsidP="00C21E52">
            <w:pPr>
              <w:pStyle w:val="Prrafodelista"/>
              <w:numPr>
                <w:ilvl w:val="0"/>
                <w:numId w:val="39"/>
              </w:numPr>
              <w:autoSpaceDE w:val="0"/>
              <w:autoSpaceDN w:val="0"/>
              <w:adjustRightInd w:val="0"/>
              <w:spacing w:after="0"/>
              <w:jc w:val="left"/>
              <w:cnfStyle w:val="000000100000" w:firstRow="0" w:lastRow="0" w:firstColumn="0" w:lastColumn="0" w:oddVBand="0" w:evenVBand="0" w:oddHBand="1" w:evenHBand="0" w:firstRowFirstColumn="0" w:firstRowLastColumn="0" w:lastRowFirstColumn="0" w:lastRowLastColumn="0"/>
              <w:rPr>
                <w:rFonts w:ascii="Calibri" w:hAnsi="Calibri" w:cs="Calibri"/>
                <w:sz w:val="18"/>
                <w:szCs w:val="18"/>
              </w:rPr>
            </w:pPr>
            <w:r>
              <w:rPr>
                <w:rFonts w:ascii="Calibri" w:hAnsi="Calibri" w:cs="Calibri"/>
                <w:sz w:val="18"/>
                <w:szCs w:val="18"/>
              </w:rPr>
              <w:t>P</w:t>
            </w:r>
            <w:r w:rsidR="009520A4" w:rsidRPr="00074576">
              <w:rPr>
                <w:rFonts w:ascii="Calibri" w:hAnsi="Calibri" w:cs="Calibri"/>
                <w:sz w:val="18"/>
                <w:szCs w:val="18"/>
              </w:rPr>
              <w:t>rimer encuentro de vigías del patrimonio de Risaralda</w:t>
            </w:r>
          </w:p>
          <w:p w:rsidR="009520A4" w:rsidRPr="00074576" w:rsidRDefault="009520A4" w:rsidP="00C21E52">
            <w:pPr>
              <w:pStyle w:val="Prrafodelista"/>
              <w:numPr>
                <w:ilvl w:val="0"/>
                <w:numId w:val="39"/>
              </w:numPr>
              <w:autoSpaceDE w:val="0"/>
              <w:autoSpaceDN w:val="0"/>
              <w:adjustRightInd w:val="0"/>
              <w:spacing w:after="0"/>
              <w:jc w:val="left"/>
              <w:cnfStyle w:val="000000100000" w:firstRow="0" w:lastRow="0" w:firstColumn="0" w:lastColumn="0" w:oddVBand="0" w:evenVBand="0" w:oddHBand="1" w:evenHBand="0" w:firstRowFirstColumn="0" w:firstRowLastColumn="0" w:lastRowFirstColumn="0" w:lastRowLastColumn="0"/>
              <w:rPr>
                <w:rFonts w:ascii="Calibri" w:hAnsi="Calibri" w:cs="Calibri"/>
                <w:sz w:val="18"/>
                <w:szCs w:val="18"/>
              </w:rPr>
            </w:pPr>
            <w:r w:rsidRPr="00074576">
              <w:rPr>
                <w:rFonts w:ascii="Calibri" w:hAnsi="Calibri" w:cs="Calibri"/>
                <w:sz w:val="18"/>
                <w:szCs w:val="18"/>
              </w:rPr>
              <w:t>Divulgación del proyecto “Paisaje Cultural Cafetero” en el acto "Ruta del Café para el Desarrollo Económico y Social del Departamento del Quindío”</w:t>
            </w:r>
          </w:p>
          <w:p w:rsidR="009520A4" w:rsidRPr="00074576" w:rsidRDefault="009520A4" w:rsidP="00C21E52">
            <w:pPr>
              <w:pStyle w:val="Prrafodelista"/>
              <w:numPr>
                <w:ilvl w:val="0"/>
                <w:numId w:val="39"/>
              </w:numPr>
              <w:autoSpaceDE w:val="0"/>
              <w:autoSpaceDN w:val="0"/>
              <w:adjustRightInd w:val="0"/>
              <w:spacing w:after="0"/>
              <w:jc w:val="left"/>
              <w:cnfStyle w:val="000000100000" w:firstRow="0" w:lastRow="0" w:firstColumn="0" w:lastColumn="0" w:oddVBand="0" w:evenVBand="0" w:oddHBand="1" w:evenHBand="0" w:firstRowFirstColumn="0" w:firstRowLastColumn="0" w:lastRowFirstColumn="0" w:lastRowLastColumn="0"/>
              <w:rPr>
                <w:rFonts w:ascii="Calibri" w:hAnsi="Calibri" w:cs="Calibri"/>
                <w:sz w:val="18"/>
                <w:szCs w:val="18"/>
              </w:rPr>
            </w:pPr>
            <w:r w:rsidRPr="00074576">
              <w:rPr>
                <w:rFonts w:ascii="Calibri" w:hAnsi="Calibri" w:cs="Calibri"/>
                <w:sz w:val="18"/>
                <w:szCs w:val="18"/>
              </w:rPr>
              <w:t>Presentación del Paisaje Cultural Cafetero y su Plan de Manejo ante el Concejo de Pereira</w:t>
            </w:r>
          </w:p>
          <w:p w:rsidR="009520A4" w:rsidRPr="00074576" w:rsidRDefault="009520A4" w:rsidP="009520A4">
            <w:pPr>
              <w:autoSpaceDE w:val="0"/>
              <w:autoSpaceDN w:val="0"/>
              <w:adjustRightInd w:val="0"/>
              <w:jc w:val="left"/>
              <w:cnfStyle w:val="000000100000" w:firstRow="0" w:lastRow="0" w:firstColumn="0" w:lastColumn="0" w:oddVBand="0" w:evenVBand="0" w:oddHBand="1" w:evenHBand="0" w:firstRowFirstColumn="0" w:firstRowLastColumn="0" w:lastRowFirstColumn="0" w:lastRowLastColumn="0"/>
              <w:rPr>
                <w:rFonts w:cs="Calibri"/>
                <w:sz w:val="18"/>
                <w:szCs w:val="18"/>
              </w:rPr>
            </w:pPr>
            <w:r w:rsidRPr="00074576">
              <w:rPr>
                <w:rFonts w:cs="Calibri"/>
                <w:sz w:val="18"/>
                <w:szCs w:val="18"/>
              </w:rPr>
              <w:t>Se incorpora el instituto de Investigaciones Ambientales al Objetivo de Impacto Regional, focalizando sus acciones desde:</w:t>
            </w:r>
          </w:p>
          <w:p w:rsidR="009520A4" w:rsidRPr="00074576" w:rsidRDefault="009520A4" w:rsidP="00C21E52">
            <w:pPr>
              <w:pStyle w:val="Prrafodelista"/>
              <w:numPr>
                <w:ilvl w:val="0"/>
                <w:numId w:val="39"/>
              </w:numPr>
              <w:autoSpaceDE w:val="0"/>
              <w:autoSpaceDN w:val="0"/>
              <w:adjustRightInd w:val="0"/>
              <w:spacing w:after="0"/>
              <w:jc w:val="left"/>
              <w:cnfStyle w:val="000000100000" w:firstRow="0" w:lastRow="0" w:firstColumn="0" w:lastColumn="0" w:oddVBand="0" w:evenVBand="0" w:oddHBand="1" w:evenHBand="0" w:firstRowFirstColumn="0" w:firstRowLastColumn="0" w:lastRowFirstColumn="0" w:lastRowLastColumn="0"/>
              <w:rPr>
                <w:rFonts w:ascii="Calibri" w:hAnsi="Calibri" w:cs="Calibri"/>
                <w:sz w:val="18"/>
                <w:szCs w:val="18"/>
              </w:rPr>
            </w:pPr>
            <w:r w:rsidRPr="00074576">
              <w:rPr>
                <w:rFonts w:ascii="Calibri" w:hAnsi="Calibri" w:cs="Calibri"/>
                <w:sz w:val="18"/>
                <w:szCs w:val="18"/>
              </w:rPr>
              <w:t>La gestión ambiental comunitaria</w:t>
            </w:r>
            <w:r w:rsidR="003A5D6D">
              <w:rPr>
                <w:rFonts w:ascii="Calibri" w:hAnsi="Calibri" w:cs="Calibri"/>
                <w:sz w:val="18"/>
                <w:szCs w:val="18"/>
              </w:rPr>
              <w:t>.</w:t>
            </w:r>
          </w:p>
          <w:p w:rsidR="009520A4" w:rsidRPr="00074576" w:rsidRDefault="009520A4" w:rsidP="00C21E52">
            <w:pPr>
              <w:pStyle w:val="Prrafodelista"/>
              <w:numPr>
                <w:ilvl w:val="0"/>
                <w:numId w:val="39"/>
              </w:numPr>
              <w:autoSpaceDE w:val="0"/>
              <w:autoSpaceDN w:val="0"/>
              <w:adjustRightInd w:val="0"/>
              <w:spacing w:after="0"/>
              <w:jc w:val="left"/>
              <w:cnfStyle w:val="000000100000" w:firstRow="0" w:lastRow="0" w:firstColumn="0" w:lastColumn="0" w:oddVBand="0" w:evenVBand="0" w:oddHBand="1" w:evenHBand="0" w:firstRowFirstColumn="0" w:firstRowLastColumn="0" w:lastRowFirstColumn="0" w:lastRowLastColumn="0"/>
              <w:rPr>
                <w:rFonts w:ascii="Calibri" w:hAnsi="Calibri" w:cs="Calibri"/>
                <w:sz w:val="18"/>
                <w:szCs w:val="18"/>
              </w:rPr>
            </w:pPr>
            <w:r w:rsidRPr="00074576">
              <w:rPr>
                <w:rFonts w:ascii="Calibri" w:hAnsi="Calibri" w:cs="Calibri"/>
                <w:sz w:val="18"/>
                <w:szCs w:val="18"/>
              </w:rPr>
              <w:t>La agroecología</w:t>
            </w:r>
            <w:r w:rsidR="003A5D6D">
              <w:rPr>
                <w:rFonts w:ascii="Calibri" w:hAnsi="Calibri" w:cs="Calibri"/>
                <w:sz w:val="18"/>
                <w:szCs w:val="18"/>
              </w:rPr>
              <w:t>.</w:t>
            </w:r>
          </w:p>
          <w:p w:rsidR="009520A4" w:rsidRPr="00074576" w:rsidRDefault="009520A4" w:rsidP="00C21E52">
            <w:pPr>
              <w:pStyle w:val="Prrafodelista"/>
              <w:numPr>
                <w:ilvl w:val="0"/>
                <w:numId w:val="39"/>
              </w:numPr>
              <w:autoSpaceDE w:val="0"/>
              <w:autoSpaceDN w:val="0"/>
              <w:adjustRightInd w:val="0"/>
              <w:spacing w:after="0"/>
              <w:jc w:val="left"/>
              <w:cnfStyle w:val="000000100000" w:firstRow="0" w:lastRow="0" w:firstColumn="0" w:lastColumn="0" w:oddVBand="0" w:evenVBand="0" w:oddHBand="1" w:evenHBand="0" w:firstRowFirstColumn="0" w:firstRowLastColumn="0" w:lastRowFirstColumn="0" w:lastRowLastColumn="0"/>
              <w:rPr>
                <w:rFonts w:ascii="Calibri" w:hAnsi="Calibri" w:cs="Calibri"/>
                <w:sz w:val="18"/>
                <w:szCs w:val="18"/>
              </w:rPr>
            </w:pPr>
            <w:r w:rsidRPr="00074576">
              <w:rPr>
                <w:rFonts w:ascii="Calibri" w:hAnsi="Calibri" w:cs="Calibri"/>
                <w:sz w:val="18"/>
                <w:szCs w:val="18"/>
              </w:rPr>
              <w:t>La gestión ambiental regional</w:t>
            </w:r>
            <w:r w:rsidR="003A5D6D">
              <w:rPr>
                <w:rFonts w:ascii="Calibri" w:hAnsi="Calibri" w:cs="Calibri"/>
                <w:sz w:val="18"/>
                <w:szCs w:val="18"/>
              </w:rPr>
              <w:t>.</w:t>
            </w:r>
          </w:p>
        </w:tc>
      </w:tr>
      <w:tr w:rsidR="009520A4" w:rsidRPr="00074576" w:rsidTr="00A27F9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vAlign w:val="center"/>
          </w:tcPr>
          <w:p w:rsidR="009520A4" w:rsidRPr="00A27F9C" w:rsidRDefault="009520A4" w:rsidP="00A27F9C">
            <w:pPr>
              <w:autoSpaceDE w:val="0"/>
              <w:autoSpaceDN w:val="0"/>
              <w:adjustRightInd w:val="0"/>
              <w:jc w:val="center"/>
              <w:rPr>
                <w:rFonts w:cs="Calibri"/>
                <w:color w:val="000000"/>
                <w:sz w:val="18"/>
                <w:szCs w:val="18"/>
              </w:rPr>
            </w:pPr>
            <w:r w:rsidRPr="00A27F9C">
              <w:rPr>
                <w:rFonts w:cs="Calibri"/>
                <w:color w:val="000000"/>
                <w:sz w:val="18"/>
                <w:szCs w:val="18"/>
              </w:rPr>
              <w:t>2012</w:t>
            </w:r>
          </w:p>
        </w:tc>
        <w:tc>
          <w:tcPr>
            <w:tcW w:w="7736" w:type="dxa"/>
          </w:tcPr>
          <w:p w:rsidR="009520A4" w:rsidRPr="00074576" w:rsidRDefault="009520A4" w:rsidP="009520A4">
            <w:pPr>
              <w:cnfStyle w:val="000000010000" w:firstRow="0" w:lastRow="0" w:firstColumn="0" w:lastColumn="0" w:oddVBand="0" w:evenVBand="0" w:oddHBand="0" w:evenHBand="1" w:firstRowFirstColumn="0" w:firstRowLastColumn="0" w:lastRowFirstColumn="0" w:lastRowLastColumn="0"/>
              <w:rPr>
                <w:bCs/>
                <w:sz w:val="18"/>
                <w:szCs w:val="18"/>
              </w:rPr>
            </w:pPr>
            <w:r w:rsidRPr="00074576">
              <w:rPr>
                <w:bCs/>
                <w:sz w:val="18"/>
                <w:szCs w:val="18"/>
              </w:rPr>
              <w:t>Dentro de las acciones más destacadas se encuentran:</w:t>
            </w:r>
          </w:p>
          <w:p w:rsidR="009520A4" w:rsidRPr="00074576" w:rsidRDefault="009520A4" w:rsidP="00C21E52">
            <w:pPr>
              <w:pStyle w:val="Prrafodelista"/>
              <w:numPr>
                <w:ilvl w:val="0"/>
                <w:numId w:val="39"/>
              </w:numPr>
              <w:spacing w:after="0"/>
              <w:cnfStyle w:val="000000010000" w:firstRow="0" w:lastRow="0" w:firstColumn="0" w:lastColumn="0" w:oddVBand="0" w:evenVBand="0" w:oddHBand="0" w:evenHBand="1" w:firstRowFirstColumn="0" w:firstRowLastColumn="0" w:lastRowFirstColumn="0" w:lastRowLastColumn="0"/>
              <w:rPr>
                <w:rFonts w:ascii="Calibri" w:hAnsi="Calibri"/>
                <w:bCs/>
                <w:sz w:val="18"/>
                <w:szCs w:val="18"/>
              </w:rPr>
            </w:pPr>
            <w:r w:rsidRPr="00074576">
              <w:rPr>
                <w:rFonts w:ascii="Calibri" w:hAnsi="Calibri"/>
                <w:bCs/>
                <w:sz w:val="18"/>
                <w:szCs w:val="18"/>
                <w:u w:val="single"/>
              </w:rPr>
              <w:t>Paisaje Cultural cafetero:</w:t>
            </w:r>
            <w:r w:rsidRPr="00074576">
              <w:rPr>
                <w:rFonts w:ascii="Calibri" w:hAnsi="Calibri"/>
                <w:bCs/>
                <w:sz w:val="18"/>
                <w:szCs w:val="18"/>
              </w:rPr>
              <w:t xml:space="preserve"> contrato plan para el PCC, encuentro de Alcaldes del PCC, propuesta de documento CONPES – PCC, encuentros ciudadanos para el PCC, II Encuentro de Cuencas del Paisaje Cultural Cafetero.</w:t>
            </w:r>
          </w:p>
          <w:p w:rsidR="009520A4" w:rsidRPr="00074576" w:rsidRDefault="009520A4" w:rsidP="00C21E52">
            <w:pPr>
              <w:pStyle w:val="Prrafodelista"/>
              <w:numPr>
                <w:ilvl w:val="0"/>
                <w:numId w:val="39"/>
              </w:numPr>
              <w:spacing w:after="0"/>
              <w:cnfStyle w:val="000000010000" w:firstRow="0" w:lastRow="0" w:firstColumn="0" w:lastColumn="0" w:oddVBand="0" w:evenVBand="0" w:oddHBand="0" w:evenHBand="1" w:firstRowFirstColumn="0" w:firstRowLastColumn="0" w:lastRowFirstColumn="0" w:lastRowLastColumn="0"/>
              <w:rPr>
                <w:rFonts w:ascii="Calibri" w:hAnsi="Calibri"/>
                <w:bCs/>
                <w:sz w:val="18"/>
                <w:szCs w:val="18"/>
              </w:rPr>
            </w:pPr>
            <w:r w:rsidRPr="003A5D6D">
              <w:rPr>
                <w:rFonts w:ascii="Calibri" w:hAnsi="Calibri"/>
                <w:bCs/>
                <w:sz w:val="18"/>
                <w:szCs w:val="18"/>
                <w:u w:val="single"/>
              </w:rPr>
              <w:t>Escenarios de participación regional:</w:t>
            </w:r>
            <w:r w:rsidRPr="00074576">
              <w:rPr>
                <w:rFonts w:ascii="Calibri" w:hAnsi="Calibri"/>
                <w:bCs/>
                <w:sz w:val="18"/>
                <w:szCs w:val="18"/>
              </w:rPr>
              <w:t xml:space="preserve"> mesas de trabajo de ajuste de los Planes de Desarrollo, I Foro Regional Soberanía Alimentaria, Comité Técnico de la Ecorregión, política local para el Plan de Desarrollo Nacional, Encuentro de Consejos Territoriales de Planeación del Quindío</w:t>
            </w:r>
          </w:p>
        </w:tc>
      </w:tr>
    </w:tbl>
    <w:p w:rsidR="007249A1" w:rsidRDefault="007249A1">
      <w:pPr>
        <w:spacing w:after="200" w:line="276" w:lineRule="auto"/>
        <w:jc w:val="left"/>
        <w:rPr>
          <w:rFonts w:asciiTheme="minorHAnsi" w:hAnsiTheme="minorHAnsi" w:cs="Arial"/>
        </w:rPr>
      </w:pPr>
      <w:r>
        <w:rPr>
          <w:rFonts w:asciiTheme="minorHAnsi" w:hAnsiTheme="minorHAnsi" w:cs="Arial"/>
        </w:rPr>
        <w:br w:type="page"/>
      </w:r>
    </w:p>
    <w:p w:rsidR="00B963FC" w:rsidRPr="00535E30" w:rsidRDefault="00535E30" w:rsidP="00C0346D">
      <w:pPr>
        <w:pStyle w:val="Ttulo2"/>
        <w:numPr>
          <w:ilvl w:val="1"/>
          <w:numId w:val="21"/>
        </w:numPr>
        <w:spacing w:line="276" w:lineRule="auto"/>
      </w:pPr>
      <w:bookmarkStart w:id="153" w:name="_Toc304826943"/>
      <w:bookmarkStart w:id="154" w:name="_Toc347392849"/>
      <w:bookmarkStart w:id="155" w:name="_Toc354671367"/>
      <w:r w:rsidRPr="00535E30">
        <w:rPr>
          <w:caps w:val="0"/>
        </w:rPr>
        <w:lastRenderedPageBreak/>
        <w:t>ALIANZAS ESTRATÉGICAS</w:t>
      </w:r>
      <w:bookmarkEnd w:id="153"/>
      <w:bookmarkEnd w:id="154"/>
      <w:bookmarkEnd w:id="155"/>
    </w:p>
    <w:p w:rsidR="00B963FC" w:rsidRPr="00535E30" w:rsidRDefault="00B963FC" w:rsidP="00F80905">
      <w:pPr>
        <w:spacing w:after="0" w:line="276" w:lineRule="auto"/>
        <w:ind w:left="360"/>
        <w:rPr>
          <w:rFonts w:asciiTheme="minorHAnsi" w:hAnsiTheme="minorHAnsi" w:cs="Arial"/>
          <w:b/>
        </w:rPr>
      </w:pPr>
    </w:p>
    <w:p w:rsidR="00E81064" w:rsidRDefault="00E81064" w:rsidP="00E81064">
      <w:bookmarkStart w:id="156" w:name="_Toc304826944"/>
      <w:bookmarkStart w:id="157" w:name="_Toc347392850"/>
      <w:r w:rsidRPr="004F45E9">
        <w:t>Su objetivo general se basa en establecer alianzas estratégicas entre dos o más actores sociales, diferentes y complementarios, del orden nacional e internacional, incrementando capacidades entre los participantes para poder realizar aportes en el desarrollo social, económico, competitivo, científico, tecnológico y financiero enmarcado dentro del respeto y la ética.</w:t>
      </w:r>
    </w:p>
    <w:p w:rsidR="00E81064" w:rsidRPr="004F45E9" w:rsidRDefault="00E81064" w:rsidP="00E81064"/>
    <w:p w:rsidR="00E81064" w:rsidRDefault="00E81064" w:rsidP="00E81064">
      <w:r w:rsidRPr="004F45E9">
        <w:t>Para la consecución de los impactos esperados, se establece como estrategia, el desarrollo de las capacidades de la organización para el fomento de trabajo en redes, el monitoreo permanente del entorno para aprovechamiento de las oportunidades y ajustes en la dinámica institucional articulada con las necesidades del contexto, además de la inserción en la definición y mejoramiento de políticas públicas para la transformación de la agenda regional</w:t>
      </w:r>
      <w:r>
        <w:t>.</w:t>
      </w:r>
    </w:p>
    <w:p w:rsidR="00E81064" w:rsidRDefault="00E81064" w:rsidP="00E81064"/>
    <w:p w:rsidR="00E81064" w:rsidRDefault="00E81064" w:rsidP="00E81064">
      <w:r w:rsidRPr="00CA5E40">
        <w:t>La Educación, la Investigación, la Ciencia, la Tecnología y la Innovación son considerados aspectos clave del desarrollo de los territorios, en el marco de la emergente economía y sociedad del conocimiento, como factores diferenciadores para lograr competitividad en los actuales mercados. En esta nueva tendencia global, el ser humano y su conocimiento es la prioridad del desarrollo.</w:t>
      </w:r>
    </w:p>
    <w:p w:rsidR="00E81064" w:rsidRPr="00CA5E40" w:rsidRDefault="00E81064" w:rsidP="00E81064"/>
    <w:p w:rsidR="00E81064" w:rsidRDefault="00E81064" w:rsidP="00E81064">
      <w:r w:rsidRPr="00CA5E40">
        <w:t>Es por esto que el Plan de Desarrollo Institucional formulado en conjunto con diferentes actores de la sociedad plantea la necesidad de establecer alianzas estratégicas como objetivo institucional para abordar y solucionar de manera conjunta estos problemas sociales de gran magnitud.</w:t>
      </w:r>
    </w:p>
    <w:p w:rsidR="00C15EC5" w:rsidRDefault="00C15EC5" w:rsidP="00E81064"/>
    <w:p w:rsidR="00C15EC5" w:rsidRDefault="002E307B" w:rsidP="00C15EC5">
      <w:pPr>
        <w:pStyle w:val="Ttulo3"/>
      </w:pPr>
      <w:bookmarkStart w:id="158" w:name="_Toc354671368"/>
      <w:r>
        <w:rPr>
          <w:caps w:val="0"/>
        </w:rPr>
        <w:t>Alianzas Estratégicas Activas</w:t>
      </w:r>
      <w:bookmarkEnd w:id="158"/>
    </w:p>
    <w:p w:rsidR="00C15EC5" w:rsidRPr="00C15EC5" w:rsidRDefault="00C15EC5" w:rsidP="00C15EC5"/>
    <w:p w:rsidR="00024273" w:rsidRPr="00502200" w:rsidRDefault="00024273" w:rsidP="00024273">
      <w:pPr>
        <w:autoSpaceDE w:val="0"/>
        <w:autoSpaceDN w:val="0"/>
        <w:adjustRightInd w:val="0"/>
        <w:spacing w:after="0"/>
        <w:rPr>
          <w:rFonts w:cs="Calibri"/>
        </w:rPr>
      </w:pPr>
      <w:r w:rsidRPr="00502200">
        <w:t>El Objetivo de Alianzas estratégicas busca no sólo la firma de nuevas Alianzas, sino también, la consolidación y activación de las alianzas existentes. Tanto el sostenimiento como la conformación de alianzas requieren esfuerzos y recursos de la institución.</w:t>
      </w:r>
    </w:p>
    <w:p w:rsidR="00024273" w:rsidRDefault="00024273" w:rsidP="00024273">
      <w:pPr>
        <w:autoSpaceDE w:val="0"/>
        <w:autoSpaceDN w:val="0"/>
        <w:adjustRightInd w:val="0"/>
        <w:spacing w:after="0"/>
        <w:rPr>
          <w:rFonts w:cs="Calibri"/>
          <w:b/>
          <w:color w:val="000000"/>
          <w:sz w:val="24"/>
          <w:szCs w:val="24"/>
        </w:rPr>
      </w:pPr>
    </w:p>
    <w:p w:rsidR="00504360" w:rsidRDefault="00504360" w:rsidP="00504360">
      <w:pPr>
        <w:autoSpaceDE w:val="0"/>
        <w:autoSpaceDN w:val="0"/>
        <w:adjustRightInd w:val="0"/>
        <w:spacing w:after="0"/>
        <w:jc w:val="center"/>
        <w:rPr>
          <w:b/>
          <w:bCs/>
          <w:sz w:val="24"/>
          <w:szCs w:val="23"/>
        </w:rPr>
      </w:pPr>
      <w:r>
        <w:rPr>
          <w:b/>
          <w:bCs/>
          <w:sz w:val="24"/>
          <w:szCs w:val="23"/>
        </w:rPr>
        <w:t xml:space="preserve">Resultados - </w:t>
      </w:r>
      <w:r w:rsidRPr="008A6077">
        <w:rPr>
          <w:b/>
          <w:bCs/>
          <w:sz w:val="24"/>
          <w:szCs w:val="23"/>
        </w:rPr>
        <w:t>Alianzas Estratégicas Activas</w:t>
      </w:r>
    </w:p>
    <w:p w:rsidR="00504360" w:rsidRPr="00533599" w:rsidRDefault="00504360" w:rsidP="00504360">
      <w:pPr>
        <w:autoSpaceDE w:val="0"/>
        <w:autoSpaceDN w:val="0"/>
        <w:adjustRightInd w:val="0"/>
        <w:spacing w:after="0"/>
        <w:jc w:val="center"/>
        <w:rPr>
          <w:sz w:val="24"/>
          <w:szCs w:val="20"/>
        </w:rPr>
      </w:pPr>
      <w:r w:rsidRPr="0069072F">
        <w:rPr>
          <w:noProof/>
          <w:lang w:val="es-CO" w:eastAsia="es-CO"/>
        </w:rPr>
        <w:drawing>
          <wp:inline distT="0" distB="0" distL="0" distR="0" wp14:anchorId="26AE68D2" wp14:editId="0BF80347">
            <wp:extent cx="4772025" cy="1743075"/>
            <wp:effectExtent l="0" t="0" r="0" b="0"/>
            <wp:docPr id="32" name="1 Gráfico"/>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p>
    <w:p w:rsidR="00504360" w:rsidRPr="00E81064" w:rsidRDefault="00504360" w:rsidP="00504360">
      <w:pPr>
        <w:autoSpaceDE w:val="0"/>
        <w:autoSpaceDN w:val="0"/>
        <w:adjustRightInd w:val="0"/>
        <w:spacing w:after="0"/>
        <w:jc w:val="center"/>
        <w:rPr>
          <w:b/>
          <w:sz w:val="24"/>
          <w:szCs w:val="20"/>
        </w:rPr>
      </w:pPr>
      <w:r w:rsidRPr="00E81064">
        <w:rPr>
          <w:b/>
          <w:sz w:val="24"/>
          <w:szCs w:val="20"/>
        </w:rPr>
        <w:t>Fuente: SIGOB</w:t>
      </w:r>
    </w:p>
    <w:p w:rsidR="00504360" w:rsidRDefault="00504360" w:rsidP="00024273">
      <w:pPr>
        <w:autoSpaceDE w:val="0"/>
        <w:autoSpaceDN w:val="0"/>
        <w:adjustRightInd w:val="0"/>
        <w:spacing w:after="0"/>
        <w:rPr>
          <w:rFonts w:cs="Calibri"/>
          <w:b/>
          <w:color w:val="000000"/>
          <w:sz w:val="24"/>
          <w:szCs w:val="24"/>
        </w:rPr>
      </w:pPr>
    </w:p>
    <w:p w:rsidR="00504360" w:rsidRPr="00957C8E" w:rsidRDefault="00504360" w:rsidP="00024273">
      <w:pPr>
        <w:autoSpaceDE w:val="0"/>
        <w:autoSpaceDN w:val="0"/>
        <w:adjustRightInd w:val="0"/>
        <w:spacing w:after="0"/>
        <w:rPr>
          <w:rFonts w:cs="Calibri"/>
          <w:b/>
          <w:color w:val="000000"/>
          <w:sz w:val="24"/>
          <w:szCs w:val="24"/>
        </w:rPr>
      </w:pPr>
    </w:p>
    <w:tbl>
      <w:tblPr>
        <w:tblStyle w:val="Cuadrculaclara-nfasis1"/>
        <w:tblW w:w="0" w:type="auto"/>
        <w:tblLayout w:type="fixed"/>
        <w:tblLook w:val="0020" w:firstRow="1" w:lastRow="0" w:firstColumn="0" w:lastColumn="0" w:noHBand="0" w:noVBand="0"/>
      </w:tblPr>
      <w:tblGrid>
        <w:gridCol w:w="2763"/>
        <w:gridCol w:w="2763"/>
        <w:gridCol w:w="3371"/>
      </w:tblGrid>
      <w:tr w:rsidR="00024273" w:rsidRPr="002C42F6" w:rsidTr="005678E7">
        <w:trPr>
          <w:cnfStyle w:val="100000000000" w:firstRow="1" w:lastRow="0" w:firstColumn="0" w:lastColumn="0" w:oddVBand="0" w:evenVBand="0" w:oddHBand="0" w:evenHBand="0" w:firstRowFirstColumn="0" w:firstRowLastColumn="0" w:lastRowFirstColumn="0" w:lastRowLastColumn="0"/>
          <w:trHeight w:val="20"/>
        </w:trPr>
        <w:tc>
          <w:tcPr>
            <w:cnfStyle w:val="000010000000" w:firstRow="0" w:lastRow="0" w:firstColumn="0" w:lastColumn="0" w:oddVBand="1" w:evenVBand="0" w:oddHBand="0" w:evenHBand="0" w:firstRowFirstColumn="0" w:firstRowLastColumn="0" w:lastRowFirstColumn="0" w:lastRowLastColumn="0"/>
            <w:tcW w:w="8897" w:type="dxa"/>
            <w:gridSpan w:val="3"/>
            <w:vAlign w:val="center"/>
          </w:tcPr>
          <w:p w:rsidR="00024273" w:rsidRPr="002C42F6" w:rsidRDefault="00024273" w:rsidP="005678E7">
            <w:pPr>
              <w:pStyle w:val="Sinespaciado"/>
              <w:jc w:val="center"/>
              <w:rPr>
                <w:b w:val="0"/>
                <w:sz w:val="18"/>
                <w:szCs w:val="18"/>
              </w:rPr>
            </w:pPr>
            <w:r w:rsidRPr="002C42F6">
              <w:rPr>
                <w:sz w:val="18"/>
                <w:szCs w:val="18"/>
              </w:rPr>
              <w:t>ALIANZAS ESTRATEGICAS FIRMADAS</w:t>
            </w:r>
          </w:p>
        </w:tc>
      </w:tr>
      <w:tr w:rsidR="00024273" w:rsidRPr="002C42F6" w:rsidTr="005678E7">
        <w:trPr>
          <w:cnfStyle w:val="000000100000" w:firstRow="0" w:lastRow="0" w:firstColumn="0" w:lastColumn="0" w:oddVBand="0" w:evenVBand="0" w:oddHBand="1" w:evenHBand="0" w:firstRowFirstColumn="0" w:firstRowLastColumn="0" w:lastRowFirstColumn="0" w:lastRowLastColumn="0"/>
          <w:trHeight w:val="20"/>
        </w:trPr>
        <w:tc>
          <w:tcPr>
            <w:cnfStyle w:val="000010000000" w:firstRow="0" w:lastRow="0" w:firstColumn="0" w:lastColumn="0" w:oddVBand="1" w:evenVBand="0" w:oddHBand="0" w:evenHBand="0" w:firstRowFirstColumn="0" w:firstRowLastColumn="0" w:lastRowFirstColumn="0" w:lastRowLastColumn="0"/>
            <w:tcW w:w="2763" w:type="dxa"/>
            <w:vAlign w:val="center"/>
          </w:tcPr>
          <w:p w:rsidR="00024273" w:rsidRPr="002C42F6" w:rsidRDefault="00024273" w:rsidP="005678E7">
            <w:pPr>
              <w:pStyle w:val="Sinespaciado"/>
              <w:rPr>
                <w:sz w:val="18"/>
                <w:szCs w:val="18"/>
              </w:rPr>
            </w:pPr>
            <w:r w:rsidRPr="002C42F6">
              <w:rPr>
                <w:sz w:val="18"/>
                <w:szCs w:val="18"/>
              </w:rPr>
              <w:t xml:space="preserve">Alianza con 13 universidades para trabajar en la movilización social, </w:t>
            </w:r>
          </w:p>
        </w:tc>
        <w:tc>
          <w:tcPr>
            <w:tcW w:w="2763" w:type="dxa"/>
            <w:vAlign w:val="center"/>
          </w:tcPr>
          <w:p w:rsidR="00024273" w:rsidRPr="002C42F6" w:rsidRDefault="00024273" w:rsidP="005678E7">
            <w:pPr>
              <w:pStyle w:val="Sinespaciado"/>
              <w:cnfStyle w:val="000000100000" w:firstRow="0" w:lastRow="0" w:firstColumn="0" w:lastColumn="0" w:oddVBand="0" w:evenVBand="0" w:oddHBand="1" w:evenHBand="0" w:firstRowFirstColumn="0" w:firstRowLastColumn="0" w:lastRowFirstColumn="0" w:lastRowLastColumn="0"/>
              <w:rPr>
                <w:sz w:val="18"/>
                <w:szCs w:val="18"/>
              </w:rPr>
            </w:pPr>
            <w:r w:rsidRPr="002C42F6">
              <w:rPr>
                <w:sz w:val="18"/>
                <w:szCs w:val="18"/>
              </w:rPr>
              <w:t xml:space="preserve">Fundación Empresarios por la Educación, </w:t>
            </w:r>
          </w:p>
        </w:tc>
        <w:tc>
          <w:tcPr>
            <w:cnfStyle w:val="000010000000" w:firstRow="0" w:lastRow="0" w:firstColumn="0" w:lastColumn="0" w:oddVBand="1" w:evenVBand="0" w:oddHBand="0" w:evenHBand="0" w:firstRowFirstColumn="0" w:firstRowLastColumn="0" w:lastRowFirstColumn="0" w:lastRowLastColumn="0"/>
            <w:tcW w:w="3371" w:type="dxa"/>
            <w:vAlign w:val="center"/>
          </w:tcPr>
          <w:p w:rsidR="00024273" w:rsidRPr="002C42F6" w:rsidRDefault="00024273" w:rsidP="005678E7">
            <w:pPr>
              <w:pStyle w:val="Sinespaciado"/>
              <w:rPr>
                <w:sz w:val="18"/>
                <w:szCs w:val="18"/>
              </w:rPr>
            </w:pPr>
            <w:r w:rsidRPr="002C42F6">
              <w:rPr>
                <w:sz w:val="18"/>
                <w:szCs w:val="18"/>
              </w:rPr>
              <w:t xml:space="preserve">Alianza Agroindustrial Interna: </w:t>
            </w:r>
            <w:proofErr w:type="spellStart"/>
            <w:r w:rsidRPr="002C42F6">
              <w:rPr>
                <w:sz w:val="18"/>
                <w:szCs w:val="18"/>
              </w:rPr>
              <w:t>Mecatrónica</w:t>
            </w:r>
            <w:proofErr w:type="spellEnd"/>
            <w:r w:rsidRPr="002C42F6">
              <w:rPr>
                <w:sz w:val="18"/>
                <w:szCs w:val="18"/>
              </w:rPr>
              <w:t xml:space="preserve">, </w:t>
            </w:r>
          </w:p>
        </w:tc>
      </w:tr>
      <w:tr w:rsidR="00024273" w:rsidRPr="002C42F6" w:rsidTr="005678E7">
        <w:trPr>
          <w:cnfStyle w:val="000000010000" w:firstRow="0" w:lastRow="0" w:firstColumn="0" w:lastColumn="0" w:oddVBand="0" w:evenVBand="0" w:oddHBand="0" w:evenHBand="1" w:firstRowFirstColumn="0" w:firstRowLastColumn="0" w:lastRowFirstColumn="0" w:lastRowLastColumn="0"/>
          <w:trHeight w:val="20"/>
        </w:trPr>
        <w:tc>
          <w:tcPr>
            <w:cnfStyle w:val="000010000000" w:firstRow="0" w:lastRow="0" w:firstColumn="0" w:lastColumn="0" w:oddVBand="1" w:evenVBand="0" w:oddHBand="0" w:evenHBand="0" w:firstRowFirstColumn="0" w:firstRowLastColumn="0" w:lastRowFirstColumn="0" w:lastRowLastColumn="0"/>
            <w:tcW w:w="2763" w:type="dxa"/>
            <w:vAlign w:val="center"/>
          </w:tcPr>
          <w:p w:rsidR="00024273" w:rsidRPr="002C42F6" w:rsidRDefault="00024273" w:rsidP="005678E7">
            <w:pPr>
              <w:pStyle w:val="Sinespaciado"/>
              <w:rPr>
                <w:sz w:val="18"/>
                <w:szCs w:val="18"/>
              </w:rPr>
            </w:pPr>
            <w:r w:rsidRPr="002C42F6">
              <w:rPr>
                <w:sz w:val="18"/>
                <w:szCs w:val="18"/>
              </w:rPr>
              <w:t xml:space="preserve">Alianza con Grupo Juveniles, </w:t>
            </w:r>
          </w:p>
        </w:tc>
        <w:tc>
          <w:tcPr>
            <w:tcW w:w="2763" w:type="dxa"/>
            <w:vAlign w:val="center"/>
          </w:tcPr>
          <w:p w:rsidR="00024273" w:rsidRPr="002C42F6" w:rsidRDefault="00024273" w:rsidP="005678E7">
            <w:pPr>
              <w:pStyle w:val="Sinespaciado"/>
              <w:cnfStyle w:val="000000010000" w:firstRow="0" w:lastRow="0" w:firstColumn="0" w:lastColumn="0" w:oddVBand="0" w:evenVBand="0" w:oddHBand="0" w:evenHBand="1" w:firstRowFirstColumn="0" w:firstRowLastColumn="0" w:lastRowFirstColumn="0" w:lastRowLastColumn="0"/>
              <w:rPr>
                <w:sz w:val="18"/>
                <w:szCs w:val="18"/>
              </w:rPr>
            </w:pPr>
            <w:r w:rsidRPr="002C42F6">
              <w:rPr>
                <w:sz w:val="18"/>
                <w:szCs w:val="18"/>
              </w:rPr>
              <w:t xml:space="preserve">Concejo Municipal de Pereira, </w:t>
            </w:r>
          </w:p>
        </w:tc>
        <w:tc>
          <w:tcPr>
            <w:cnfStyle w:val="000010000000" w:firstRow="0" w:lastRow="0" w:firstColumn="0" w:lastColumn="0" w:oddVBand="1" w:evenVBand="0" w:oddHBand="0" w:evenHBand="0" w:firstRowFirstColumn="0" w:firstRowLastColumn="0" w:lastRowFirstColumn="0" w:lastRowLastColumn="0"/>
            <w:tcW w:w="3371" w:type="dxa"/>
            <w:vAlign w:val="center"/>
          </w:tcPr>
          <w:p w:rsidR="00024273" w:rsidRPr="002C42F6" w:rsidRDefault="00024273" w:rsidP="005678E7">
            <w:pPr>
              <w:pStyle w:val="Sinespaciado"/>
              <w:rPr>
                <w:sz w:val="18"/>
                <w:szCs w:val="18"/>
              </w:rPr>
            </w:pPr>
            <w:r w:rsidRPr="002C42F6">
              <w:rPr>
                <w:sz w:val="18"/>
                <w:szCs w:val="18"/>
              </w:rPr>
              <w:t xml:space="preserve">Alma Mater, </w:t>
            </w:r>
          </w:p>
        </w:tc>
      </w:tr>
      <w:tr w:rsidR="00024273" w:rsidRPr="002C42F6" w:rsidTr="005678E7">
        <w:trPr>
          <w:cnfStyle w:val="000000100000" w:firstRow="0" w:lastRow="0" w:firstColumn="0" w:lastColumn="0" w:oddVBand="0" w:evenVBand="0" w:oddHBand="1" w:evenHBand="0" w:firstRowFirstColumn="0" w:firstRowLastColumn="0" w:lastRowFirstColumn="0" w:lastRowLastColumn="0"/>
          <w:trHeight w:val="20"/>
        </w:trPr>
        <w:tc>
          <w:tcPr>
            <w:cnfStyle w:val="000010000000" w:firstRow="0" w:lastRow="0" w:firstColumn="0" w:lastColumn="0" w:oddVBand="1" w:evenVBand="0" w:oddHBand="0" w:evenHBand="0" w:firstRowFirstColumn="0" w:firstRowLastColumn="0" w:lastRowFirstColumn="0" w:lastRowLastColumn="0"/>
            <w:tcW w:w="2763" w:type="dxa"/>
            <w:vAlign w:val="center"/>
          </w:tcPr>
          <w:p w:rsidR="00024273" w:rsidRPr="002C42F6" w:rsidRDefault="00024273" w:rsidP="005678E7">
            <w:pPr>
              <w:pStyle w:val="Sinespaciado"/>
              <w:rPr>
                <w:sz w:val="18"/>
                <w:szCs w:val="18"/>
              </w:rPr>
            </w:pPr>
            <w:r w:rsidRPr="002C42F6">
              <w:rPr>
                <w:sz w:val="18"/>
                <w:szCs w:val="18"/>
              </w:rPr>
              <w:t xml:space="preserve">Juntas de Acción Comunal y Gestores Sociales, </w:t>
            </w:r>
          </w:p>
        </w:tc>
        <w:tc>
          <w:tcPr>
            <w:tcW w:w="2763" w:type="dxa"/>
            <w:vAlign w:val="center"/>
          </w:tcPr>
          <w:p w:rsidR="00024273" w:rsidRPr="002C42F6" w:rsidRDefault="00024273" w:rsidP="005678E7">
            <w:pPr>
              <w:pStyle w:val="Sinespaciado"/>
              <w:cnfStyle w:val="000000100000" w:firstRow="0" w:lastRow="0" w:firstColumn="0" w:lastColumn="0" w:oddVBand="0" w:evenVBand="0" w:oddHBand="1" w:evenHBand="0" w:firstRowFirstColumn="0" w:firstRowLastColumn="0" w:lastRowFirstColumn="0" w:lastRowLastColumn="0"/>
              <w:rPr>
                <w:sz w:val="18"/>
                <w:szCs w:val="18"/>
              </w:rPr>
            </w:pPr>
            <w:r w:rsidRPr="002C42F6">
              <w:rPr>
                <w:sz w:val="18"/>
                <w:szCs w:val="18"/>
              </w:rPr>
              <w:t xml:space="preserve">Rectores Colegios Núcleo No 8, </w:t>
            </w:r>
          </w:p>
        </w:tc>
        <w:tc>
          <w:tcPr>
            <w:cnfStyle w:val="000010000000" w:firstRow="0" w:lastRow="0" w:firstColumn="0" w:lastColumn="0" w:oddVBand="1" w:evenVBand="0" w:oddHBand="0" w:evenHBand="0" w:firstRowFirstColumn="0" w:firstRowLastColumn="0" w:lastRowFirstColumn="0" w:lastRowLastColumn="0"/>
            <w:tcW w:w="3371" w:type="dxa"/>
            <w:vAlign w:val="center"/>
          </w:tcPr>
          <w:p w:rsidR="00024273" w:rsidRPr="002C42F6" w:rsidRDefault="00024273" w:rsidP="005678E7">
            <w:pPr>
              <w:pStyle w:val="Sinespaciado"/>
              <w:rPr>
                <w:sz w:val="18"/>
                <w:szCs w:val="18"/>
              </w:rPr>
            </w:pPr>
            <w:r w:rsidRPr="002C42F6">
              <w:rPr>
                <w:sz w:val="18"/>
                <w:szCs w:val="18"/>
              </w:rPr>
              <w:t xml:space="preserve">RUDE Colombia, </w:t>
            </w:r>
          </w:p>
        </w:tc>
      </w:tr>
      <w:tr w:rsidR="00024273" w:rsidRPr="002C42F6" w:rsidTr="005678E7">
        <w:trPr>
          <w:cnfStyle w:val="000000010000" w:firstRow="0" w:lastRow="0" w:firstColumn="0" w:lastColumn="0" w:oddVBand="0" w:evenVBand="0" w:oddHBand="0" w:evenHBand="1" w:firstRowFirstColumn="0" w:firstRowLastColumn="0" w:lastRowFirstColumn="0" w:lastRowLastColumn="0"/>
          <w:trHeight w:val="20"/>
        </w:trPr>
        <w:tc>
          <w:tcPr>
            <w:cnfStyle w:val="000010000000" w:firstRow="0" w:lastRow="0" w:firstColumn="0" w:lastColumn="0" w:oddVBand="1" w:evenVBand="0" w:oddHBand="0" w:evenHBand="0" w:firstRowFirstColumn="0" w:firstRowLastColumn="0" w:lastRowFirstColumn="0" w:lastRowLastColumn="0"/>
            <w:tcW w:w="2763" w:type="dxa"/>
            <w:vAlign w:val="center"/>
          </w:tcPr>
          <w:p w:rsidR="00024273" w:rsidRPr="002C42F6" w:rsidRDefault="00024273" w:rsidP="005678E7">
            <w:pPr>
              <w:pStyle w:val="Sinespaciado"/>
              <w:rPr>
                <w:sz w:val="18"/>
                <w:szCs w:val="18"/>
              </w:rPr>
            </w:pPr>
            <w:r w:rsidRPr="002C42F6">
              <w:rPr>
                <w:sz w:val="18"/>
                <w:szCs w:val="18"/>
              </w:rPr>
              <w:t xml:space="preserve">Alianza </w:t>
            </w:r>
            <w:proofErr w:type="spellStart"/>
            <w:r w:rsidRPr="002C42F6">
              <w:rPr>
                <w:sz w:val="18"/>
                <w:szCs w:val="18"/>
              </w:rPr>
              <w:t>Parquesoft</w:t>
            </w:r>
            <w:proofErr w:type="spellEnd"/>
            <w:r w:rsidRPr="002C42F6">
              <w:rPr>
                <w:sz w:val="18"/>
                <w:szCs w:val="18"/>
              </w:rPr>
              <w:t xml:space="preserve">, </w:t>
            </w:r>
          </w:p>
        </w:tc>
        <w:tc>
          <w:tcPr>
            <w:tcW w:w="2763" w:type="dxa"/>
            <w:vAlign w:val="center"/>
          </w:tcPr>
          <w:p w:rsidR="00024273" w:rsidRPr="002C42F6" w:rsidRDefault="00024273" w:rsidP="005678E7">
            <w:pPr>
              <w:pStyle w:val="Sinespaciado"/>
              <w:cnfStyle w:val="000000010000" w:firstRow="0" w:lastRow="0" w:firstColumn="0" w:lastColumn="0" w:oddVBand="0" w:evenVBand="0" w:oddHBand="0" w:evenHBand="1" w:firstRowFirstColumn="0" w:firstRowLastColumn="0" w:lastRowFirstColumn="0" w:lastRowLastColumn="0"/>
              <w:rPr>
                <w:sz w:val="18"/>
                <w:szCs w:val="18"/>
              </w:rPr>
            </w:pPr>
            <w:r w:rsidRPr="002C42F6">
              <w:rPr>
                <w:sz w:val="18"/>
                <w:szCs w:val="18"/>
              </w:rPr>
              <w:t xml:space="preserve">Instituciones de atención a primera infancia. </w:t>
            </w:r>
          </w:p>
        </w:tc>
        <w:tc>
          <w:tcPr>
            <w:cnfStyle w:val="000010000000" w:firstRow="0" w:lastRow="0" w:firstColumn="0" w:lastColumn="0" w:oddVBand="1" w:evenVBand="0" w:oddHBand="0" w:evenHBand="0" w:firstRowFirstColumn="0" w:firstRowLastColumn="0" w:lastRowFirstColumn="0" w:lastRowLastColumn="0"/>
            <w:tcW w:w="3371" w:type="dxa"/>
            <w:vAlign w:val="center"/>
          </w:tcPr>
          <w:p w:rsidR="00024273" w:rsidRPr="002C42F6" w:rsidRDefault="00024273" w:rsidP="005678E7">
            <w:pPr>
              <w:pStyle w:val="Sinespaciado"/>
              <w:rPr>
                <w:sz w:val="18"/>
                <w:szCs w:val="18"/>
              </w:rPr>
            </w:pPr>
            <w:proofErr w:type="spellStart"/>
            <w:r w:rsidRPr="002C42F6">
              <w:rPr>
                <w:sz w:val="18"/>
                <w:szCs w:val="18"/>
              </w:rPr>
              <w:t>Comfamiliar</w:t>
            </w:r>
            <w:proofErr w:type="spellEnd"/>
            <w:r w:rsidRPr="002C42F6">
              <w:rPr>
                <w:sz w:val="18"/>
                <w:szCs w:val="18"/>
              </w:rPr>
              <w:t xml:space="preserve"> Risaralda, </w:t>
            </w:r>
          </w:p>
        </w:tc>
      </w:tr>
      <w:tr w:rsidR="00024273" w:rsidRPr="002C42F6" w:rsidTr="005678E7">
        <w:trPr>
          <w:cnfStyle w:val="000000100000" w:firstRow="0" w:lastRow="0" w:firstColumn="0" w:lastColumn="0" w:oddVBand="0" w:evenVBand="0" w:oddHBand="1" w:evenHBand="0" w:firstRowFirstColumn="0" w:firstRowLastColumn="0" w:lastRowFirstColumn="0" w:lastRowLastColumn="0"/>
          <w:trHeight w:val="20"/>
        </w:trPr>
        <w:tc>
          <w:tcPr>
            <w:cnfStyle w:val="000010000000" w:firstRow="0" w:lastRow="0" w:firstColumn="0" w:lastColumn="0" w:oddVBand="1" w:evenVBand="0" w:oddHBand="0" w:evenHBand="0" w:firstRowFirstColumn="0" w:firstRowLastColumn="0" w:lastRowFirstColumn="0" w:lastRowLastColumn="0"/>
            <w:tcW w:w="2763" w:type="dxa"/>
            <w:vAlign w:val="center"/>
          </w:tcPr>
          <w:p w:rsidR="00024273" w:rsidRPr="002C42F6" w:rsidRDefault="00024273" w:rsidP="005678E7">
            <w:pPr>
              <w:pStyle w:val="Sinespaciado"/>
              <w:rPr>
                <w:sz w:val="18"/>
                <w:szCs w:val="18"/>
              </w:rPr>
            </w:pPr>
            <w:r w:rsidRPr="002C42F6">
              <w:rPr>
                <w:sz w:val="18"/>
                <w:szCs w:val="18"/>
              </w:rPr>
              <w:t xml:space="preserve">Incubar, </w:t>
            </w:r>
          </w:p>
        </w:tc>
        <w:tc>
          <w:tcPr>
            <w:tcW w:w="2763" w:type="dxa"/>
            <w:vAlign w:val="center"/>
          </w:tcPr>
          <w:p w:rsidR="00024273" w:rsidRPr="002C42F6" w:rsidRDefault="00024273" w:rsidP="005678E7">
            <w:pPr>
              <w:pStyle w:val="Sinespaciado"/>
              <w:cnfStyle w:val="000000100000" w:firstRow="0" w:lastRow="0" w:firstColumn="0" w:lastColumn="0" w:oddVBand="0" w:evenVBand="0" w:oddHBand="1" w:evenHBand="0" w:firstRowFirstColumn="0" w:firstRowLastColumn="0" w:lastRowFirstColumn="0" w:lastRowLastColumn="0"/>
              <w:rPr>
                <w:sz w:val="18"/>
                <w:szCs w:val="18"/>
              </w:rPr>
            </w:pPr>
            <w:r w:rsidRPr="002C42F6">
              <w:rPr>
                <w:sz w:val="18"/>
                <w:szCs w:val="18"/>
              </w:rPr>
              <w:t xml:space="preserve">Gobernación – UTP- Alcaldías:  Risaralda Profesional, </w:t>
            </w:r>
          </w:p>
        </w:tc>
        <w:tc>
          <w:tcPr>
            <w:cnfStyle w:val="000010000000" w:firstRow="0" w:lastRow="0" w:firstColumn="0" w:lastColumn="0" w:oddVBand="1" w:evenVBand="0" w:oddHBand="0" w:evenHBand="0" w:firstRowFirstColumn="0" w:firstRowLastColumn="0" w:lastRowFirstColumn="0" w:lastRowLastColumn="0"/>
            <w:tcW w:w="3371" w:type="dxa"/>
            <w:vAlign w:val="center"/>
          </w:tcPr>
          <w:p w:rsidR="00024273" w:rsidRPr="002C42F6" w:rsidRDefault="00024273" w:rsidP="005678E7">
            <w:pPr>
              <w:pStyle w:val="Sinespaciado"/>
              <w:rPr>
                <w:sz w:val="18"/>
                <w:szCs w:val="18"/>
              </w:rPr>
            </w:pPr>
            <w:r w:rsidRPr="002C42F6">
              <w:rPr>
                <w:sz w:val="18"/>
                <w:szCs w:val="18"/>
              </w:rPr>
              <w:t xml:space="preserve">Centro Colombo Americano de Pereira, </w:t>
            </w:r>
          </w:p>
        </w:tc>
      </w:tr>
      <w:tr w:rsidR="00024273" w:rsidRPr="002C42F6" w:rsidTr="005678E7">
        <w:trPr>
          <w:cnfStyle w:val="000000010000" w:firstRow="0" w:lastRow="0" w:firstColumn="0" w:lastColumn="0" w:oddVBand="0" w:evenVBand="0" w:oddHBand="0" w:evenHBand="1" w:firstRowFirstColumn="0" w:firstRowLastColumn="0" w:lastRowFirstColumn="0" w:lastRowLastColumn="0"/>
          <w:trHeight w:val="20"/>
        </w:trPr>
        <w:tc>
          <w:tcPr>
            <w:cnfStyle w:val="000010000000" w:firstRow="0" w:lastRow="0" w:firstColumn="0" w:lastColumn="0" w:oddVBand="1" w:evenVBand="0" w:oddHBand="0" w:evenHBand="0" w:firstRowFirstColumn="0" w:firstRowLastColumn="0" w:lastRowFirstColumn="0" w:lastRowLastColumn="0"/>
            <w:tcW w:w="2763" w:type="dxa"/>
            <w:vAlign w:val="center"/>
          </w:tcPr>
          <w:p w:rsidR="00024273" w:rsidRPr="002C42F6" w:rsidRDefault="00024273" w:rsidP="005678E7">
            <w:pPr>
              <w:pStyle w:val="Sinespaciado"/>
              <w:rPr>
                <w:sz w:val="18"/>
                <w:szCs w:val="18"/>
              </w:rPr>
            </w:pPr>
            <w:r w:rsidRPr="002C42F6">
              <w:rPr>
                <w:sz w:val="18"/>
                <w:szCs w:val="18"/>
              </w:rPr>
              <w:t xml:space="preserve">Partidos Políticos – Candidatos, </w:t>
            </w:r>
          </w:p>
        </w:tc>
        <w:tc>
          <w:tcPr>
            <w:tcW w:w="2763" w:type="dxa"/>
            <w:vAlign w:val="center"/>
          </w:tcPr>
          <w:p w:rsidR="00024273" w:rsidRPr="002C42F6" w:rsidRDefault="00024273" w:rsidP="005678E7">
            <w:pPr>
              <w:pStyle w:val="Sinespaciado"/>
              <w:cnfStyle w:val="000000010000" w:firstRow="0" w:lastRow="0" w:firstColumn="0" w:lastColumn="0" w:oddVBand="0" w:evenVBand="0" w:oddHBand="0" w:evenHBand="1" w:firstRowFirstColumn="0" w:firstRowLastColumn="0" w:lastRowFirstColumn="0" w:lastRowLastColumn="0"/>
              <w:rPr>
                <w:sz w:val="18"/>
                <w:szCs w:val="18"/>
              </w:rPr>
            </w:pPr>
            <w:r w:rsidRPr="002C42F6">
              <w:rPr>
                <w:sz w:val="18"/>
                <w:szCs w:val="18"/>
              </w:rPr>
              <w:t xml:space="preserve">Convenio CARDER – UTP,  </w:t>
            </w:r>
          </w:p>
        </w:tc>
        <w:tc>
          <w:tcPr>
            <w:cnfStyle w:val="000010000000" w:firstRow="0" w:lastRow="0" w:firstColumn="0" w:lastColumn="0" w:oddVBand="1" w:evenVBand="0" w:oddHBand="0" w:evenHBand="0" w:firstRowFirstColumn="0" w:firstRowLastColumn="0" w:lastRowFirstColumn="0" w:lastRowLastColumn="0"/>
            <w:tcW w:w="3371" w:type="dxa"/>
            <w:vAlign w:val="center"/>
          </w:tcPr>
          <w:p w:rsidR="00024273" w:rsidRPr="002C42F6" w:rsidRDefault="00024273" w:rsidP="005678E7">
            <w:pPr>
              <w:pStyle w:val="Sinespaciado"/>
              <w:rPr>
                <w:sz w:val="18"/>
                <w:szCs w:val="18"/>
              </w:rPr>
            </w:pPr>
            <w:r w:rsidRPr="002C42F6">
              <w:rPr>
                <w:sz w:val="18"/>
                <w:szCs w:val="18"/>
              </w:rPr>
              <w:t xml:space="preserve">RADAR, </w:t>
            </w:r>
          </w:p>
        </w:tc>
      </w:tr>
      <w:tr w:rsidR="00024273" w:rsidRPr="002C42F6" w:rsidTr="005678E7">
        <w:trPr>
          <w:cnfStyle w:val="000000100000" w:firstRow="0" w:lastRow="0" w:firstColumn="0" w:lastColumn="0" w:oddVBand="0" w:evenVBand="0" w:oddHBand="1" w:evenHBand="0" w:firstRowFirstColumn="0" w:firstRowLastColumn="0" w:lastRowFirstColumn="0" w:lastRowLastColumn="0"/>
          <w:trHeight w:val="20"/>
        </w:trPr>
        <w:tc>
          <w:tcPr>
            <w:cnfStyle w:val="000010000000" w:firstRow="0" w:lastRow="0" w:firstColumn="0" w:lastColumn="0" w:oddVBand="1" w:evenVBand="0" w:oddHBand="0" w:evenHBand="0" w:firstRowFirstColumn="0" w:firstRowLastColumn="0" w:lastRowFirstColumn="0" w:lastRowLastColumn="0"/>
            <w:tcW w:w="2763" w:type="dxa"/>
            <w:vAlign w:val="center"/>
          </w:tcPr>
          <w:p w:rsidR="00024273" w:rsidRPr="002C42F6" w:rsidRDefault="00024273" w:rsidP="005678E7">
            <w:pPr>
              <w:pStyle w:val="Sinespaciado"/>
              <w:rPr>
                <w:sz w:val="18"/>
                <w:szCs w:val="18"/>
              </w:rPr>
            </w:pPr>
            <w:r w:rsidRPr="002C42F6">
              <w:rPr>
                <w:sz w:val="18"/>
                <w:szCs w:val="18"/>
              </w:rPr>
              <w:t xml:space="preserve">Sector Ambiental, </w:t>
            </w:r>
          </w:p>
        </w:tc>
        <w:tc>
          <w:tcPr>
            <w:tcW w:w="2763" w:type="dxa"/>
            <w:vAlign w:val="center"/>
          </w:tcPr>
          <w:p w:rsidR="00024273" w:rsidRPr="002C42F6" w:rsidRDefault="00024273" w:rsidP="005678E7">
            <w:pPr>
              <w:pStyle w:val="Sinespaciado"/>
              <w:cnfStyle w:val="000000100000" w:firstRow="0" w:lastRow="0" w:firstColumn="0" w:lastColumn="0" w:oddVBand="0" w:evenVBand="0" w:oddHBand="1" w:evenHBand="0" w:firstRowFirstColumn="0" w:firstRowLastColumn="0" w:lastRowFirstColumn="0" w:lastRowLastColumn="0"/>
              <w:rPr>
                <w:sz w:val="18"/>
                <w:szCs w:val="18"/>
              </w:rPr>
            </w:pPr>
            <w:r w:rsidRPr="002C42F6">
              <w:rPr>
                <w:sz w:val="18"/>
                <w:szCs w:val="18"/>
              </w:rPr>
              <w:t xml:space="preserve">Red de Nodos (Colciencias, Alcaldía, Gobernación), </w:t>
            </w:r>
          </w:p>
        </w:tc>
        <w:tc>
          <w:tcPr>
            <w:cnfStyle w:val="000010000000" w:firstRow="0" w:lastRow="0" w:firstColumn="0" w:lastColumn="0" w:oddVBand="1" w:evenVBand="0" w:oddHBand="0" w:evenHBand="0" w:firstRowFirstColumn="0" w:firstRowLastColumn="0" w:lastRowFirstColumn="0" w:lastRowLastColumn="0"/>
            <w:tcW w:w="3371" w:type="dxa"/>
            <w:vAlign w:val="center"/>
          </w:tcPr>
          <w:p w:rsidR="00024273" w:rsidRPr="002C42F6" w:rsidRDefault="00024273" w:rsidP="005678E7">
            <w:pPr>
              <w:pStyle w:val="Sinespaciado"/>
              <w:rPr>
                <w:sz w:val="18"/>
                <w:szCs w:val="18"/>
              </w:rPr>
            </w:pPr>
            <w:proofErr w:type="spellStart"/>
            <w:r w:rsidRPr="002C42F6">
              <w:rPr>
                <w:sz w:val="18"/>
                <w:szCs w:val="18"/>
              </w:rPr>
              <w:t>Frisby</w:t>
            </w:r>
            <w:proofErr w:type="spellEnd"/>
            <w:r w:rsidRPr="002C42F6">
              <w:rPr>
                <w:sz w:val="18"/>
                <w:szCs w:val="18"/>
              </w:rPr>
              <w:t xml:space="preserve"> y Fundación </w:t>
            </w:r>
            <w:proofErr w:type="spellStart"/>
            <w:r w:rsidRPr="002C42F6">
              <w:rPr>
                <w:sz w:val="18"/>
                <w:szCs w:val="18"/>
              </w:rPr>
              <w:t>Frisby</w:t>
            </w:r>
            <w:proofErr w:type="spellEnd"/>
            <w:r w:rsidRPr="002C42F6">
              <w:rPr>
                <w:sz w:val="18"/>
                <w:szCs w:val="18"/>
              </w:rPr>
              <w:t xml:space="preserve">  </w:t>
            </w:r>
          </w:p>
        </w:tc>
      </w:tr>
      <w:tr w:rsidR="00024273" w:rsidRPr="002C42F6" w:rsidTr="005678E7">
        <w:trPr>
          <w:cnfStyle w:val="000000010000" w:firstRow="0" w:lastRow="0" w:firstColumn="0" w:lastColumn="0" w:oddVBand="0" w:evenVBand="0" w:oddHBand="0" w:evenHBand="1" w:firstRowFirstColumn="0" w:firstRowLastColumn="0" w:lastRowFirstColumn="0" w:lastRowLastColumn="0"/>
          <w:trHeight w:val="20"/>
        </w:trPr>
        <w:tc>
          <w:tcPr>
            <w:cnfStyle w:val="000010000000" w:firstRow="0" w:lastRow="0" w:firstColumn="0" w:lastColumn="0" w:oddVBand="1" w:evenVBand="0" w:oddHBand="0" w:evenHBand="0" w:firstRowFirstColumn="0" w:firstRowLastColumn="0" w:lastRowFirstColumn="0" w:lastRowLastColumn="0"/>
            <w:tcW w:w="2763" w:type="dxa"/>
            <w:vAlign w:val="center"/>
          </w:tcPr>
          <w:p w:rsidR="00024273" w:rsidRPr="002C42F6" w:rsidRDefault="00024273" w:rsidP="005678E7">
            <w:pPr>
              <w:pStyle w:val="Sinespaciado"/>
              <w:rPr>
                <w:sz w:val="18"/>
                <w:szCs w:val="18"/>
              </w:rPr>
            </w:pPr>
            <w:r w:rsidRPr="002C42F6">
              <w:rPr>
                <w:sz w:val="18"/>
                <w:szCs w:val="18"/>
              </w:rPr>
              <w:t xml:space="preserve">ANDI, </w:t>
            </w:r>
          </w:p>
        </w:tc>
        <w:tc>
          <w:tcPr>
            <w:tcW w:w="2763" w:type="dxa"/>
            <w:vAlign w:val="center"/>
          </w:tcPr>
          <w:p w:rsidR="00024273" w:rsidRPr="002C42F6" w:rsidRDefault="00024273" w:rsidP="005678E7">
            <w:pPr>
              <w:pStyle w:val="Sinespaciado"/>
              <w:cnfStyle w:val="000000010000" w:firstRow="0" w:lastRow="0" w:firstColumn="0" w:lastColumn="0" w:oddVBand="0" w:evenVBand="0" w:oddHBand="0" w:evenHBand="1" w:firstRowFirstColumn="0" w:firstRowLastColumn="0" w:lastRowFirstColumn="0" w:lastRowLastColumn="0"/>
              <w:rPr>
                <w:sz w:val="18"/>
                <w:szCs w:val="18"/>
              </w:rPr>
            </w:pPr>
            <w:r w:rsidRPr="002C42F6">
              <w:rPr>
                <w:sz w:val="18"/>
                <w:szCs w:val="18"/>
              </w:rPr>
              <w:t xml:space="preserve">CIEBREG, </w:t>
            </w:r>
          </w:p>
        </w:tc>
        <w:tc>
          <w:tcPr>
            <w:cnfStyle w:val="000010000000" w:firstRow="0" w:lastRow="0" w:firstColumn="0" w:lastColumn="0" w:oddVBand="1" w:evenVBand="0" w:oddHBand="0" w:evenHBand="0" w:firstRowFirstColumn="0" w:firstRowLastColumn="0" w:lastRowFirstColumn="0" w:lastRowLastColumn="0"/>
            <w:tcW w:w="3371" w:type="dxa"/>
            <w:vAlign w:val="center"/>
          </w:tcPr>
          <w:p w:rsidR="00024273" w:rsidRPr="002C42F6" w:rsidRDefault="00024273" w:rsidP="005678E7">
            <w:pPr>
              <w:pStyle w:val="Sinespaciado"/>
              <w:rPr>
                <w:sz w:val="18"/>
                <w:szCs w:val="18"/>
              </w:rPr>
            </w:pPr>
            <w:r w:rsidRPr="002C42F6">
              <w:rPr>
                <w:sz w:val="18"/>
                <w:szCs w:val="18"/>
              </w:rPr>
              <w:t>Centrales Obreras.</w:t>
            </w:r>
          </w:p>
        </w:tc>
      </w:tr>
      <w:tr w:rsidR="00024273" w:rsidRPr="002C42F6" w:rsidTr="005678E7">
        <w:trPr>
          <w:cnfStyle w:val="000000100000" w:firstRow="0" w:lastRow="0" w:firstColumn="0" w:lastColumn="0" w:oddVBand="0" w:evenVBand="0" w:oddHBand="1" w:evenHBand="0" w:firstRowFirstColumn="0" w:firstRowLastColumn="0" w:lastRowFirstColumn="0" w:lastRowLastColumn="0"/>
          <w:trHeight w:val="20"/>
        </w:trPr>
        <w:tc>
          <w:tcPr>
            <w:cnfStyle w:val="000010000000" w:firstRow="0" w:lastRow="0" w:firstColumn="0" w:lastColumn="0" w:oddVBand="1" w:evenVBand="0" w:oddHBand="0" w:evenHBand="0" w:firstRowFirstColumn="0" w:firstRowLastColumn="0" w:lastRowFirstColumn="0" w:lastRowLastColumn="0"/>
            <w:tcW w:w="2763" w:type="dxa"/>
            <w:vAlign w:val="center"/>
          </w:tcPr>
          <w:p w:rsidR="00024273" w:rsidRPr="002C42F6" w:rsidRDefault="00024273" w:rsidP="005678E7">
            <w:pPr>
              <w:pStyle w:val="Sinespaciado"/>
              <w:rPr>
                <w:sz w:val="18"/>
                <w:szCs w:val="18"/>
              </w:rPr>
            </w:pPr>
            <w:r w:rsidRPr="002C42F6">
              <w:rPr>
                <w:sz w:val="18"/>
                <w:szCs w:val="18"/>
              </w:rPr>
              <w:t xml:space="preserve">Egresados UTP, </w:t>
            </w:r>
          </w:p>
        </w:tc>
        <w:tc>
          <w:tcPr>
            <w:tcW w:w="2763" w:type="dxa"/>
            <w:vAlign w:val="center"/>
          </w:tcPr>
          <w:p w:rsidR="00024273" w:rsidRPr="002C42F6" w:rsidRDefault="00024273" w:rsidP="005678E7">
            <w:pPr>
              <w:pStyle w:val="Sinespaciado"/>
              <w:cnfStyle w:val="000000100000" w:firstRow="0" w:lastRow="0" w:firstColumn="0" w:lastColumn="0" w:oddVBand="0" w:evenVBand="0" w:oddHBand="1" w:evenHBand="0" w:firstRowFirstColumn="0" w:firstRowLastColumn="0" w:lastRowFirstColumn="0" w:lastRowLastColumn="0"/>
              <w:rPr>
                <w:sz w:val="18"/>
                <w:szCs w:val="18"/>
              </w:rPr>
            </w:pPr>
            <w:r w:rsidRPr="002C42F6">
              <w:rPr>
                <w:sz w:val="18"/>
                <w:szCs w:val="18"/>
              </w:rPr>
              <w:t>CERES (Ministerio de Educación),</w:t>
            </w:r>
          </w:p>
        </w:tc>
        <w:tc>
          <w:tcPr>
            <w:cnfStyle w:val="000010000000" w:firstRow="0" w:lastRow="0" w:firstColumn="0" w:lastColumn="0" w:oddVBand="1" w:evenVBand="0" w:oddHBand="0" w:evenHBand="0" w:firstRowFirstColumn="0" w:firstRowLastColumn="0" w:lastRowFirstColumn="0" w:lastRowLastColumn="0"/>
            <w:tcW w:w="3371" w:type="dxa"/>
            <w:vAlign w:val="center"/>
          </w:tcPr>
          <w:p w:rsidR="00024273" w:rsidRPr="002C42F6" w:rsidRDefault="00024273" w:rsidP="005678E7">
            <w:pPr>
              <w:pStyle w:val="Sinespaciado"/>
              <w:rPr>
                <w:sz w:val="18"/>
                <w:szCs w:val="18"/>
              </w:rPr>
            </w:pPr>
          </w:p>
        </w:tc>
      </w:tr>
    </w:tbl>
    <w:p w:rsidR="00024273" w:rsidRPr="00C976E9" w:rsidRDefault="00024273" w:rsidP="00024273">
      <w:pPr>
        <w:autoSpaceDE w:val="0"/>
        <w:autoSpaceDN w:val="0"/>
        <w:adjustRightInd w:val="0"/>
        <w:spacing w:after="0"/>
        <w:jc w:val="center"/>
        <w:rPr>
          <w:rFonts w:cs="Calibri"/>
          <w:b/>
          <w:color w:val="000000"/>
          <w:sz w:val="24"/>
          <w:szCs w:val="24"/>
        </w:rPr>
      </w:pPr>
      <w:r>
        <w:rPr>
          <w:rFonts w:cs="Calibri"/>
          <w:b/>
          <w:color w:val="000000"/>
          <w:sz w:val="24"/>
          <w:szCs w:val="24"/>
        </w:rPr>
        <w:t>Fuente: SIGOB</w:t>
      </w:r>
    </w:p>
    <w:p w:rsidR="00E81064" w:rsidRDefault="00E81064" w:rsidP="00E81064">
      <w:pPr>
        <w:autoSpaceDE w:val="0"/>
        <w:autoSpaceDN w:val="0"/>
        <w:adjustRightInd w:val="0"/>
        <w:spacing w:after="0"/>
        <w:jc w:val="left"/>
        <w:rPr>
          <w:rFonts w:cs="Calibri"/>
          <w:color w:val="000000"/>
          <w:sz w:val="24"/>
          <w:szCs w:val="24"/>
        </w:rPr>
      </w:pPr>
    </w:p>
    <w:p w:rsidR="00E81064" w:rsidRPr="00504360" w:rsidRDefault="00E81064" w:rsidP="00E81064">
      <w:r w:rsidRPr="00504360">
        <w:t>Uno de los proyectos bandera de este objetivo es la sociedad en movimiento (antes denominada movilización social) que lleva a cabo una estrategia de difusión, como un ejercicio comunicativo, donde se genera una relación directa con diferentes actores e instituciones para dar a conocer el proceso de desarrollo de la Sociedad en Movimiento, los beneficios de su participación y el aporte que puede realizar como persona, participar en la discusión pública para la construcción y aprobación de políticas públicas incluyentes, sumar capacidades para incrementar los resultados del Proyecto Red de Nodos de Innovación, Ciencia y Tecnología, entre otros; todo lo anterior enmarcado en la firma de un Memorandos de Entendimiento y Cooperación.</w:t>
      </w:r>
    </w:p>
    <w:p w:rsidR="00E81064" w:rsidRPr="00504360" w:rsidRDefault="00E81064" w:rsidP="00E81064">
      <w:r w:rsidRPr="00504360">
        <w:t>Realizando este ejercicio constante y gracias a la gestión de los actores que se han involucrado en el proceso, a la fecha se tienen treinta (30) memorandos de entendimiento firmados, de los cuales los dos últimos corresponden a KINOA y medios de comunicación.</w:t>
      </w:r>
    </w:p>
    <w:p w:rsidR="00E81064" w:rsidRPr="00504360" w:rsidRDefault="00E81064" w:rsidP="00E81064">
      <w:r w:rsidRPr="00504360">
        <w:t>Se cuenta además con un avance cualitativo que comprende los diferentes diálogos que se han establecido con la Comisión Regional de Competitividad para la política pública en el tema y con la Gobernación para la política pública de primera infancia en el departamento; adicionalmente la política pública de bilingüismo departamental, en la cual la Sociedad en Movimiento ha participado en su construcción, se encuentra en revisión por parte de Hacienda en la Asamblea.</w:t>
      </w:r>
    </w:p>
    <w:p w:rsidR="00E81064" w:rsidRPr="00504360" w:rsidRDefault="00E81064" w:rsidP="00E81064">
      <w:pPr>
        <w:autoSpaceDE w:val="0"/>
        <w:autoSpaceDN w:val="0"/>
        <w:adjustRightInd w:val="0"/>
        <w:spacing w:after="0"/>
        <w:rPr>
          <w:rFonts w:cs="Calibri"/>
          <w:color w:val="000000"/>
        </w:rPr>
      </w:pPr>
    </w:p>
    <w:p w:rsidR="00E81064" w:rsidRPr="00504360" w:rsidRDefault="00E81064" w:rsidP="00E81064">
      <w:r w:rsidRPr="00504360">
        <w:t xml:space="preserve">Los proyectos </w:t>
      </w:r>
      <w:proofErr w:type="spellStart"/>
      <w:r w:rsidR="00502200" w:rsidRPr="00504360">
        <w:t>estructurantes</w:t>
      </w:r>
      <w:proofErr w:type="spellEnd"/>
      <w:r w:rsidR="00502200" w:rsidRPr="00504360">
        <w:t xml:space="preserve"> </w:t>
      </w:r>
      <w:r w:rsidRPr="00504360">
        <w:t>que se vienen impulsando a través de la movilización social son:</w:t>
      </w:r>
    </w:p>
    <w:tbl>
      <w:tblPr>
        <w:tblStyle w:val="Cuadrculaclara-nfasis1"/>
        <w:tblW w:w="0" w:type="auto"/>
        <w:tblLook w:val="04A0" w:firstRow="1" w:lastRow="0" w:firstColumn="1" w:lastColumn="0" w:noHBand="0" w:noVBand="1"/>
      </w:tblPr>
      <w:tblGrid>
        <w:gridCol w:w="2093"/>
        <w:gridCol w:w="6885"/>
      </w:tblGrid>
      <w:tr w:rsidR="00E81064" w:rsidRPr="00E81064" w:rsidTr="00E8106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093" w:type="dxa"/>
          </w:tcPr>
          <w:p w:rsidR="00E81064" w:rsidRPr="00E81064" w:rsidRDefault="00E81064" w:rsidP="005678E7">
            <w:pPr>
              <w:jc w:val="center"/>
              <w:rPr>
                <w:b w:val="0"/>
                <w:sz w:val="18"/>
                <w:szCs w:val="18"/>
              </w:rPr>
            </w:pPr>
            <w:r w:rsidRPr="00E81064">
              <w:rPr>
                <w:sz w:val="18"/>
                <w:szCs w:val="18"/>
              </w:rPr>
              <w:t>Proyecto</w:t>
            </w:r>
            <w:r w:rsidR="00502200">
              <w:rPr>
                <w:sz w:val="18"/>
                <w:szCs w:val="18"/>
              </w:rPr>
              <w:t xml:space="preserve"> </w:t>
            </w:r>
            <w:proofErr w:type="spellStart"/>
            <w:r w:rsidR="00502200">
              <w:rPr>
                <w:sz w:val="18"/>
                <w:szCs w:val="18"/>
              </w:rPr>
              <w:t>Estructurante</w:t>
            </w:r>
            <w:proofErr w:type="spellEnd"/>
          </w:p>
        </w:tc>
        <w:tc>
          <w:tcPr>
            <w:tcW w:w="6885" w:type="dxa"/>
          </w:tcPr>
          <w:p w:rsidR="00E81064" w:rsidRPr="00E81064" w:rsidRDefault="00E81064" w:rsidP="005678E7">
            <w:pPr>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E81064">
              <w:rPr>
                <w:sz w:val="18"/>
                <w:szCs w:val="18"/>
              </w:rPr>
              <w:t>Descripción</w:t>
            </w:r>
          </w:p>
        </w:tc>
      </w:tr>
      <w:tr w:rsidR="00E81064" w:rsidRPr="00E81064" w:rsidTr="00E810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vAlign w:val="center"/>
          </w:tcPr>
          <w:p w:rsidR="00E81064" w:rsidRPr="00E81064" w:rsidRDefault="00E81064" w:rsidP="00E81064">
            <w:pPr>
              <w:jc w:val="center"/>
              <w:rPr>
                <w:sz w:val="18"/>
                <w:szCs w:val="18"/>
              </w:rPr>
            </w:pPr>
            <w:r w:rsidRPr="00E81064">
              <w:rPr>
                <w:sz w:val="18"/>
                <w:szCs w:val="18"/>
              </w:rPr>
              <w:t>Red de Nodos de Innovación, Ciencia y Tecnología</w:t>
            </w:r>
          </w:p>
        </w:tc>
        <w:tc>
          <w:tcPr>
            <w:tcW w:w="6885" w:type="dxa"/>
          </w:tcPr>
          <w:p w:rsidR="00E81064" w:rsidRPr="00E81064" w:rsidRDefault="00E81064" w:rsidP="005678E7">
            <w:pPr>
              <w:cnfStyle w:val="000000100000" w:firstRow="0" w:lastRow="0" w:firstColumn="0" w:lastColumn="0" w:oddVBand="0" w:evenVBand="0" w:oddHBand="1" w:evenHBand="0" w:firstRowFirstColumn="0" w:firstRowLastColumn="0" w:lastRowFirstColumn="0" w:lastRowLastColumn="0"/>
              <w:rPr>
                <w:sz w:val="18"/>
                <w:szCs w:val="18"/>
              </w:rPr>
            </w:pPr>
            <w:r w:rsidRPr="00E81064">
              <w:rPr>
                <w:sz w:val="18"/>
                <w:szCs w:val="18"/>
              </w:rPr>
              <w:t xml:space="preserve">La Red de Nodos de Innovación, Ciencia y Tecnología se concibe como uno de los programas de inversión en ciencia, tecnología e innovación para la transformación productiva y la competitividad de Risaralda. Esta iniciativa articula varias estrategias regionales constituidas como ejes del desarrollo regional, entre las cuales vale la pena mencionar competitividad, educación e investigación e innovación. Lo anterior evidencia claramente que el foco de desarrollo de la Red se centra en mejorar las condiciones de generación y uso del conocimiento para transformar la estructura productiva del departamento por medio de la investigación, la innovación, la formación de capital humano, el desarrollo tecnológico y el emprendimiento de base tecnológica. </w:t>
            </w:r>
          </w:p>
          <w:p w:rsidR="00E81064" w:rsidRPr="00E81064" w:rsidRDefault="00E81064" w:rsidP="005678E7">
            <w:pPr>
              <w:cnfStyle w:val="000000100000" w:firstRow="0" w:lastRow="0" w:firstColumn="0" w:lastColumn="0" w:oddVBand="0" w:evenVBand="0" w:oddHBand="1" w:evenHBand="0" w:firstRowFirstColumn="0" w:firstRowLastColumn="0" w:lastRowFirstColumn="0" w:lastRowLastColumn="0"/>
              <w:rPr>
                <w:sz w:val="18"/>
                <w:szCs w:val="18"/>
              </w:rPr>
            </w:pPr>
            <w:r w:rsidRPr="00E81064">
              <w:rPr>
                <w:sz w:val="18"/>
                <w:szCs w:val="18"/>
              </w:rPr>
              <w:lastRenderedPageBreak/>
              <w:t xml:space="preserve">Todas estas condiciones son fundamentales para alcanzar insertar al departamento en la sociedad y economía del conocimiento.  </w:t>
            </w:r>
          </w:p>
        </w:tc>
      </w:tr>
      <w:tr w:rsidR="00E81064" w:rsidRPr="00E81064" w:rsidTr="00E8106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vAlign w:val="center"/>
          </w:tcPr>
          <w:p w:rsidR="00E81064" w:rsidRPr="00E81064" w:rsidRDefault="00E81064" w:rsidP="00E81064">
            <w:pPr>
              <w:jc w:val="center"/>
              <w:rPr>
                <w:sz w:val="18"/>
                <w:szCs w:val="18"/>
              </w:rPr>
            </w:pPr>
            <w:r w:rsidRPr="00E81064">
              <w:rPr>
                <w:sz w:val="18"/>
                <w:szCs w:val="18"/>
              </w:rPr>
              <w:lastRenderedPageBreak/>
              <w:t>Proyecto Primera infancia</w:t>
            </w:r>
          </w:p>
        </w:tc>
        <w:tc>
          <w:tcPr>
            <w:tcW w:w="6885" w:type="dxa"/>
          </w:tcPr>
          <w:p w:rsidR="00E81064" w:rsidRPr="00E81064" w:rsidRDefault="00E81064" w:rsidP="005678E7">
            <w:pPr>
              <w:cnfStyle w:val="000000010000" w:firstRow="0" w:lastRow="0" w:firstColumn="0" w:lastColumn="0" w:oddVBand="0" w:evenVBand="0" w:oddHBand="0" w:evenHBand="1" w:firstRowFirstColumn="0" w:firstRowLastColumn="0" w:lastRowFirstColumn="0" w:lastRowLastColumn="0"/>
              <w:rPr>
                <w:sz w:val="18"/>
                <w:szCs w:val="18"/>
              </w:rPr>
            </w:pPr>
            <w:r w:rsidRPr="00E81064">
              <w:rPr>
                <w:sz w:val="18"/>
                <w:szCs w:val="18"/>
              </w:rPr>
              <w:t>Puesta en marcha de por lo menos un Proyecto Piloto con niños entre 0 – 6 años de los Jardines Sociales (o figura municipal similar) para el desarrollo del pensamiento científico, el aprendizaje de una segunda lengua (inglés), complementado con infraestructura de calidad, articulado con los colegios públicos de básica y media y con la universidad, en temas específicos de la Red de Nodos de innovación ciencia y tecnología (Metalmecánica; TIC; Tercerización de procesos del conocimiento (KPO); Biodiversidad; Biotecnología; Agropecuario y Agroindustrial; y Nodo Textil, diseño y moda).</w:t>
            </w:r>
          </w:p>
        </w:tc>
      </w:tr>
      <w:tr w:rsidR="00E81064" w:rsidRPr="00E81064" w:rsidTr="00E810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vAlign w:val="center"/>
          </w:tcPr>
          <w:p w:rsidR="00E81064" w:rsidRPr="00E81064" w:rsidRDefault="00E81064" w:rsidP="00E81064">
            <w:pPr>
              <w:jc w:val="center"/>
              <w:rPr>
                <w:sz w:val="18"/>
                <w:szCs w:val="18"/>
              </w:rPr>
            </w:pPr>
            <w:r w:rsidRPr="00E81064">
              <w:rPr>
                <w:sz w:val="18"/>
                <w:szCs w:val="18"/>
              </w:rPr>
              <w:t>Escuela de Liderazgo “Facilitadores del Desarrollo”</w:t>
            </w:r>
          </w:p>
        </w:tc>
        <w:tc>
          <w:tcPr>
            <w:tcW w:w="6885" w:type="dxa"/>
          </w:tcPr>
          <w:p w:rsidR="00E81064" w:rsidRPr="00E81064" w:rsidRDefault="00E81064" w:rsidP="005678E7">
            <w:pPr>
              <w:cnfStyle w:val="000000100000" w:firstRow="0" w:lastRow="0" w:firstColumn="0" w:lastColumn="0" w:oddVBand="0" w:evenVBand="0" w:oddHBand="1" w:evenHBand="0" w:firstRowFirstColumn="0" w:firstRowLastColumn="0" w:lastRowFirstColumn="0" w:lastRowLastColumn="0"/>
              <w:rPr>
                <w:sz w:val="18"/>
                <w:szCs w:val="18"/>
              </w:rPr>
            </w:pPr>
            <w:r w:rsidRPr="00E81064">
              <w:rPr>
                <w:sz w:val="18"/>
                <w:szCs w:val="18"/>
              </w:rPr>
              <w:t>Estructuración de una Escuela de Facilitadores del Desarrollo, para la formación de ciudadanos comprometidos con el bienestar de la sociedad, con liderazgo de servicio, liderazgo políticos y empresarial, que cubran los niños y jóvenes dentro del sistema educativo y a los ciudadanos del común.</w:t>
            </w:r>
          </w:p>
        </w:tc>
      </w:tr>
      <w:tr w:rsidR="00E81064" w:rsidRPr="00E81064" w:rsidTr="00E8106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vAlign w:val="center"/>
          </w:tcPr>
          <w:p w:rsidR="00E81064" w:rsidRPr="00E81064" w:rsidRDefault="00E81064" w:rsidP="00E81064">
            <w:pPr>
              <w:jc w:val="center"/>
              <w:rPr>
                <w:sz w:val="18"/>
                <w:szCs w:val="18"/>
              </w:rPr>
            </w:pPr>
            <w:r w:rsidRPr="00E81064">
              <w:rPr>
                <w:sz w:val="18"/>
                <w:szCs w:val="18"/>
              </w:rPr>
              <w:t>Comunidad Innovadora:</w:t>
            </w:r>
          </w:p>
        </w:tc>
        <w:tc>
          <w:tcPr>
            <w:tcW w:w="6885" w:type="dxa"/>
          </w:tcPr>
          <w:p w:rsidR="00E81064" w:rsidRPr="00E81064" w:rsidRDefault="00E81064" w:rsidP="005678E7">
            <w:pPr>
              <w:cnfStyle w:val="000000010000" w:firstRow="0" w:lastRow="0" w:firstColumn="0" w:lastColumn="0" w:oddVBand="0" w:evenVBand="0" w:oddHBand="0" w:evenHBand="1" w:firstRowFirstColumn="0" w:firstRowLastColumn="0" w:lastRowFirstColumn="0" w:lastRowLastColumn="0"/>
              <w:rPr>
                <w:sz w:val="18"/>
                <w:szCs w:val="18"/>
              </w:rPr>
            </w:pPr>
            <w:r w:rsidRPr="00E81064">
              <w:rPr>
                <w:sz w:val="18"/>
                <w:szCs w:val="18"/>
              </w:rPr>
              <w:t>Aprovechamiento de la infraestructura comunitaria para el fomento de la ciencia, la tecnología y la innovación desde el emprendimiento de base.</w:t>
            </w:r>
          </w:p>
          <w:p w:rsidR="00E81064" w:rsidRPr="00E81064" w:rsidRDefault="00E81064" w:rsidP="005678E7">
            <w:pPr>
              <w:cnfStyle w:val="000000010000" w:firstRow="0" w:lastRow="0" w:firstColumn="0" w:lastColumn="0" w:oddVBand="0" w:evenVBand="0" w:oddHBand="0" w:evenHBand="1" w:firstRowFirstColumn="0" w:firstRowLastColumn="0" w:lastRowFirstColumn="0" w:lastRowLastColumn="0"/>
              <w:rPr>
                <w:sz w:val="18"/>
                <w:szCs w:val="18"/>
              </w:rPr>
            </w:pPr>
            <w:r w:rsidRPr="00E81064">
              <w:rPr>
                <w:sz w:val="18"/>
                <w:szCs w:val="18"/>
              </w:rPr>
              <w:t>Formación en TIC, pensamiento creativo y científico.</w:t>
            </w:r>
          </w:p>
          <w:p w:rsidR="00E81064" w:rsidRPr="00E81064" w:rsidRDefault="00E81064" w:rsidP="005678E7">
            <w:pPr>
              <w:cnfStyle w:val="000000010000" w:firstRow="0" w:lastRow="0" w:firstColumn="0" w:lastColumn="0" w:oddVBand="0" w:evenVBand="0" w:oddHBand="0" w:evenHBand="1" w:firstRowFirstColumn="0" w:firstRowLastColumn="0" w:lastRowFirstColumn="0" w:lastRowLastColumn="0"/>
              <w:rPr>
                <w:sz w:val="18"/>
                <w:szCs w:val="18"/>
              </w:rPr>
            </w:pPr>
            <w:r w:rsidRPr="00E81064">
              <w:rPr>
                <w:sz w:val="18"/>
                <w:szCs w:val="18"/>
              </w:rPr>
              <w:t>Identificación y estructuración de ideas y proyectos innovadores.</w:t>
            </w:r>
          </w:p>
          <w:p w:rsidR="00E81064" w:rsidRPr="00E81064" w:rsidRDefault="00E81064" w:rsidP="005678E7">
            <w:pPr>
              <w:cnfStyle w:val="000000010000" w:firstRow="0" w:lastRow="0" w:firstColumn="0" w:lastColumn="0" w:oddVBand="0" w:evenVBand="0" w:oddHBand="0" w:evenHBand="1" w:firstRowFirstColumn="0" w:firstRowLastColumn="0" w:lastRowFirstColumn="0" w:lastRowLastColumn="0"/>
              <w:rPr>
                <w:sz w:val="18"/>
                <w:szCs w:val="18"/>
              </w:rPr>
            </w:pPr>
            <w:r w:rsidRPr="00E81064">
              <w:rPr>
                <w:sz w:val="18"/>
                <w:szCs w:val="18"/>
              </w:rPr>
              <w:t>Encadenamiento de las comunidades con la Red de Nodos y con las empresas de base tecnológica.</w:t>
            </w:r>
          </w:p>
          <w:p w:rsidR="00E81064" w:rsidRPr="00E81064" w:rsidRDefault="00E81064" w:rsidP="005678E7">
            <w:pPr>
              <w:cnfStyle w:val="000000010000" w:firstRow="0" w:lastRow="0" w:firstColumn="0" w:lastColumn="0" w:oddVBand="0" w:evenVBand="0" w:oddHBand="0" w:evenHBand="1" w:firstRowFirstColumn="0" w:firstRowLastColumn="0" w:lastRowFirstColumn="0" w:lastRowLastColumn="0"/>
              <w:rPr>
                <w:sz w:val="18"/>
                <w:szCs w:val="18"/>
              </w:rPr>
            </w:pPr>
            <w:r w:rsidRPr="00E81064">
              <w:rPr>
                <w:sz w:val="18"/>
                <w:szCs w:val="18"/>
              </w:rPr>
              <w:t>Puesta en marcha del Sistema de Emprendimiento innovador y de Base Tecnológica de la Educación Superior de Risaralda (SEBTIER).</w:t>
            </w:r>
          </w:p>
        </w:tc>
      </w:tr>
      <w:tr w:rsidR="00E81064" w:rsidRPr="00E81064" w:rsidTr="00E810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vAlign w:val="center"/>
          </w:tcPr>
          <w:p w:rsidR="00E81064" w:rsidRPr="00E81064" w:rsidRDefault="00E81064" w:rsidP="00E81064">
            <w:pPr>
              <w:jc w:val="center"/>
              <w:rPr>
                <w:b w:val="0"/>
                <w:sz w:val="18"/>
                <w:szCs w:val="18"/>
              </w:rPr>
            </w:pPr>
            <w:r w:rsidRPr="00E81064">
              <w:rPr>
                <w:sz w:val="18"/>
                <w:szCs w:val="18"/>
              </w:rPr>
              <w:t>Acompaña el Desarrollo de tu Ciudad (democracia participativa y control social)</w:t>
            </w:r>
          </w:p>
        </w:tc>
        <w:tc>
          <w:tcPr>
            <w:tcW w:w="6885" w:type="dxa"/>
          </w:tcPr>
          <w:p w:rsidR="00E81064" w:rsidRPr="00E81064" w:rsidRDefault="00E81064" w:rsidP="005678E7">
            <w:pPr>
              <w:cnfStyle w:val="000000100000" w:firstRow="0" w:lastRow="0" w:firstColumn="0" w:lastColumn="0" w:oddVBand="0" w:evenVBand="0" w:oddHBand="1" w:evenHBand="0" w:firstRowFirstColumn="0" w:firstRowLastColumn="0" w:lastRowFirstColumn="0" w:lastRowLastColumn="0"/>
              <w:rPr>
                <w:sz w:val="18"/>
                <w:szCs w:val="18"/>
              </w:rPr>
            </w:pPr>
            <w:r w:rsidRPr="00E81064">
              <w:rPr>
                <w:sz w:val="18"/>
                <w:szCs w:val="18"/>
              </w:rPr>
              <w:t xml:space="preserve">Integración y acompañamiento de la sociedad al ejercicio de los líderes (políticos, empresariales, gremiales, </w:t>
            </w:r>
            <w:proofErr w:type="spellStart"/>
            <w:r w:rsidRPr="00E81064">
              <w:rPr>
                <w:sz w:val="18"/>
                <w:szCs w:val="18"/>
              </w:rPr>
              <w:t>etc</w:t>
            </w:r>
            <w:proofErr w:type="spellEnd"/>
            <w:r w:rsidRPr="00E81064">
              <w:rPr>
                <w:sz w:val="18"/>
                <w:szCs w:val="18"/>
              </w:rPr>
              <w:t>).</w:t>
            </w:r>
          </w:p>
          <w:p w:rsidR="00E81064" w:rsidRPr="00E81064" w:rsidRDefault="00E81064" w:rsidP="005678E7">
            <w:pPr>
              <w:cnfStyle w:val="000000100000" w:firstRow="0" w:lastRow="0" w:firstColumn="0" w:lastColumn="0" w:oddVBand="0" w:evenVBand="0" w:oddHBand="1" w:evenHBand="0" w:firstRowFirstColumn="0" w:firstRowLastColumn="0" w:lastRowFirstColumn="0" w:lastRowLastColumn="0"/>
              <w:rPr>
                <w:sz w:val="18"/>
                <w:szCs w:val="18"/>
              </w:rPr>
            </w:pPr>
            <w:r w:rsidRPr="00E81064">
              <w:rPr>
                <w:sz w:val="18"/>
                <w:szCs w:val="18"/>
              </w:rPr>
              <w:t>Apoyo técnico y acompañamiento de los ciudadanos y las instituciones en el diseño y puesta en marcha de las políticas públicas y proyectos de alto impacto.</w:t>
            </w:r>
          </w:p>
          <w:p w:rsidR="00E81064" w:rsidRPr="00E81064" w:rsidRDefault="00E81064" w:rsidP="005678E7">
            <w:pPr>
              <w:cnfStyle w:val="000000100000" w:firstRow="0" w:lastRow="0" w:firstColumn="0" w:lastColumn="0" w:oddVBand="0" w:evenVBand="0" w:oddHBand="1" w:evenHBand="0" w:firstRowFirstColumn="0" w:firstRowLastColumn="0" w:lastRowFirstColumn="0" w:lastRowLastColumn="0"/>
              <w:rPr>
                <w:sz w:val="18"/>
                <w:szCs w:val="18"/>
              </w:rPr>
            </w:pPr>
            <w:r w:rsidRPr="00E81064">
              <w:rPr>
                <w:sz w:val="18"/>
                <w:szCs w:val="18"/>
              </w:rPr>
              <w:t>Mayor compromiso ciudadano con el desarrollo.</w:t>
            </w:r>
          </w:p>
          <w:p w:rsidR="00E81064" w:rsidRPr="00E81064" w:rsidRDefault="00E81064" w:rsidP="005678E7">
            <w:pPr>
              <w:cnfStyle w:val="000000100000" w:firstRow="0" w:lastRow="0" w:firstColumn="0" w:lastColumn="0" w:oddVBand="0" w:evenVBand="0" w:oddHBand="1" w:evenHBand="0" w:firstRowFirstColumn="0" w:firstRowLastColumn="0" w:lastRowFirstColumn="0" w:lastRowLastColumn="0"/>
              <w:rPr>
                <w:sz w:val="18"/>
                <w:szCs w:val="18"/>
              </w:rPr>
            </w:pPr>
            <w:r w:rsidRPr="00E81064">
              <w:rPr>
                <w:sz w:val="18"/>
                <w:szCs w:val="18"/>
              </w:rPr>
              <w:t>Fomento del ejercicio de la democracia y los mecanismos de participación ciudadana.</w:t>
            </w:r>
          </w:p>
        </w:tc>
      </w:tr>
      <w:tr w:rsidR="00E81064" w:rsidRPr="00E81064" w:rsidTr="00E8106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vAlign w:val="center"/>
          </w:tcPr>
          <w:p w:rsidR="00E81064" w:rsidRPr="00E81064" w:rsidRDefault="00E81064" w:rsidP="00E81064">
            <w:pPr>
              <w:jc w:val="center"/>
              <w:rPr>
                <w:b w:val="0"/>
                <w:sz w:val="18"/>
                <w:szCs w:val="18"/>
              </w:rPr>
            </w:pPr>
            <w:r w:rsidRPr="00E81064">
              <w:rPr>
                <w:sz w:val="18"/>
                <w:szCs w:val="18"/>
              </w:rPr>
              <w:t>Articulación de las capacidades de conocimiento del departamento.</w:t>
            </w:r>
          </w:p>
        </w:tc>
        <w:tc>
          <w:tcPr>
            <w:tcW w:w="6885" w:type="dxa"/>
          </w:tcPr>
          <w:p w:rsidR="00E81064" w:rsidRPr="00E81064" w:rsidRDefault="00E81064" w:rsidP="005678E7">
            <w:pPr>
              <w:cnfStyle w:val="000000010000" w:firstRow="0" w:lastRow="0" w:firstColumn="0" w:lastColumn="0" w:oddVBand="0" w:evenVBand="0" w:oddHBand="0" w:evenHBand="1" w:firstRowFirstColumn="0" w:firstRowLastColumn="0" w:lastRowFirstColumn="0" w:lastRowLastColumn="0"/>
              <w:rPr>
                <w:sz w:val="18"/>
                <w:szCs w:val="18"/>
              </w:rPr>
            </w:pPr>
            <w:r w:rsidRPr="00E81064">
              <w:rPr>
                <w:sz w:val="18"/>
                <w:szCs w:val="18"/>
              </w:rPr>
              <w:t xml:space="preserve">Articulación de las capacidades de generación y uso del conocimiento del sistema educativo (estudiantes de todos los niveles, </w:t>
            </w:r>
            <w:proofErr w:type="spellStart"/>
            <w:r w:rsidRPr="00E81064">
              <w:rPr>
                <w:sz w:val="18"/>
                <w:szCs w:val="18"/>
              </w:rPr>
              <w:t>tesistas</w:t>
            </w:r>
            <w:proofErr w:type="spellEnd"/>
            <w:r w:rsidRPr="00E81064">
              <w:rPr>
                <w:sz w:val="18"/>
                <w:szCs w:val="18"/>
              </w:rPr>
              <w:t>, grupos, semilleros y proyectos de investigación), con el conocimiento de los empresarios, organizaciones de productores, ONG, campesinos, comunidad y el gobierno, hacia los sectores del PRC, la Red de Nodos de Innovación, y las apuestas sectoriales de cada territorio, para lograr mayores impactos en el desarrollo económico y social.</w:t>
            </w:r>
          </w:p>
        </w:tc>
      </w:tr>
    </w:tbl>
    <w:p w:rsidR="00E81064" w:rsidRDefault="00E81064" w:rsidP="00E81064">
      <w:pPr>
        <w:autoSpaceDE w:val="0"/>
        <w:autoSpaceDN w:val="0"/>
        <w:adjustRightInd w:val="0"/>
        <w:spacing w:after="0"/>
      </w:pPr>
    </w:p>
    <w:p w:rsidR="00E81064" w:rsidRDefault="00E81064" w:rsidP="00C15EC5">
      <w:pPr>
        <w:pStyle w:val="Ttulo3"/>
      </w:pPr>
      <w:bookmarkStart w:id="159" w:name="_Toc354671369"/>
      <w:r w:rsidRPr="00C976E9">
        <w:t>Participación de los grupos de Interés en Alianzas Estratégicas</w:t>
      </w:r>
      <w:bookmarkEnd w:id="159"/>
    </w:p>
    <w:p w:rsidR="00E81064" w:rsidRDefault="00E81064" w:rsidP="00E81064">
      <w:pPr>
        <w:autoSpaceDE w:val="0"/>
        <w:autoSpaceDN w:val="0"/>
        <w:adjustRightInd w:val="0"/>
        <w:spacing w:after="0"/>
        <w:jc w:val="left"/>
        <w:rPr>
          <w:rFonts w:cs="Calibri"/>
          <w:color w:val="000000"/>
          <w:sz w:val="24"/>
          <w:szCs w:val="24"/>
        </w:rPr>
      </w:pPr>
    </w:p>
    <w:p w:rsidR="00504360" w:rsidRDefault="00504360" w:rsidP="00504360">
      <w:pPr>
        <w:autoSpaceDE w:val="0"/>
        <w:autoSpaceDN w:val="0"/>
        <w:adjustRightInd w:val="0"/>
        <w:spacing w:after="0"/>
        <w:rPr>
          <w:rFonts w:cs="Calibri"/>
          <w:b/>
          <w:color w:val="000000"/>
          <w:sz w:val="24"/>
          <w:szCs w:val="24"/>
        </w:rPr>
      </w:pPr>
      <w:r w:rsidRPr="00C976E9">
        <w:t>La universidad ha venido involucrándose con diferentes grupos de interés (sociales, complementarios y gubernamentales). Con alianzas estratégicas que ya se encuentran firmadas, se cubren 7 grupos (Gobierno, Academia, Sociedad, Empresarial, Egresados, Complementarios e Internos UTP) de los 8 grupos de interés identificados por la Universidad (Se encuentra pend</w:t>
      </w:r>
      <w:r>
        <w:t>iente el grupo de proveedores).</w:t>
      </w:r>
    </w:p>
    <w:p w:rsidR="00504360" w:rsidRDefault="00504360" w:rsidP="00E81064">
      <w:pPr>
        <w:autoSpaceDE w:val="0"/>
        <w:autoSpaceDN w:val="0"/>
        <w:adjustRightInd w:val="0"/>
        <w:spacing w:after="0"/>
        <w:jc w:val="left"/>
        <w:rPr>
          <w:rFonts w:cs="Calibri"/>
          <w:color w:val="000000"/>
          <w:sz w:val="24"/>
          <w:szCs w:val="24"/>
        </w:rPr>
      </w:pPr>
    </w:p>
    <w:p w:rsidR="00504360" w:rsidRDefault="00504360" w:rsidP="00E81064">
      <w:pPr>
        <w:autoSpaceDE w:val="0"/>
        <w:autoSpaceDN w:val="0"/>
        <w:adjustRightInd w:val="0"/>
        <w:spacing w:after="0"/>
        <w:jc w:val="left"/>
        <w:rPr>
          <w:rFonts w:cs="Calibri"/>
          <w:color w:val="000000"/>
          <w:sz w:val="24"/>
          <w:szCs w:val="24"/>
        </w:rPr>
      </w:pPr>
    </w:p>
    <w:p w:rsidR="0005379B" w:rsidRPr="0005379B" w:rsidRDefault="0005379B" w:rsidP="0005379B">
      <w:pPr>
        <w:autoSpaceDE w:val="0"/>
        <w:autoSpaceDN w:val="0"/>
        <w:adjustRightInd w:val="0"/>
        <w:spacing w:after="0"/>
        <w:jc w:val="center"/>
        <w:rPr>
          <w:rFonts w:cs="Calibri"/>
          <w:b/>
          <w:color w:val="000000"/>
          <w:sz w:val="24"/>
          <w:szCs w:val="24"/>
        </w:rPr>
      </w:pPr>
      <w:r>
        <w:rPr>
          <w:rFonts w:cs="Calibri"/>
          <w:b/>
          <w:color w:val="000000"/>
          <w:sz w:val="24"/>
          <w:szCs w:val="24"/>
        </w:rPr>
        <w:t>Resultados – Participación  de los Grupos de Interés en Alianzas Estratégicas</w:t>
      </w:r>
    </w:p>
    <w:p w:rsidR="0005379B" w:rsidRDefault="00175AEF" w:rsidP="0005379B">
      <w:pPr>
        <w:autoSpaceDE w:val="0"/>
        <w:autoSpaceDN w:val="0"/>
        <w:adjustRightInd w:val="0"/>
        <w:spacing w:after="0"/>
        <w:jc w:val="center"/>
        <w:rPr>
          <w:rFonts w:cs="Calibri"/>
          <w:color w:val="000000"/>
          <w:sz w:val="24"/>
          <w:szCs w:val="24"/>
        </w:rPr>
      </w:pPr>
      <w:r w:rsidRPr="0069072F">
        <w:rPr>
          <w:noProof/>
          <w:lang w:val="es-CO" w:eastAsia="es-CO"/>
        </w:rPr>
        <w:lastRenderedPageBreak/>
        <w:drawing>
          <wp:inline distT="0" distB="0" distL="0" distR="0" wp14:anchorId="44A27D1B" wp14:editId="28A64522">
            <wp:extent cx="4772025" cy="1743075"/>
            <wp:effectExtent l="0" t="0" r="0" b="0"/>
            <wp:docPr id="42" name="1 Gráfico"/>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p w:rsidR="0005379B" w:rsidRPr="0005379B" w:rsidRDefault="0005379B" w:rsidP="0005379B">
      <w:pPr>
        <w:autoSpaceDE w:val="0"/>
        <w:autoSpaceDN w:val="0"/>
        <w:adjustRightInd w:val="0"/>
        <w:spacing w:after="0"/>
        <w:jc w:val="center"/>
        <w:rPr>
          <w:rFonts w:cs="Calibri"/>
          <w:b/>
          <w:color w:val="000000"/>
          <w:sz w:val="24"/>
          <w:szCs w:val="24"/>
        </w:rPr>
      </w:pPr>
      <w:r>
        <w:rPr>
          <w:rFonts w:cs="Calibri"/>
          <w:b/>
          <w:color w:val="000000"/>
          <w:sz w:val="24"/>
          <w:szCs w:val="24"/>
        </w:rPr>
        <w:t>Fuente: SIGOB</w:t>
      </w:r>
    </w:p>
    <w:p w:rsidR="00E81064" w:rsidRDefault="00E81064" w:rsidP="00E81064">
      <w:pPr>
        <w:autoSpaceDE w:val="0"/>
        <w:autoSpaceDN w:val="0"/>
        <w:adjustRightInd w:val="0"/>
        <w:spacing w:after="0"/>
      </w:pPr>
    </w:p>
    <w:p w:rsidR="00175AEF" w:rsidRDefault="00E81064" w:rsidP="00C15EC5">
      <w:pPr>
        <w:pStyle w:val="Ttulo3"/>
      </w:pPr>
      <w:bookmarkStart w:id="160" w:name="_Toc354671370"/>
      <w:r w:rsidRPr="00912635">
        <w:t>Tiempo Promedio de formalización de una alianza estratégica</w:t>
      </w:r>
      <w:bookmarkEnd w:id="160"/>
    </w:p>
    <w:p w:rsidR="00175AEF" w:rsidRDefault="00175AEF" w:rsidP="00E81064">
      <w:pPr>
        <w:autoSpaceDE w:val="0"/>
        <w:autoSpaceDN w:val="0"/>
        <w:adjustRightInd w:val="0"/>
        <w:spacing w:after="0"/>
        <w:rPr>
          <w:rFonts w:cs="Calibri"/>
          <w:b/>
          <w:color w:val="000000"/>
          <w:sz w:val="24"/>
          <w:szCs w:val="24"/>
        </w:rPr>
      </w:pPr>
    </w:p>
    <w:p w:rsidR="00504360" w:rsidRDefault="00504360" w:rsidP="00504360">
      <w:r>
        <w:t xml:space="preserve">El tiempo promedio de formalización de una Alianza tuvo un resultado de 7 meses, sobre una meta de 6 meses, alcanzando un resultado del </w:t>
      </w:r>
      <w:r w:rsidRPr="00504360">
        <w:rPr>
          <w:b/>
        </w:rPr>
        <w:t>83%</w:t>
      </w:r>
      <w:r>
        <w:t>.</w:t>
      </w:r>
    </w:p>
    <w:p w:rsidR="00504360" w:rsidRDefault="00504360" w:rsidP="00E81064">
      <w:pPr>
        <w:autoSpaceDE w:val="0"/>
        <w:autoSpaceDN w:val="0"/>
        <w:adjustRightInd w:val="0"/>
        <w:spacing w:after="0"/>
        <w:rPr>
          <w:rFonts w:cs="Calibri"/>
          <w:b/>
          <w:color w:val="000000"/>
          <w:sz w:val="24"/>
          <w:szCs w:val="24"/>
        </w:rPr>
      </w:pPr>
    </w:p>
    <w:p w:rsidR="00761B13" w:rsidRDefault="00761B13" w:rsidP="00761B13">
      <w:pPr>
        <w:autoSpaceDE w:val="0"/>
        <w:autoSpaceDN w:val="0"/>
        <w:adjustRightInd w:val="0"/>
        <w:spacing w:after="0"/>
        <w:jc w:val="center"/>
        <w:rPr>
          <w:rFonts w:cs="Calibri"/>
          <w:b/>
          <w:color w:val="000000"/>
          <w:sz w:val="24"/>
          <w:szCs w:val="24"/>
        </w:rPr>
      </w:pPr>
      <w:r>
        <w:rPr>
          <w:rFonts w:cs="Calibri"/>
          <w:b/>
          <w:color w:val="000000"/>
          <w:sz w:val="24"/>
          <w:szCs w:val="24"/>
        </w:rPr>
        <w:t>Resultados – Tiempo Promedio de Formalización de una Alianza Estratégica</w:t>
      </w:r>
    </w:p>
    <w:p w:rsidR="00E81064" w:rsidRDefault="00175AEF" w:rsidP="00175AEF">
      <w:pPr>
        <w:autoSpaceDE w:val="0"/>
        <w:autoSpaceDN w:val="0"/>
        <w:adjustRightInd w:val="0"/>
        <w:spacing w:after="0"/>
        <w:jc w:val="center"/>
        <w:rPr>
          <w:rFonts w:cs="Calibri"/>
          <w:b/>
          <w:color w:val="000000"/>
          <w:sz w:val="24"/>
          <w:szCs w:val="24"/>
        </w:rPr>
      </w:pPr>
      <w:r w:rsidRPr="0069072F">
        <w:rPr>
          <w:noProof/>
          <w:lang w:val="es-CO" w:eastAsia="es-CO"/>
        </w:rPr>
        <w:drawing>
          <wp:inline distT="0" distB="0" distL="0" distR="0" wp14:anchorId="0DB6F868" wp14:editId="3F645319">
            <wp:extent cx="4772025" cy="1743075"/>
            <wp:effectExtent l="0" t="0" r="0" b="0"/>
            <wp:docPr id="43" name="1 Gráfico"/>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7"/>
              </a:graphicData>
            </a:graphic>
          </wp:inline>
        </w:drawing>
      </w:r>
    </w:p>
    <w:p w:rsidR="00761B13" w:rsidRPr="0005379B" w:rsidRDefault="00761B13" w:rsidP="00761B13">
      <w:pPr>
        <w:autoSpaceDE w:val="0"/>
        <w:autoSpaceDN w:val="0"/>
        <w:adjustRightInd w:val="0"/>
        <w:spacing w:after="0"/>
        <w:jc w:val="center"/>
        <w:rPr>
          <w:rFonts w:cs="Calibri"/>
          <w:b/>
          <w:color w:val="000000"/>
          <w:sz w:val="24"/>
          <w:szCs w:val="24"/>
        </w:rPr>
      </w:pPr>
      <w:r>
        <w:rPr>
          <w:rFonts w:cs="Calibri"/>
          <w:b/>
          <w:color w:val="000000"/>
          <w:sz w:val="24"/>
          <w:szCs w:val="24"/>
        </w:rPr>
        <w:t>Fuente: SIGOB</w:t>
      </w:r>
    </w:p>
    <w:p w:rsidR="00761B13" w:rsidRDefault="00761B13" w:rsidP="00175AEF">
      <w:pPr>
        <w:autoSpaceDE w:val="0"/>
        <w:autoSpaceDN w:val="0"/>
        <w:adjustRightInd w:val="0"/>
        <w:spacing w:after="0"/>
        <w:jc w:val="center"/>
        <w:rPr>
          <w:rFonts w:cs="Calibri"/>
          <w:b/>
          <w:color w:val="000000"/>
          <w:sz w:val="24"/>
          <w:szCs w:val="24"/>
        </w:rPr>
      </w:pPr>
    </w:p>
    <w:p w:rsidR="00E81064" w:rsidRDefault="00E81064" w:rsidP="00E81064">
      <w:pPr>
        <w:autoSpaceDE w:val="0"/>
        <w:autoSpaceDN w:val="0"/>
        <w:adjustRightInd w:val="0"/>
        <w:spacing w:after="0"/>
        <w:rPr>
          <w:rFonts w:cs="Calibri"/>
          <w:color w:val="000000"/>
          <w:sz w:val="24"/>
          <w:szCs w:val="24"/>
        </w:rPr>
      </w:pPr>
      <w:r w:rsidRPr="0096785A">
        <w:rPr>
          <w:rFonts w:cs="Calibri"/>
          <w:color w:val="000000"/>
          <w:sz w:val="24"/>
          <w:szCs w:val="24"/>
        </w:rPr>
        <w:t>Adicionalmente la Movilización social se viene consolidando como una macro alianza que vincula activamente 10 alianzas en la búsqueda de lograr el propósito fundamental de este proceso social “Transformar la agenda pública de desarrollo en Risaralda</w:t>
      </w:r>
      <w:r>
        <w:rPr>
          <w:rFonts w:cs="Calibri"/>
          <w:color w:val="000000"/>
          <w:sz w:val="24"/>
          <w:szCs w:val="24"/>
        </w:rPr>
        <w:t>”.</w:t>
      </w:r>
    </w:p>
    <w:p w:rsidR="00E81064" w:rsidRDefault="00E81064" w:rsidP="00E81064">
      <w:pPr>
        <w:autoSpaceDE w:val="0"/>
        <w:autoSpaceDN w:val="0"/>
        <w:adjustRightInd w:val="0"/>
        <w:spacing w:after="0"/>
        <w:rPr>
          <w:rFonts w:cs="Calibri"/>
          <w:color w:val="000000"/>
          <w:sz w:val="24"/>
          <w:szCs w:val="24"/>
        </w:rPr>
      </w:pPr>
    </w:p>
    <w:p w:rsidR="00E81064" w:rsidRPr="00247EE2" w:rsidRDefault="00B85CCF" w:rsidP="00B85CCF">
      <w:pPr>
        <w:pStyle w:val="Ttulo3"/>
      </w:pPr>
      <w:bookmarkStart w:id="161" w:name="_Toc354671371"/>
      <w:r>
        <w:rPr>
          <w:caps w:val="0"/>
        </w:rPr>
        <w:t>Componentes Alianzas Estratégicas</w:t>
      </w:r>
      <w:bookmarkEnd w:id="161"/>
    </w:p>
    <w:p w:rsidR="00E81064" w:rsidRDefault="00E81064" w:rsidP="00E81064">
      <w:pPr>
        <w:autoSpaceDE w:val="0"/>
        <w:autoSpaceDN w:val="0"/>
        <w:adjustRightInd w:val="0"/>
        <w:spacing w:after="0"/>
        <w:jc w:val="left"/>
        <w:rPr>
          <w:rFonts w:cs="Calibri"/>
          <w:b/>
          <w:color w:val="000000"/>
          <w:sz w:val="24"/>
          <w:szCs w:val="24"/>
        </w:rPr>
      </w:pPr>
    </w:p>
    <w:p w:rsidR="00E81064" w:rsidRPr="007E1DED" w:rsidRDefault="00E81064" w:rsidP="00DA08C3">
      <w:pPr>
        <w:pStyle w:val="Ttulo4"/>
      </w:pPr>
      <w:r w:rsidRPr="007E1DED">
        <w:t xml:space="preserve">Vigilancia Tecnológica e Inteligencia Competitiva </w:t>
      </w:r>
    </w:p>
    <w:p w:rsidR="00E81064" w:rsidRDefault="00E81064" w:rsidP="00E81064">
      <w:pPr>
        <w:autoSpaceDE w:val="0"/>
        <w:autoSpaceDN w:val="0"/>
        <w:adjustRightInd w:val="0"/>
        <w:spacing w:after="0"/>
        <w:rPr>
          <w:rFonts w:cs="Calibri"/>
          <w:color w:val="000000"/>
          <w:sz w:val="24"/>
          <w:szCs w:val="24"/>
        </w:rPr>
      </w:pPr>
    </w:p>
    <w:p w:rsidR="00E81064" w:rsidRPr="007E1DED" w:rsidRDefault="00E81064" w:rsidP="00E81064">
      <w:pPr>
        <w:autoSpaceDE w:val="0"/>
        <w:autoSpaceDN w:val="0"/>
        <w:adjustRightInd w:val="0"/>
        <w:spacing w:after="0"/>
        <w:rPr>
          <w:rFonts w:cs="Calibri"/>
          <w:color w:val="000000"/>
          <w:sz w:val="24"/>
          <w:szCs w:val="24"/>
        </w:rPr>
      </w:pPr>
      <w:r w:rsidRPr="007E1DED">
        <w:rPr>
          <w:rFonts w:cs="Calibri"/>
          <w:color w:val="000000"/>
          <w:sz w:val="24"/>
          <w:szCs w:val="24"/>
        </w:rPr>
        <w:t>Este componente propone identificar información del entorno para encontrar posibles Alianzas Estratégicas</w:t>
      </w:r>
      <w:r>
        <w:rPr>
          <w:rFonts w:cs="Calibri"/>
          <w:color w:val="000000"/>
          <w:sz w:val="24"/>
          <w:szCs w:val="24"/>
        </w:rPr>
        <w:t xml:space="preserve">, se mide mediante el indicador </w:t>
      </w:r>
      <w:r w:rsidRPr="00475986">
        <w:rPr>
          <w:rFonts w:cs="Calibri"/>
          <w:color w:val="000000"/>
          <w:sz w:val="24"/>
          <w:szCs w:val="24"/>
        </w:rPr>
        <w:t>Tiempo que se toma la institución para identificar información del contexto</w:t>
      </w:r>
      <w:r>
        <w:rPr>
          <w:rFonts w:cs="Calibri"/>
          <w:color w:val="000000"/>
          <w:sz w:val="24"/>
          <w:szCs w:val="24"/>
        </w:rPr>
        <w:t>.</w:t>
      </w:r>
    </w:p>
    <w:p w:rsidR="00E81064" w:rsidRDefault="00E81064" w:rsidP="00E81064">
      <w:pPr>
        <w:autoSpaceDE w:val="0"/>
        <w:autoSpaceDN w:val="0"/>
        <w:adjustRightInd w:val="0"/>
        <w:spacing w:after="0"/>
        <w:jc w:val="left"/>
        <w:rPr>
          <w:rFonts w:cs="Calibri"/>
          <w:color w:val="000000"/>
          <w:sz w:val="16"/>
          <w:szCs w:val="24"/>
        </w:rPr>
      </w:pPr>
    </w:p>
    <w:p w:rsidR="00E81064" w:rsidRDefault="00E81064" w:rsidP="00E81064">
      <w:pPr>
        <w:autoSpaceDE w:val="0"/>
        <w:autoSpaceDN w:val="0"/>
        <w:adjustRightInd w:val="0"/>
        <w:spacing w:after="0"/>
        <w:jc w:val="left"/>
        <w:rPr>
          <w:rFonts w:cs="Calibri"/>
          <w:color w:val="000000"/>
          <w:sz w:val="16"/>
          <w:szCs w:val="24"/>
        </w:rPr>
      </w:pPr>
    </w:p>
    <w:p w:rsidR="00E81064" w:rsidRPr="00C64E40" w:rsidRDefault="00E81064" w:rsidP="00E81064">
      <w:pPr>
        <w:autoSpaceDE w:val="0"/>
        <w:autoSpaceDN w:val="0"/>
        <w:adjustRightInd w:val="0"/>
        <w:spacing w:after="0"/>
        <w:jc w:val="left"/>
        <w:rPr>
          <w:rFonts w:cs="Calibri"/>
          <w:color w:val="000000"/>
          <w:sz w:val="16"/>
          <w:szCs w:val="24"/>
        </w:rPr>
      </w:pPr>
    </w:p>
    <w:tbl>
      <w:tblPr>
        <w:tblStyle w:val="Cuadrculaclara-nfasis1"/>
        <w:tblW w:w="0" w:type="auto"/>
        <w:tblLook w:val="04A0" w:firstRow="1" w:lastRow="0" w:firstColumn="1" w:lastColumn="0" w:noHBand="0" w:noVBand="1"/>
      </w:tblPr>
      <w:tblGrid>
        <w:gridCol w:w="1101"/>
        <w:gridCol w:w="7877"/>
      </w:tblGrid>
      <w:tr w:rsidR="00E81064" w:rsidRPr="00DA08C3" w:rsidTr="00DA08C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tcPr>
          <w:p w:rsidR="00E81064" w:rsidRPr="00DA08C3" w:rsidRDefault="00E81064" w:rsidP="00DA08C3">
            <w:pPr>
              <w:autoSpaceDE w:val="0"/>
              <w:autoSpaceDN w:val="0"/>
              <w:adjustRightInd w:val="0"/>
              <w:jc w:val="center"/>
              <w:rPr>
                <w:rFonts w:cs="Calibri"/>
                <w:b w:val="0"/>
                <w:color w:val="000000"/>
                <w:sz w:val="18"/>
                <w:szCs w:val="18"/>
              </w:rPr>
            </w:pPr>
            <w:r w:rsidRPr="00DA08C3">
              <w:rPr>
                <w:rFonts w:cs="Calibri"/>
                <w:color w:val="000000"/>
                <w:sz w:val="18"/>
                <w:szCs w:val="18"/>
              </w:rPr>
              <w:t>Año</w:t>
            </w:r>
          </w:p>
        </w:tc>
        <w:tc>
          <w:tcPr>
            <w:tcW w:w="7877" w:type="dxa"/>
          </w:tcPr>
          <w:p w:rsidR="00E81064" w:rsidRPr="00DA08C3" w:rsidRDefault="00E81064" w:rsidP="00DA08C3">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cs="Calibri"/>
                <w:b w:val="0"/>
                <w:color w:val="000000"/>
                <w:sz w:val="18"/>
                <w:szCs w:val="18"/>
              </w:rPr>
            </w:pPr>
            <w:r w:rsidRPr="00DA08C3">
              <w:rPr>
                <w:rFonts w:cs="Calibri"/>
                <w:color w:val="000000"/>
                <w:sz w:val="18"/>
                <w:szCs w:val="18"/>
              </w:rPr>
              <w:t>Resultados</w:t>
            </w:r>
          </w:p>
        </w:tc>
      </w:tr>
      <w:tr w:rsidR="00E81064" w:rsidRPr="00DA08C3" w:rsidTr="00DA08C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vAlign w:val="center"/>
          </w:tcPr>
          <w:p w:rsidR="00E81064" w:rsidRPr="00DA08C3" w:rsidRDefault="00E81064" w:rsidP="00DA08C3">
            <w:pPr>
              <w:autoSpaceDE w:val="0"/>
              <w:autoSpaceDN w:val="0"/>
              <w:adjustRightInd w:val="0"/>
              <w:jc w:val="center"/>
              <w:rPr>
                <w:rFonts w:cs="Calibri"/>
                <w:color w:val="000000"/>
                <w:sz w:val="18"/>
                <w:szCs w:val="18"/>
              </w:rPr>
            </w:pPr>
            <w:r w:rsidRPr="00DA08C3">
              <w:rPr>
                <w:rFonts w:cs="Calibri"/>
                <w:color w:val="000000"/>
                <w:sz w:val="18"/>
                <w:szCs w:val="18"/>
              </w:rPr>
              <w:t>2009- 2010</w:t>
            </w:r>
          </w:p>
        </w:tc>
        <w:tc>
          <w:tcPr>
            <w:tcW w:w="7877" w:type="dxa"/>
          </w:tcPr>
          <w:p w:rsidR="00E81064" w:rsidRPr="00DA08C3" w:rsidRDefault="00E81064" w:rsidP="005678E7">
            <w:pPr>
              <w:pStyle w:val="Default"/>
              <w:jc w:val="both"/>
              <w:cnfStyle w:val="000000100000" w:firstRow="0" w:lastRow="0" w:firstColumn="0" w:lastColumn="0" w:oddVBand="0" w:evenVBand="0" w:oddHBand="1" w:evenHBand="0" w:firstRowFirstColumn="0" w:firstRowLastColumn="0" w:lastRowFirstColumn="0" w:lastRowLastColumn="0"/>
              <w:rPr>
                <w:rFonts w:ascii="Calibri" w:hAnsi="Calibri" w:cs="Calibri"/>
                <w:sz w:val="18"/>
                <w:szCs w:val="18"/>
              </w:rPr>
            </w:pPr>
            <w:r w:rsidRPr="00DA08C3">
              <w:rPr>
                <w:rFonts w:ascii="Calibri" w:hAnsi="Calibri" w:cs="Calibri"/>
                <w:sz w:val="18"/>
                <w:szCs w:val="18"/>
              </w:rPr>
              <w:t>Dos (2) Alianzas consolidadas necesitaron de 6 meses de gestión por parte de la institución. Se avanzó en la realización del estudio de Brechas económicas del Sector de Metalmecánica, con la participación de docentes de la Universidad de las Facultades de Ing. Mecánica y Tecnologías. El estudio sirve como base para la conformación del Clúster de Metal mecánica y la iniciación del Nodo de Innovación en el tema de Metalmecánica. El estudio fue presentado ante empresarios, personas del sector gobierno, docentes y gremios de la ciudad.</w:t>
            </w:r>
          </w:p>
        </w:tc>
      </w:tr>
      <w:tr w:rsidR="00E81064" w:rsidRPr="00DA08C3" w:rsidTr="00DA08C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vAlign w:val="center"/>
          </w:tcPr>
          <w:p w:rsidR="00E81064" w:rsidRPr="00DA08C3" w:rsidRDefault="00E81064" w:rsidP="00DA08C3">
            <w:pPr>
              <w:autoSpaceDE w:val="0"/>
              <w:autoSpaceDN w:val="0"/>
              <w:adjustRightInd w:val="0"/>
              <w:jc w:val="center"/>
              <w:rPr>
                <w:rFonts w:cs="Calibri"/>
                <w:color w:val="000000"/>
                <w:sz w:val="18"/>
                <w:szCs w:val="18"/>
              </w:rPr>
            </w:pPr>
            <w:r w:rsidRPr="00DA08C3">
              <w:rPr>
                <w:rFonts w:cs="Calibri"/>
                <w:color w:val="000000"/>
                <w:sz w:val="18"/>
                <w:szCs w:val="18"/>
              </w:rPr>
              <w:t>2011</w:t>
            </w:r>
          </w:p>
        </w:tc>
        <w:tc>
          <w:tcPr>
            <w:tcW w:w="7877" w:type="dxa"/>
          </w:tcPr>
          <w:p w:rsidR="00E81064" w:rsidRPr="00DA08C3" w:rsidRDefault="00E81064" w:rsidP="005678E7">
            <w:pPr>
              <w:pStyle w:val="Default"/>
              <w:jc w:val="both"/>
              <w:cnfStyle w:val="000000010000" w:firstRow="0" w:lastRow="0" w:firstColumn="0" w:lastColumn="0" w:oddVBand="0" w:evenVBand="0" w:oddHBand="0" w:evenHBand="1" w:firstRowFirstColumn="0" w:firstRowLastColumn="0" w:lastRowFirstColumn="0" w:lastRowLastColumn="0"/>
              <w:rPr>
                <w:rFonts w:ascii="Calibri" w:hAnsi="Calibri" w:cs="Calibri"/>
                <w:sz w:val="18"/>
                <w:szCs w:val="18"/>
              </w:rPr>
            </w:pPr>
            <w:r w:rsidRPr="00DA08C3">
              <w:rPr>
                <w:rFonts w:ascii="Calibri" w:hAnsi="Calibri" w:cs="Calibri"/>
                <w:sz w:val="18"/>
                <w:szCs w:val="18"/>
              </w:rPr>
              <w:t xml:space="preserve">Se realizó el primer informe de vigilancia del contexto, orientado a encontrar posibles fuentes de financiación para los objetivos institucionales, en el Plan Nacional de Desarrollo, presentado un piloto sobre el proyecto de la Red de Nodos de Innovación. </w:t>
            </w:r>
          </w:p>
          <w:p w:rsidR="00E81064" w:rsidRPr="00DA08C3" w:rsidRDefault="00E81064" w:rsidP="00DA08C3">
            <w:pPr>
              <w:pStyle w:val="Default"/>
              <w:jc w:val="both"/>
              <w:cnfStyle w:val="000000010000" w:firstRow="0" w:lastRow="0" w:firstColumn="0" w:lastColumn="0" w:oddVBand="0" w:evenVBand="0" w:oddHBand="0" w:evenHBand="1" w:firstRowFirstColumn="0" w:firstRowLastColumn="0" w:lastRowFirstColumn="0" w:lastRowLastColumn="0"/>
              <w:rPr>
                <w:rFonts w:ascii="Calibri" w:hAnsi="Calibri" w:cs="Calibri"/>
                <w:sz w:val="18"/>
                <w:szCs w:val="18"/>
              </w:rPr>
            </w:pPr>
            <w:r w:rsidRPr="00DA08C3">
              <w:rPr>
                <w:rFonts w:ascii="Calibri" w:hAnsi="Calibri" w:cs="Calibri"/>
                <w:sz w:val="18"/>
                <w:szCs w:val="18"/>
              </w:rPr>
              <w:t xml:space="preserve">Se construyó una herramienta para consulta de información relacionada con los indicadores SUE y SNIES, la cual permite graficar los indicadores de varias universidades del país. </w:t>
            </w:r>
          </w:p>
        </w:tc>
      </w:tr>
      <w:tr w:rsidR="00E81064" w:rsidRPr="00DA08C3" w:rsidTr="00DA08C3">
        <w:trPr>
          <w:cnfStyle w:val="000000100000" w:firstRow="0" w:lastRow="0" w:firstColumn="0" w:lastColumn="0" w:oddVBand="0" w:evenVBand="0" w:oddHBand="1" w:evenHBand="0" w:firstRowFirstColumn="0" w:firstRowLastColumn="0" w:lastRowFirstColumn="0" w:lastRowLastColumn="0"/>
          <w:trHeight w:val="521"/>
        </w:trPr>
        <w:tc>
          <w:tcPr>
            <w:cnfStyle w:val="001000000000" w:firstRow="0" w:lastRow="0" w:firstColumn="1" w:lastColumn="0" w:oddVBand="0" w:evenVBand="0" w:oddHBand="0" w:evenHBand="0" w:firstRowFirstColumn="0" w:firstRowLastColumn="0" w:lastRowFirstColumn="0" w:lastRowLastColumn="0"/>
            <w:tcW w:w="1101" w:type="dxa"/>
            <w:vAlign w:val="center"/>
          </w:tcPr>
          <w:p w:rsidR="00E81064" w:rsidRPr="00DA08C3" w:rsidRDefault="00E81064" w:rsidP="00DA08C3">
            <w:pPr>
              <w:autoSpaceDE w:val="0"/>
              <w:autoSpaceDN w:val="0"/>
              <w:adjustRightInd w:val="0"/>
              <w:jc w:val="center"/>
              <w:rPr>
                <w:rFonts w:cs="Calibri"/>
                <w:color w:val="000000"/>
                <w:sz w:val="18"/>
                <w:szCs w:val="18"/>
              </w:rPr>
            </w:pPr>
            <w:r w:rsidRPr="00DA08C3">
              <w:rPr>
                <w:rFonts w:cs="Calibri"/>
                <w:color w:val="000000"/>
                <w:sz w:val="18"/>
                <w:szCs w:val="18"/>
              </w:rPr>
              <w:t>2012</w:t>
            </w:r>
          </w:p>
        </w:tc>
        <w:tc>
          <w:tcPr>
            <w:tcW w:w="7877" w:type="dxa"/>
          </w:tcPr>
          <w:p w:rsidR="00E81064" w:rsidRPr="00DA08C3" w:rsidRDefault="00E81064" w:rsidP="00DA08C3">
            <w:pPr>
              <w:pStyle w:val="Default"/>
              <w:jc w:val="both"/>
              <w:cnfStyle w:val="000000100000" w:firstRow="0" w:lastRow="0" w:firstColumn="0" w:lastColumn="0" w:oddVBand="0" w:evenVBand="0" w:oddHBand="1" w:evenHBand="0" w:firstRowFirstColumn="0" w:firstRowLastColumn="0" w:lastRowFirstColumn="0" w:lastRowLastColumn="0"/>
              <w:rPr>
                <w:rFonts w:ascii="Calibri" w:hAnsi="Calibri" w:cs="Calibri"/>
                <w:sz w:val="18"/>
                <w:szCs w:val="18"/>
              </w:rPr>
            </w:pPr>
            <w:r w:rsidRPr="00DA08C3">
              <w:rPr>
                <w:rFonts w:ascii="Calibri" w:hAnsi="Calibri" w:cs="Calibri"/>
                <w:sz w:val="18"/>
                <w:szCs w:val="18"/>
              </w:rPr>
              <w:t>Se realizaron los siguientes informes del entorno: Estudio de Capacidades: Aulas. Análisis PDI Vs plan de desarrollo del área metropolitana.  Proyectos de la UTP potenciales de ser financiados por el SGR – Se elaboró una matriz de proyectos del PDI susceptibles a presentarse ante el SGR en fase II y III.  Informe Análisis de Asignaturas Pendientes por Exámenes de Suficiencia. Análisis del Mercado del Contexto Educativo.  Actualización Análisis portal O3 del Observatorio Laboral para la Educación.</w:t>
            </w:r>
          </w:p>
        </w:tc>
      </w:tr>
    </w:tbl>
    <w:p w:rsidR="00E81064" w:rsidRDefault="00E81064" w:rsidP="00E81064">
      <w:pPr>
        <w:autoSpaceDE w:val="0"/>
        <w:autoSpaceDN w:val="0"/>
        <w:adjustRightInd w:val="0"/>
        <w:spacing w:after="0"/>
        <w:jc w:val="left"/>
        <w:rPr>
          <w:rFonts w:cs="Calibri"/>
          <w:color w:val="000000"/>
          <w:sz w:val="24"/>
          <w:szCs w:val="24"/>
        </w:rPr>
      </w:pPr>
    </w:p>
    <w:p w:rsidR="00DA08C3" w:rsidRDefault="00E81064" w:rsidP="00DA08C3">
      <w:pPr>
        <w:pStyle w:val="Ttulo4"/>
      </w:pPr>
      <w:r w:rsidRPr="003C23A5">
        <w:t>Gestión del Marketing Social</w:t>
      </w:r>
    </w:p>
    <w:p w:rsidR="00DA08C3" w:rsidRDefault="00DA08C3" w:rsidP="00E81064">
      <w:pPr>
        <w:autoSpaceDE w:val="0"/>
        <w:autoSpaceDN w:val="0"/>
        <w:adjustRightInd w:val="0"/>
        <w:spacing w:after="0"/>
        <w:rPr>
          <w:rFonts w:cs="Calibri"/>
          <w:color w:val="000000"/>
          <w:sz w:val="24"/>
          <w:szCs w:val="24"/>
        </w:rPr>
      </w:pPr>
    </w:p>
    <w:p w:rsidR="00E81064" w:rsidRPr="0046302B" w:rsidRDefault="00E81064" w:rsidP="00DA08C3">
      <w:r w:rsidRPr="0046302B">
        <w:t>Acuerdos generados para trabajo conjunto en la movilización, Políticas públicas nuevas o mejoradas</w:t>
      </w:r>
      <w:r>
        <w:t>.</w:t>
      </w:r>
    </w:p>
    <w:p w:rsidR="00E81064" w:rsidRPr="0046302B" w:rsidRDefault="00E81064" w:rsidP="00E81064">
      <w:pPr>
        <w:autoSpaceDE w:val="0"/>
        <w:autoSpaceDN w:val="0"/>
        <w:adjustRightInd w:val="0"/>
        <w:spacing w:after="0"/>
        <w:jc w:val="left"/>
        <w:rPr>
          <w:rFonts w:cs="Calibri"/>
          <w:color w:val="000000"/>
          <w:sz w:val="24"/>
          <w:szCs w:val="24"/>
        </w:rPr>
      </w:pPr>
    </w:p>
    <w:tbl>
      <w:tblPr>
        <w:tblStyle w:val="Cuadrculaclara-nfasis1"/>
        <w:tblW w:w="0" w:type="auto"/>
        <w:jc w:val="center"/>
        <w:tblLook w:val="04A0" w:firstRow="1" w:lastRow="0" w:firstColumn="1" w:lastColumn="0" w:noHBand="0" w:noVBand="1"/>
      </w:tblPr>
      <w:tblGrid>
        <w:gridCol w:w="1101"/>
        <w:gridCol w:w="7877"/>
      </w:tblGrid>
      <w:tr w:rsidR="00E81064" w:rsidRPr="00DA08C3" w:rsidTr="00DA08C3">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01" w:type="dxa"/>
          </w:tcPr>
          <w:p w:rsidR="00E81064" w:rsidRPr="00DA08C3" w:rsidRDefault="00E81064" w:rsidP="00DA08C3">
            <w:pPr>
              <w:autoSpaceDE w:val="0"/>
              <w:autoSpaceDN w:val="0"/>
              <w:adjustRightInd w:val="0"/>
              <w:jc w:val="center"/>
              <w:rPr>
                <w:rFonts w:cs="Calibri"/>
                <w:b w:val="0"/>
                <w:color w:val="000000"/>
                <w:sz w:val="18"/>
                <w:szCs w:val="18"/>
              </w:rPr>
            </w:pPr>
            <w:r w:rsidRPr="00DA08C3">
              <w:rPr>
                <w:rFonts w:cs="Calibri"/>
                <w:color w:val="000000"/>
                <w:sz w:val="18"/>
                <w:szCs w:val="18"/>
              </w:rPr>
              <w:t>Año</w:t>
            </w:r>
          </w:p>
        </w:tc>
        <w:tc>
          <w:tcPr>
            <w:tcW w:w="7877" w:type="dxa"/>
          </w:tcPr>
          <w:p w:rsidR="00E81064" w:rsidRPr="00DA08C3" w:rsidRDefault="00E81064" w:rsidP="00DA08C3">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cs="Calibri"/>
                <w:b w:val="0"/>
                <w:color w:val="000000"/>
                <w:sz w:val="18"/>
                <w:szCs w:val="18"/>
              </w:rPr>
            </w:pPr>
            <w:r w:rsidRPr="00DA08C3">
              <w:rPr>
                <w:rFonts w:cs="Calibri"/>
                <w:color w:val="000000"/>
                <w:sz w:val="18"/>
                <w:szCs w:val="18"/>
              </w:rPr>
              <w:t>Resultados</w:t>
            </w:r>
          </w:p>
        </w:tc>
      </w:tr>
      <w:tr w:rsidR="00E81064" w:rsidRPr="00DA08C3" w:rsidTr="00DA08C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01" w:type="dxa"/>
            <w:vAlign w:val="center"/>
          </w:tcPr>
          <w:p w:rsidR="00E81064" w:rsidRPr="00DA08C3" w:rsidRDefault="00E81064" w:rsidP="00DA08C3">
            <w:pPr>
              <w:autoSpaceDE w:val="0"/>
              <w:autoSpaceDN w:val="0"/>
              <w:adjustRightInd w:val="0"/>
              <w:jc w:val="center"/>
              <w:rPr>
                <w:rFonts w:cs="Calibri"/>
                <w:color w:val="000000"/>
                <w:sz w:val="18"/>
                <w:szCs w:val="18"/>
              </w:rPr>
            </w:pPr>
            <w:r w:rsidRPr="00DA08C3">
              <w:rPr>
                <w:rFonts w:cs="Calibri"/>
                <w:color w:val="000000"/>
                <w:sz w:val="18"/>
                <w:szCs w:val="18"/>
              </w:rPr>
              <w:t>2009</w:t>
            </w:r>
          </w:p>
        </w:tc>
        <w:tc>
          <w:tcPr>
            <w:tcW w:w="7877" w:type="dxa"/>
          </w:tcPr>
          <w:p w:rsidR="00E81064" w:rsidRPr="00DA08C3" w:rsidRDefault="00E81064" w:rsidP="00DA08C3">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cs="Calibri"/>
                <w:color w:val="000000"/>
                <w:sz w:val="18"/>
                <w:szCs w:val="18"/>
              </w:rPr>
            </w:pPr>
            <w:r w:rsidRPr="00DA08C3">
              <w:rPr>
                <w:rFonts w:cs="Calibri"/>
                <w:color w:val="000000"/>
                <w:sz w:val="18"/>
                <w:szCs w:val="18"/>
              </w:rPr>
              <w:t>En materia de política pública, después de la formulación del Plan regional de</w:t>
            </w:r>
            <w:r w:rsidR="00DA08C3">
              <w:rPr>
                <w:rFonts w:cs="Calibri"/>
                <w:color w:val="000000"/>
                <w:sz w:val="18"/>
                <w:szCs w:val="18"/>
              </w:rPr>
              <w:t xml:space="preserve"> </w:t>
            </w:r>
            <w:r w:rsidRPr="00DA08C3">
              <w:rPr>
                <w:rFonts w:cs="Calibri"/>
                <w:color w:val="000000"/>
                <w:sz w:val="18"/>
                <w:szCs w:val="18"/>
              </w:rPr>
              <w:t>Competitividad (PRC), la Comisión Regional de Competitividad de Risaralda aprobó avanzar en el proceso para convertirlo en política pública. En el tema de Ciencia y Tecnología la UTP viene desarrollando participación activa desde la secretaría técnica y se proyectó para el 2010 la formulación del Plan Estratégico Departamental y la Política Pública de Ciencia y Tecnología.</w:t>
            </w:r>
          </w:p>
        </w:tc>
      </w:tr>
      <w:tr w:rsidR="00E81064" w:rsidRPr="00DA08C3" w:rsidTr="00DA08C3">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01" w:type="dxa"/>
            <w:vAlign w:val="center"/>
          </w:tcPr>
          <w:p w:rsidR="00E81064" w:rsidRPr="00DA08C3" w:rsidRDefault="00E81064" w:rsidP="00DA08C3">
            <w:pPr>
              <w:autoSpaceDE w:val="0"/>
              <w:autoSpaceDN w:val="0"/>
              <w:adjustRightInd w:val="0"/>
              <w:jc w:val="center"/>
              <w:rPr>
                <w:rFonts w:cs="Calibri"/>
                <w:color w:val="000000"/>
                <w:sz w:val="18"/>
                <w:szCs w:val="18"/>
              </w:rPr>
            </w:pPr>
            <w:r w:rsidRPr="00DA08C3">
              <w:rPr>
                <w:rFonts w:cs="Calibri"/>
                <w:color w:val="000000"/>
                <w:sz w:val="18"/>
                <w:szCs w:val="18"/>
              </w:rPr>
              <w:t>2010</w:t>
            </w:r>
          </w:p>
        </w:tc>
        <w:tc>
          <w:tcPr>
            <w:tcW w:w="7877" w:type="dxa"/>
          </w:tcPr>
          <w:p w:rsidR="00E81064" w:rsidRPr="00DA08C3" w:rsidRDefault="00E81064" w:rsidP="005678E7">
            <w:pPr>
              <w:autoSpaceDE w:val="0"/>
              <w:autoSpaceDN w:val="0"/>
              <w:adjustRightInd w:val="0"/>
              <w:cnfStyle w:val="000000010000" w:firstRow="0" w:lastRow="0" w:firstColumn="0" w:lastColumn="0" w:oddVBand="0" w:evenVBand="0" w:oddHBand="0" w:evenHBand="1" w:firstRowFirstColumn="0" w:firstRowLastColumn="0" w:lastRowFirstColumn="0" w:lastRowLastColumn="0"/>
              <w:rPr>
                <w:rFonts w:cs="Calibri"/>
                <w:color w:val="000000"/>
                <w:sz w:val="18"/>
                <w:szCs w:val="18"/>
              </w:rPr>
            </w:pPr>
            <w:r w:rsidRPr="00DA08C3">
              <w:rPr>
                <w:rFonts w:cs="Calibri"/>
                <w:color w:val="000000"/>
                <w:sz w:val="18"/>
                <w:szCs w:val="18"/>
              </w:rPr>
              <w:t xml:space="preserve">Se avanzó en la primera fase del ciclo de política pública correspondiente a la </w:t>
            </w:r>
            <w:proofErr w:type="spellStart"/>
            <w:r w:rsidRPr="00DA08C3">
              <w:rPr>
                <w:rFonts w:cs="Calibri"/>
                <w:color w:val="000000"/>
                <w:sz w:val="18"/>
                <w:szCs w:val="18"/>
              </w:rPr>
              <w:t>agendación</w:t>
            </w:r>
            <w:proofErr w:type="spellEnd"/>
            <w:r w:rsidRPr="00DA08C3">
              <w:rPr>
                <w:rFonts w:cs="Calibri"/>
                <w:color w:val="000000"/>
                <w:sz w:val="18"/>
                <w:szCs w:val="18"/>
              </w:rPr>
              <w:t xml:space="preserve">, alcanzando acuerdos con </w:t>
            </w:r>
            <w:r w:rsidRPr="00DA08C3">
              <w:rPr>
                <w:rFonts w:cs="Calibri"/>
                <w:b/>
                <w:color w:val="000000"/>
                <w:sz w:val="18"/>
                <w:szCs w:val="18"/>
              </w:rPr>
              <w:t>146</w:t>
            </w:r>
            <w:r w:rsidRPr="00DA08C3">
              <w:rPr>
                <w:rFonts w:cs="Calibri"/>
                <w:color w:val="000000"/>
                <w:sz w:val="18"/>
                <w:szCs w:val="18"/>
              </w:rPr>
              <w:t xml:space="preserve"> personas de </w:t>
            </w:r>
            <w:r w:rsidRPr="00DA08C3">
              <w:rPr>
                <w:rFonts w:cs="Calibri"/>
                <w:b/>
                <w:color w:val="000000"/>
                <w:sz w:val="18"/>
                <w:szCs w:val="18"/>
              </w:rPr>
              <w:t>49</w:t>
            </w:r>
            <w:r w:rsidRPr="00DA08C3">
              <w:rPr>
                <w:rFonts w:cs="Calibri"/>
                <w:color w:val="000000"/>
                <w:sz w:val="18"/>
                <w:szCs w:val="18"/>
              </w:rPr>
              <w:t xml:space="preserve"> instituciones de diferentes sectores sociales para trabajar conjuntamente en estas políticas públicas (Educación superior; Ciencia, tecnología e innovación; Competitividad; y Desarrollo Social) con el fin de contribuir al desarrollo regional. Adicionalmente se ha avanzó en el posicionamiento de estos temas en la agenda pública, especialmente en los medios de comunicación impresos (LA TARDE y el DIARIO) y en los discursos de algunos sectores políticos incluyendo la administración municipal y departamental.</w:t>
            </w:r>
          </w:p>
          <w:p w:rsidR="00E81064" w:rsidRPr="00DA08C3" w:rsidRDefault="00E81064" w:rsidP="005678E7">
            <w:pPr>
              <w:autoSpaceDE w:val="0"/>
              <w:autoSpaceDN w:val="0"/>
              <w:adjustRightInd w:val="0"/>
              <w:cnfStyle w:val="000000010000" w:firstRow="0" w:lastRow="0" w:firstColumn="0" w:lastColumn="0" w:oddVBand="0" w:evenVBand="0" w:oddHBand="0" w:evenHBand="1" w:firstRowFirstColumn="0" w:firstRowLastColumn="0" w:lastRowFirstColumn="0" w:lastRowLastColumn="0"/>
              <w:rPr>
                <w:rFonts w:cs="Calibri"/>
                <w:color w:val="000000"/>
                <w:sz w:val="18"/>
                <w:szCs w:val="18"/>
              </w:rPr>
            </w:pPr>
            <w:r w:rsidRPr="00DA08C3">
              <w:rPr>
                <w:rFonts w:cs="Calibri"/>
                <w:color w:val="000000"/>
                <w:sz w:val="18"/>
                <w:szCs w:val="18"/>
              </w:rPr>
              <w:t xml:space="preserve">Se realizó un Foro de expertos que contó con la participación de </w:t>
            </w:r>
            <w:r w:rsidRPr="00DA08C3">
              <w:rPr>
                <w:rFonts w:cs="Calibri"/>
                <w:b/>
                <w:color w:val="000000"/>
                <w:sz w:val="18"/>
                <w:szCs w:val="18"/>
              </w:rPr>
              <w:t>37</w:t>
            </w:r>
            <w:r w:rsidRPr="00DA08C3">
              <w:rPr>
                <w:rFonts w:cs="Calibri"/>
                <w:color w:val="000000"/>
                <w:sz w:val="18"/>
                <w:szCs w:val="18"/>
              </w:rPr>
              <w:t xml:space="preserve"> investigadores de Pereira; además se llevaron a cabo </w:t>
            </w:r>
            <w:r w:rsidRPr="00DA08C3">
              <w:rPr>
                <w:rFonts w:cs="Calibri"/>
                <w:b/>
                <w:color w:val="000000"/>
                <w:sz w:val="18"/>
                <w:szCs w:val="18"/>
              </w:rPr>
              <w:t>3</w:t>
            </w:r>
            <w:r w:rsidRPr="00DA08C3">
              <w:rPr>
                <w:rFonts w:cs="Calibri"/>
                <w:color w:val="000000"/>
                <w:sz w:val="18"/>
                <w:szCs w:val="18"/>
              </w:rPr>
              <w:t xml:space="preserve"> mini foros en los municipios de Apia, Belén de Umbría y la Virginia.  Esto acompañado de una estrategia con los medios y la edición de </w:t>
            </w:r>
            <w:r w:rsidRPr="00DA08C3">
              <w:rPr>
                <w:rFonts w:cs="Calibri"/>
                <w:b/>
                <w:color w:val="000000"/>
                <w:sz w:val="18"/>
                <w:szCs w:val="18"/>
              </w:rPr>
              <w:t>3</w:t>
            </w:r>
            <w:r w:rsidRPr="00DA08C3">
              <w:rPr>
                <w:rFonts w:cs="Calibri"/>
                <w:color w:val="000000"/>
                <w:sz w:val="18"/>
                <w:szCs w:val="18"/>
              </w:rPr>
              <w:t xml:space="preserve"> mini programas sobre desempleo. Posteriormente se desarrolló el Foro Departamental de Desempleo en la ciudad de Pereira.</w:t>
            </w:r>
          </w:p>
        </w:tc>
      </w:tr>
      <w:tr w:rsidR="00E81064" w:rsidRPr="00DA08C3" w:rsidTr="00DA08C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01" w:type="dxa"/>
            <w:vAlign w:val="center"/>
          </w:tcPr>
          <w:p w:rsidR="00E81064" w:rsidRPr="00DA08C3" w:rsidRDefault="00E81064" w:rsidP="00DA08C3">
            <w:pPr>
              <w:autoSpaceDE w:val="0"/>
              <w:autoSpaceDN w:val="0"/>
              <w:adjustRightInd w:val="0"/>
              <w:jc w:val="center"/>
              <w:rPr>
                <w:rFonts w:cs="Calibri"/>
                <w:color w:val="000000"/>
                <w:sz w:val="18"/>
                <w:szCs w:val="18"/>
              </w:rPr>
            </w:pPr>
            <w:r w:rsidRPr="00DA08C3">
              <w:rPr>
                <w:rFonts w:cs="Calibri"/>
                <w:color w:val="000000"/>
                <w:sz w:val="18"/>
                <w:szCs w:val="18"/>
              </w:rPr>
              <w:t>2011</w:t>
            </w:r>
          </w:p>
        </w:tc>
        <w:tc>
          <w:tcPr>
            <w:tcW w:w="7877" w:type="dxa"/>
          </w:tcPr>
          <w:p w:rsidR="00E81064" w:rsidRPr="00DA08C3" w:rsidRDefault="00E81064" w:rsidP="005678E7">
            <w:pPr>
              <w:pStyle w:val="Default"/>
              <w:jc w:val="both"/>
              <w:cnfStyle w:val="000000100000" w:firstRow="0" w:lastRow="0" w:firstColumn="0" w:lastColumn="0" w:oddVBand="0" w:evenVBand="0" w:oddHBand="1" w:evenHBand="0" w:firstRowFirstColumn="0" w:firstRowLastColumn="0" w:lastRowFirstColumn="0" w:lastRowLastColumn="0"/>
              <w:rPr>
                <w:rFonts w:ascii="Calibri" w:hAnsi="Calibri" w:cs="Calibri"/>
                <w:sz w:val="18"/>
                <w:szCs w:val="18"/>
              </w:rPr>
            </w:pPr>
            <w:r w:rsidRPr="00DA08C3">
              <w:rPr>
                <w:rFonts w:ascii="Calibri" w:hAnsi="Calibri" w:cs="Calibri"/>
                <w:sz w:val="18"/>
                <w:szCs w:val="18"/>
              </w:rPr>
              <w:t>Se tienen veinte (</w:t>
            </w:r>
            <w:r w:rsidRPr="00DA08C3">
              <w:rPr>
                <w:rFonts w:ascii="Calibri" w:hAnsi="Calibri" w:cs="Calibri"/>
                <w:b/>
                <w:sz w:val="18"/>
                <w:szCs w:val="18"/>
              </w:rPr>
              <w:t>25</w:t>
            </w:r>
            <w:r w:rsidRPr="00DA08C3">
              <w:rPr>
                <w:rFonts w:ascii="Calibri" w:hAnsi="Calibri" w:cs="Calibri"/>
                <w:sz w:val="18"/>
                <w:szCs w:val="18"/>
              </w:rPr>
              <w:t>) memorandos de entendimiento firmados, de los cuales uno corresponde a la vinculación de la Red de Entidades de Formación para el Trabajo. Por otro lado, se llevaron en total 4 foros departamentales desencadenantes de política pública: “Primera Infancia”, “Ciencia, tecnología e innovación”,  “Pasado, presente y futuro de la Competitividad en Risaralda” y el Foro de Educación integral, con énfasis en primera infancia y bilingüismo.</w:t>
            </w:r>
          </w:p>
          <w:p w:rsidR="00E81064" w:rsidRPr="00DA08C3" w:rsidRDefault="00E81064" w:rsidP="005678E7">
            <w:pPr>
              <w:pStyle w:val="Default"/>
              <w:jc w:val="both"/>
              <w:cnfStyle w:val="000000100000" w:firstRow="0" w:lastRow="0" w:firstColumn="0" w:lastColumn="0" w:oddVBand="0" w:evenVBand="0" w:oddHBand="1" w:evenHBand="0" w:firstRowFirstColumn="0" w:firstRowLastColumn="0" w:lastRowFirstColumn="0" w:lastRowLastColumn="0"/>
              <w:rPr>
                <w:rFonts w:ascii="Calibri" w:hAnsi="Calibri" w:cs="Calibri"/>
                <w:sz w:val="18"/>
                <w:szCs w:val="18"/>
              </w:rPr>
            </w:pPr>
            <w:r w:rsidRPr="00DA08C3">
              <w:rPr>
                <w:rFonts w:ascii="Calibri" w:hAnsi="Calibri" w:cs="Calibri"/>
                <w:sz w:val="18"/>
                <w:szCs w:val="18"/>
              </w:rPr>
              <w:t>A su vez, la Movilización Social participó en diferentes espacios de discusión, aportando propuestas para las políticas públicas. Entre estos aportes tenemos:</w:t>
            </w:r>
          </w:p>
          <w:p w:rsidR="00E81064" w:rsidRPr="00DA08C3" w:rsidRDefault="00E81064" w:rsidP="005678E7">
            <w:pPr>
              <w:pStyle w:val="Default"/>
              <w:jc w:val="both"/>
              <w:cnfStyle w:val="000000100000" w:firstRow="0" w:lastRow="0" w:firstColumn="0" w:lastColumn="0" w:oddVBand="0" w:evenVBand="0" w:oddHBand="1" w:evenHBand="0" w:firstRowFirstColumn="0" w:firstRowLastColumn="0" w:lastRowFirstColumn="0" w:lastRowLastColumn="0"/>
              <w:rPr>
                <w:rFonts w:ascii="Calibri" w:hAnsi="Calibri" w:cs="Calibri"/>
                <w:sz w:val="18"/>
                <w:szCs w:val="18"/>
              </w:rPr>
            </w:pPr>
            <w:r w:rsidRPr="00DA08C3">
              <w:rPr>
                <w:rFonts w:ascii="Calibri" w:hAnsi="Calibri" w:cs="Calibri"/>
                <w:sz w:val="18"/>
                <w:szCs w:val="18"/>
              </w:rPr>
              <w:lastRenderedPageBreak/>
              <w:t>1. Retroalimentación a la Propuesta de ordenanza del Observatorio del Mercado Laboral de Risaralda, para circular entre el Comité Académico de Desempleo.</w:t>
            </w:r>
          </w:p>
          <w:p w:rsidR="00E81064" w:rsidRPr="00DA08C3" w:rsidRDefault="00E81064" w:rsidP="005678E7">
            <w:pPr>
              <w:pStyle w:val="Default"/>
              <w:jc w:val="both"/>
              <w:cnfStyle w:val="000000100000" w:firstRow="0" w:lastRow="0" w:firstColumn="0" w:lastColumn="0" w:oddVBand="0" w:evenVBand="0" w:oddHBand="1" w:evenHBand="0" w:firstRowFirstColumn="0" w:firstRowLastColumn="0" w:lastRowFirstColumn="0" w:lastRowLastColumn="0"/>
              <w:rPr>
                <w:rFonts w:ascii="Calibri" w:hAnsi="Calibri" w:cs="Calibri"/>
                <w:sz w:val="18"/>
                <w:szCs w:val="18"/>
              </w:rPr>
            </w:pPr>
            <w:r w:rsidRPr="00DA08C3">
              <w:rPr>
                <w:rFonts w:ascii="Calibri" w:hAnsi="Calibri" w:cs="Calibri"/>
                <w:sz w:val="18"/>
                <w:szCs w:val="18"/>
              </w:rPr>
              <w:t xml:space="preserve">2. Proyecto de Ordenanza de Bilingüismo elaborada en la Mesa de Bilingüismo, promovida por </w:t>
            </w:r>
            <w:proofErr w:type="spellStart"/>
            <w:r w:rsidRPr="00DA08C3">
              <w:rPr>
                <w:rFonts w:ascii="Calibri" w:hAnsi="Calibri" w:cs="Calibri"/>
                <w:sz w:val="18"/>
                <w:szCs w:val="18"/>
              </w:rPr>
              <w:t>ExE</w:t>
            </w:r>
            <w:proofErr w:type="spellEnd"/>
            <w:r w:rsidRPr="00DA08C3">
              <w:rPr>
                <w:rFonts w:ascii="Calibri" w:hAnsi="Calibri" w:cs="Calibri"/>
                <w:sz w:val="18"/>
                <w:szCs w:val="18"/>
              </w:rPr>
              <w:t xml:space="preserve"> y el MIRA.</w:t>
            </w:r>
          </w:p>
        </w:tc>
      </w:tr>
      <w:tr w:rsidR="00E81064" w:rsidRPr="00DA08C3" w:rsidTr="00DA08C3">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01" w:type="dxa"/>
            <w:vAlign w:val="center"/>
          </w:tcPr>
          <w:p w:rsidR="00E81064" w:rsidRPr="00DA08C3" w:rsidRDefault="00E81064" w:rsidP="00DA08C3">
            <w:pPr>
              <w:autoSpaceDE w:val="0"/>
              <w:autoSpaceDN w:val="0"/>
              <w:adjustRightInd w:val="0"/>
              <w:jc w:val="center"/>
              <w:rPr>
                <w:rFonts w:cs="Calibri"/>
                <w:color w:val="000000"/>
                <w:sz w:val="18"/>
                <w:szCs w:val="18"/>
              </w:rPr>
            </w:pPr>
            <w:r w:rsidRPr="00DA08C3">
              <w:rPr>
                <w:rFonts w:cs="Calibri"/>
                <w:color w:val="000000"/>
                <w:sz w:val="18"/>
                <w:szCs w:val="18"/>
              </w:rPr>
              <w:lastRenderedPageBreak/>
              <w:t>2012</w:t>
            </w:r>
          </w:p>
        </w:tc>
        <w:tc>
          <w:tcPr>
            <w:tcW w:w="7877" w:type="dxa"/>
          </w:tcPr>
          <w:p w:rsidR="00E81064" w:rsidRPr="00DA08C3" w:rsidRDefault="00E81064" w:rsidP="005678E7">
            <w:pPr>
              <w:pStyle w:val="Default"/>
              <w:jc w:val="both"/>
              <w:cnfStyle w:val="000000010000" w:firstRow="0" w:lastRow="0" w:firstColumn="0" w:lastColumn="0" w:oddVBand="0" w:evenVBand="0" w:oddHBand="0" w:evenHBand="1" w:firstRowFirstColumn="0" w:firstRowLastColumn="0" w:lastRowFirstColumn="0" w:lastRowLastColumn="0"/>
              <w:rPr>
                <w:rFonts w:ascii="Calibri" w:hAnsi="Calibri" w:cs="Calibri"/>
                <w:sz w:val="18"/>
                <w:szCs w:val="18"/>
              </w:rPr>
            </w:pPr>
            <w:r w:rsidRPr="00DA08C3">
              <w:rPr>
                <w:rFonts w:ascii="Calibri" w:hAnsi="Calibri" w:cs="Calibri"/>
                <w:sz w:val="18"/>
                <w:szCs w:val="18"/>
              </w:rPr>
              <w:t>Se realizaron 5 acuerdos o memorandos de entendimiento y 3 políticas públicas:</w:t>
            </w:r>
          </w:p>
          <w:p w:rsidR="00E81064" w:rsidRPr="00DA08C3" w:rsidRDefault="00E81064" w:rsidP="005678E7">
            <w:pPr>
              <w:pStyle w:val="Default"/>
              <w:jc w:val="both"/>
              <w:cnfStyle w:val="000000010000" w:firstRow="0" w:lastRow="0" w:firstColumn="0" w:lastColumn="0" w:oddVBand="0" w:evenVBand="0" w:oddHBand="0" w:evenHBand="1" w:firstRowFirstColumn="0" w:firstRowLastColumn="0" w:lastRowFirstColumn="0" w:lastRowLastColumn="0"/>
              <w:rPr>
                <w:rFonts w:ascii="Calibri" w:hAnsi="Calibri" w:cs="Calibri"/>
                <w:sz w:val="18"/>
                <w:szCs w:val="18"/>
              </w:rPr>
            </w:pPr>
            <w:r w:rsidRPr="00DA08C3">
              <w:rPr>
                <w:rFonts w:ascii="Calibri" w:hAnsi="Calibri" w:cs="Calibri"/>
                <w:sz w:val="18"/>
                <w:szCs w:val="18"/>
              </w:rPr>
              <w:t>1. La Política Ambiental “Risaralda un bosque modelo para el mundo”</w:t>
            </w:r>
          </w:p>
          <w:p w:rsidR="00E81064" w:rsidRPr="00DA08C3" w:rsidRDefault="00E81064" w:rsidP="005678E7">
            <w:pPr>
              <w:pStyle w:val="Default"/>
              <w:jc w:val="both"/>
              <w:cnfStyle w:val="000000010000" w:firstRow="0" w:lastRow="0" w:firstColumn="0" w:lastColumn="0" w:oddVBand="0" w:evenVBand="0" w:oddHBand="0" w:evenHBand="1" w:firstRowFirstColumn="0" w:firstRowLastColumn="0" w:lastRowFirstColumn="0" w:lastRowLastColumn="0"/>
              <w:rPr>
                <w:rFonts w:ascii="Calibri" w:hAnsi="Calibri" w:cs="Calibri"/>
                <w:sz w:val="18"/>
                <w:szCs w:val="18"/>
              </w:rPr>
            </w:pPr>
            <w:r w:rsidRPr="00DA08C3">
              <w:rPr>
                <w:rFonts w:ascii="Calibri" w:hAnsi="Calibri" w:cs="Calibri"/>
                <w:sz w:val="18"/>
                <w:szCs w:val="18"/>
              </w:rPr>
              <w:t>2. la Política Pública de Ciencia, Tecnología e Innovación del Municipio de Pereira denominada “Pereira Innova” la cual fue aprobada por el Concejo de Pereira.</w:t>
            </w:r>
          </w:p>
          <w:p w:rsidR="00E81064" w:rsidRPr="00DA08C3" w:rsidRDefault="00E81064" w:rsidP="00DA08C3">
            <w:pPr>
              <w:pStyle w:val="Default"/>
              <w:jc w:val="both"/>
              <w:cnfStyle w:val="000000010000" w:firstRow="0" w:lastRow="0" w:firstColumn="0" w:lastColumn="0" w:oddVBand="0" w:evenVBand="0" w:oddHBand="0" w:evenHBand="1" w:firstRowFirstColumn="0" w:firstRowLastColumn="0" w:lastRowFirstColumn="0" w:lastRowLastColumn="0"/>
              <w:rPr>
                <w:rFonts w:cs="Calibri"/>
                <w:sz w:val="18"/>
                <w:szCs w:val="18"/>
              </w:rPr>
            </w:pPr>
            <w:r w:rsidRPr="00DA08C3">
              <w:rPr>
                <w:rFonts w:ascii="Calibri" w:hAnsi="Calibri" w:cs="Calibri"/>
                <w:sz w:val="18"/>
                <w:szCs w:val="18"/>
              </w:rPr>
              <w:t>3. La Política Pública de Primera Infancia "Pereira Municipio Amigo de la Primera Infancia y Adolescencia", aprobada en el Concejo del Municipio de Pereira, mediante Acuerdo No. 50, el 28 de diciembre del año 2011</w:t>
            </w:r>
            <w:r w:rsidR="00DA08C3">
              <w:rPr>
                <w:rFonts w:ascii="Calibri" w:hAnsi="Calibri" w:cs="Calibri"/>
                <w:sz w:val="18"/>
                <w:szCs w:val="18"/>
              </w:rPr>
              <w:t>.</w:t>
            </w:r>
          </w:p>
        </w:tc>
      </w:tr>
    </w:tbl>
    <w:p w:rsidR="00E81064" w:rsidRDefault="00E81064" w:rsidP="00E81064">
      <w:pPr>
        <w:autoSpaceDE w:val="0"/>
        <w:autoSpaceDN w:val="0"/>
        <w:adjustRightInd w:val="0"/>
        <w:spacing w:after="0"/>
        <w:jc w:val="left"/>
        <w:rPr>
          <w:rFonts w:cs="Calibri"/>
          <w:color w:val="000000"/>
          <w:sz w:val="24"/>
          <w:szCs w:val="24"/>
        </w:rPr>
      </w:pPr>
    </w:p>
    <w:p w:rsidR="00BC4E82" w:rsidRDefault="00E81064" w:rsidP="00BC4E82">
      <w:pPr>
        <w:pStyle w:val="Ttulo4"/>
      </w:pPr>
      <w:r w:rsidRPr="001A0511">
        <w:t>Gestión Humana y Organizacional</w:t>
      </w:r>
    </w:p>
    <w:p w:rsidR="00BC4E82" w:rsidRDefault="00BC4E82" w:rsidP="00E81064">
      <w:pPr>
        <w:autoSpaceDE w:val="0"/>
        <w:autoSpaceDN w:val="0"/>
        <w:adjustRightInd w:val="0"/>
        <w:spacing w:after="0"/>
        <w:jc w:val="left"/>
        <w:rPr>
          <w:rFonts w:cs="Calibri"/>
          <w:b/>
          <w:color w:val="000000"/>
          <w:sz w:val="24"/>
          <w:szCs w:val="24"/>
        </w:rPr>
      </w:pPr>
    </w:p>
    <w:p w:rsidR="00E81064" w:rsidRPr="000853B1" w:rsidRDefault="00E81064" w:rsidP="00BC4E82">
      <w:r w:rsidRPr="000853B1">
        <w:t>Número de Alianzas articuladas, Número promedio de facultades involucradas en las alianzas establecidas.</w:t>
      </w:r>
    </w:p>
    <w:p w:rsidR="00E81064" w:rsidRPr="00FC1422" w:rsidRDefault="00E81064" w:rsidP="00E81064">
      <w:pPr>
        <w:autoSpaceDE w:val="0"/>
        <w:autoSpaceDN w:val="0"/>
        <w:adjustRightInd w:val="0"/>
        <w:spacing w:after="0"/>
        <w:jc w:val="left"/>
        <w:rPr>
          <w:rFonts w:cs="Calibri"/>
          <w:b/>
          <w:color w:val="000000"/>
          <w:sz w:val="24"/>
          <w:szCs w:val="24"/>
        </w:rPr>
      </w:pPr>
    </w:p>
    <w:tbl>
      <w:tblPr>
        <w:tblStyle w:val="Cuadrculaclara-nfasis1"/>
        <w:tblW w:w="0" w:type="auto"/>
        <w:tblLook w:val="04A0" w:firstRow="1" w:lastRow="0" w:firstColumn="1" w:lastColumn="0" w:noHBand="0" w:noVBand="1"/>
      </w:tblPr>
      <w:tblGrid>
        <w:gridCol w:w="1101"/>
        <w:gridCol w:w="7877"/>
      </w:tblGrid>
      <w:tr w:rsidR="00E81064" w:rsidRPr="00BC4E82" w:rsidTr="00BC4E8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tcPr>
          <w:p w:rsidR="00E81064" w:rsidRPr="00BC4E82" w:rsidRDefault="00E81064" w:rsidP="00BC4E82">
            <w:pPr>
              <w:autoSpaceDE w:val="0"/>
              <w:autoSpaceDN w:val="0"/>
              <w:adjustRightInd w:val="0"/>
              <w:jc w:val="center"/>
              <w:rPr>
                <w:rFonts w:cs="Calibri"/>
                <w:b w:val="0"/>
                <w:color w:val="000000"/>
                <w:sz w:val="18"/>
                <w:szCs w:val="18"/>
              </w:rPr>
            </w:pPr>
            <w:r w:rsidRPr="00BC4E82">
              <w:rPr>
                <w:rFonts w:cs="Calibri"/>
                <w:color w:val="000000"/>
                <w:sz w:val="18"/>
                <w:szCs w:val="18"/>
              </w:rPr>
              <w:t>Año</w:t>
            </w:r>
          </w:p>
        </w:tc>
        <w:tc>
          <w:tcPr>
            <w:tcW w:w="7877" w:type="dxa"/>
          </w:tcPr>
          <w:p w:rsidR="00E81064" w:rsidRPr="00BC4E82" w:rsidRDefault="00E81064" w:rsidP="00BC4E82">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cs="Calibri"/>
                <w:b w:val="0"/>
                <w:color w:val="000000"/>
                <w:sz w:val="18"/>
                <w:szCs w:val="18"/>
              </w:rPr>
            </w:pPr>
            <w:r w:rsidRPr="00BC4E82">
              <w:rPr>
                <w:rFonts w:cs="Calibri"/>
                <w:color w:val="000000"/>
                <w:sz w:val="18"/>
                <w:szCs w:val="18"/>
              </w:rPr>
              <w:t>Resultados</w:t>
            </w:r>
          </w:p>
        </w:tc>
      </w:tr>
      <w:tr w:rsidR="00E81064" w:rsidRPr="00BC4E82" w:rsidTr="00BC4E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vAlign w:val="center"/>
          </w:tcPr>
          <w:p w:rsidR="00E81064" w:rsidRPr="00BC4E82" w:rsidRDefault="00E81064" w:rsidP="00BC4E82">
            <w:pPr>
              <w:autoSpaceDE w:val="0"/>
              <w:autoSpaceDN w:val="0"/>
              <w:adjustRightInd w:val="0"/>
              <w:jc w:val="center"/>
              <w:rPr>
                <w:rFonts w:cs="Calibri"/>
                <w:color w:val="000000"/>
                <w:sz w:val="18"/>
                <w:szCs w:val="18"/>
              </w:rPr>
            </w:pPr>
            <w:r w:rsidRPr="00BC4E82">
              <w:rPr>
                <w:rFonts w:cs="Calibri"/>
                <w:color w:val="000000"/>
                <w:sz w:val="18"/>
                <w:szCs w:val="18"/>
              </w:rPr>
              <w:t>2009</w:t>
            </w:r>
          </w:p>
        </w:tc>
        <w:tc>
          <w:tcPr>
            <w:tcW w:w="7877" w:type="dxa"/>
          </w:tcPr>
          <w:p w:rsidR="00E81064" w:rsidRPr="00BC4E82" w:rsidRDefault="00E81064" w:rsidP="00BC4E82">
            <w:pPr>
              <w:pStyle w:val="Sinespaciado"/>
              <w:cnfStyle w:val="000000100000" w:firstRow="0" w:lastRow="0" w:firstColumn="0" w:lastColumn="0" w:oddVBand="0" w:evenVBand="0" w:oddHBand="1" w:evenHBand="0" w:firstRowFirstColumn="0" w:firstRowLastColumn="0" w:lastRowFirstColumn="0" w:lastRowLastColumn="0"/>
              <w:rPr>
                <w:sz w:val="18"/>
                <w:szCs w:val="18"/>
              </w:rPr>
            </w:pPr>
            <w:r w:rsidRPr="00BC4E82">
              <w:rPr>
                <w:sz w:val="18"/>
                <w:szCs w:val="18"/>
              </w:rPr>
              <w:t>Dentro de la meta de redes conformadas, la universidad avanzó hacia la conformación de 5 redes que cubren el 50% de los grupos de interés:</w:t>
            </w:r>
          </w:p>
          <w:p w:rsidR="00E81064" w:rsidRPr="00BC4E82" w:rsidRDefault="00E81064" w:rsidP="00BC4E82">
            <w:pPr>
              <w:pStyle w:val="Sinespaciado"/>
              <w:cnfStyle w:val="000000100000" w:firstRow="0" w:lastRow="0" w:firstColumn="0" w:lastColumn="0" w:oddVBand="0" w:evenVBand="0" w:oddHBand="1" w:evenHBand="0" w:firstRowFirstColumn="0" w:firstRowLastColumn="0" w:lastRowFirstColumn="0" w:lastRowLastColumn="0"/>
              <w:rPr>
                <w:sz w:val="18"/>
                <w:szCs w:val="18"/>
              </w:rPr>
            </w:pPr>
            <w:r w:rsidRPr="00BC4E82">
              <w:rPr>
                <w:sz w:val="18"/>
                <w:szCs w:val="18"/>
              </w:rPr>
              <w:t>Red 1: Convenio Colciencias- Alcaldía- Gobernación- UTP y Colciencias.</w:t>
            </w:r>
          </w:p>
          <w:p w:rsidR="00E81064" w:rsidRPr="00BC4E82" w:rsidRDefault="00E81064" w:rsidP="00BC4E82">
            <w:pPr>
              <w:pStyle w:val="Sinespaciado"/>
              <w:cnfStyle w:val="000000100000" w:firstRow="0" w:lastRow="0" w:firstColumn="0" w:lastColumn="0" w:oddVBand="0" w:evenVBand="0" w:oddHBand="1" w:evenHBand="0" w:firstRowFirstColumn="0" w:firstRowLastColumn="0" w:lastRowFirstColumn="0" w:lastRowLastColumn="0"/>
              <w:rPr>
                <w:sz w:val="18"/>
                <w:szCs w:val="18"/>
              </w:rPr>
            </w:pPr>
            <w:r w:rsidRPr="00BC4E82">
              <w:rPr>
                <w:sz w:val="18"/>
                <w:szCs w:val="18"/>
              </w:rPr>
              <w:t>Red 2: Convenio Con FENALCO - Gobernación y UTP.</w:t>
            </w:r>
          </w:p>
          <w:p w:rsidR="00E81064" w:rsidRPr="00BC4E82" w:rsidRDefault="00E81064" w:rsidP="00BC4E82">
            <w:pPr>
              <w:pStyle w:val="Sinespaciado"/>
              <w:cnfStyle w:val="000000100000" w:firstRow="0" w:lastRow="0" w:firstColumn="0" w:lastColumn="0" w:oddVBand="0" w:evenVBand="0" w:oddHBand="1" w:evenHBand="0" w:firstRowFirstColumn="0" w:firstRowLastColumn="0" w:lastRowFirstColumn="0" w:lastRowLastColumn="0"/>
              <w:rPr>
                <w:sz w:val="18"/>
                <w:szCs w:val="18"/>
              </w:rPr>
            </w:pPr>
            <w:r w:rsidRPr="00BC4E82">
              <w:rPr>
                <w:sz w:val="18"/>
                <w:szCs w:val="18"/>
              </w:rPr>
              <w:t>Red 3: Red Alma Mater - Universidades Públicas del Eje Cafetero</w:t>
            </w:r>
          </w:p>
          <w:p w:rsidR="00E81064" w:rsidRPr="00BC4E82" w:rsidRDefault="00E81064" w:rsidP="00BC4E82">
            <w:pPr>
              <w:pStyle w:val="Sinespaciado"/>
              <w:cnfStyle w:val="000000100000" w:firstRow="0" w:lastRow="0" w:firstColumn="0" w:lastColumn="0" w:oddVBand="0" w:evenVBand="0" w:oddHBand="1" w:evenHBand="0" w:firstRowFirstColumn="0" w:firstRowLastColumn="0" w:lastRowFirstColumn="0" w:lastRowLastColumn="0"/>
              <w:rPr>
                <w:sz w:val="18"/>
                <w:szCs w:val="18"/>
              </w:rPr>
            </w:pPr>
            <w:r w:rsidRPr="00BC4E82">
              <w:rPr>
                <w:sz w:val="18"/>
                <w:szCs w:val="18"/>
              </w:rPr>
              <w:t>Red 4: Articulación con colegios - Proyecto articulación educación Media, técnica y tecnológica.</w:t>
            </w:r>
          </w:p>
          <w:p w:rsidR="00E81064" w:rsidRPr="00BC4E82" w:rsidRDefault="00E81064" w:rsidP="00BC4E82">
            <w:pPr>
              <w:pStyle w:val="Sinespaciado"/>
              <w:cnfStyle w:val="000000100000" w:firstRow="0" w:lastRow="0" w:firstColumn="0" w:lastColumn="0" w:oddVBand="0" w:evenVBand="0" w:oddHBand="1" w:evenHBand="0" w:firstRowFirstColumn="0" w:firstRowLastColumn="0" w:lastRowFirstColumn="0" w:lastRowLastColumn="0"/>
              <w:rPr>
                <w:sz w:val="18"/>
                <w:szCs w:val="18"/>
              </w:rPr>
            </w:pPr>
            <w:r w:rsidRPr="00BC4E82">
              <w:rPr>
                <w:sz w:val="18"/>
                <w:szCs w:val="18"/>
              </w:rPr>
              <w:t>Red 5: Fundación Universidad Empresa Estado - Red de trabajo con empresarios.</w:t>
            </w:r>
          </w:p>
        </w:tc>
      </w:tr>
      <w:tr w:rsidR="00E81064" w:rsidRPr="00BC4E82" w:rsidTr="00BC4E8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vAlign w:val="center"/>
          </w:tcPr>
          <w:p w:rsidR="00E81064" w:rsidRPr="00BC4E82" w:rsidRDefault="00E81064" w:rsidP="00BC4E82">
            <w:pPr>
              <w:autoSpaceDE w:val="0"/>
              <w:autoSpaceDN w:val="0"/>
              <w:adjustRightInd w:val="0"/>
              <w:jc w:val="center"/>
              <w:rPr>
                <w:rFonts w:cs="Calibri"/>
                <w:color w:val="000000"/>
                <w:sz w:val="18"/>
                <w:szCs w:val="18"/>
              </w:rPr>
            </w:pPr>
            <w:r w:rsidRPr="00BC4E82">
              <w:rPr>
                <w:rFonts w:cs="Calibri"/>
                <w:color w:val="000000"/>
                <w:sz w:val="18"/>
                <w:szCs w:val="18"/>
              </w:rPr>
              <w:t>2010</w:t>
            </w:r>
          </w:p>
        </w:tc>
        <w:tc>
          <w:tcPr>
            <w:tcW w:w="7877" w:type="dxa"/>
          </w:tcPr>
          <w:p w:rsidR="00E81064" w:rsidRPr="00BC4E82" w:rsidRDefault="00E81064" w:rsidP="00BC4E82">
            <w:pPr>
              <w:pStyle w:val="Sinespaciado"/>
              <w:cnfStyle w:val="000000010000" w:firstRow="0" w:lastRow="0" w:firstColumn="0" w:lastColumn="0" w:oddVBand="0" w:evenVBand="0" w:oddHBand="0" w:evenHBand="1" w:firstRowFirstColumn="0" w:firstRowLastColumn="0" w:lastRowFirstColumn="0" w:lastRowLastColumn="0"/>
              <w:rPr>
                <w:sz w:val="18"/>
                <w:szCs w:val="18"/>
              </w:rPr>
            </w:pPr>
            <w:r w:rsidRPr="00BC4E82">
              <w:rPr>
                <w:sz w:val="18"/>
                <w:szCs w:val="18"/>
              </w:rPr>
              <w:t xml:space="preserve">Dos facultades involucradas en las Alianzas Estratégicas establecidas. </w:t>
            </w:r>
          </w:p>
          <w:p w:rsidR="00E81064" w:rsidRPr="00BC4E82" w:rsidRDefault="00E81064" w:rsidP="00BC4E82">
            <w:pPr>
              <w:pStyle w:val="Sinespaciado"/>
              <w:cnfStyle w:val="000000010000" w:firstRow="0" w:lastRow="0" w:firstColumn="0" w:lastColumn="0" w:oddVBand="0" w:evenVBand="0" w:oddHBand="0" w:evenHBand="1" w:firstRowFirstColumn="0" w:firstRowLastColumn="0" w:lastRowFirstColumn="0" w:lastRowLastColumn="0"/>
              <w:rPr>
                <w:sz w:val="18"/>
                <w:szCs w:val="18"/>
              </w:rPr>
            </w:pPr>
            <w:r w:rsidRPr="00BC4E82">
              <w:rPr>
                <w:sz w:val="18"/>
                <w:szCs w:val="18"/>
              </w:rPr>
              <w:t>Se realizó un proceso de revisión de las Alianzas Establecidas para identificar las posibles macro alianzas existentes en la institución.</w:t>
            </w:r>
          </w:p>
          <w:p w:rsidR="00E81064" w:rsidRPr="00BC4E82" w:rsidRDefault="00E81064" w:rsidP="00BC4E82">
            <w:pPr>
              <w:pStyle w:val="Sinespaciado"/>
              <w:cnfStyle w:val="000000010000" w:firstRow="0" w:lastRow="0" w:firstColumn="0" w:lastColumn="0" w:oddVBand="0" w:evenVBand="0" w:oddHBand="0" w:evenHBand="1" w:firstRowFirstColumn="0" w:firstRowLastColumn="0" w:lastRowFirstColumn="0" w:lastRowLastColumn="0"/>
              <w:rPr>
                <w:sz w:val="18"/>
                <w:szCs w:val="18"/>
              </w:rPr>
            </w:pPr>
            <w:r w:rsidRPr="00BC4E82">
              <w:rPr>
                <w:sz w:val="18"/>
                <w:szCs w:val="18"/>
              </w:rPr>
              <w:t>La movilización social ha venido consolidando acuerdos de entendimiento que deben ser sumados como Alianzas Estratégicas, estas a su vez se articulan configurando una gran red de trabajando con el mismo propósito de la Sociedad y Economía del Conocimiento.</w:t>
            </w:r>
          </w:p>
        </w:tc>
      </w:tr>
      <w:tr w:rsidR="00E81064" w:rsidRPr="00BC4E82" w:rsidTr="00BC4E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vAlign w:val="center"/>
          </w:tcPr>
          <w:p w:rsidR="00E81064" w:rsidRPr="00BC4E82" w:rsidRDefault="00E81064" w:rsidP="00BC4E82">
            <w:pPr>
              <w:autoSpaceDE w:val="0"/>
              <w:autoSpaceDN w:val="0"/>
              <w:adjustRightInd w:val="0"/>
              <w:jc w:val="center"/>
              <w:rPr>
                <w:rFonts w:cs="Calibri"/>
                <w:color w:val="000000"/>
                <w:sz w:val="18"/>
                <w:szCs w:val="18"/>
              </w:rPr>
            </w:pPr>
            <w:r w:rsidRPr="00BC4E82">
              <w:rPr>
                <w:rFonts w:cs="Calibri"/>
                <w:color w:val="000000"/>
                <w:sz w:val="18"/>
                <w:szCs w:val="18"/>
              </w:rPr>
              <w:t>2011-2012</w:t>
            </w:r>
          </w:p>
        </w:tc>
        <w:tc>
          <w:tcPr>
            <w:tcW w:w="7877" w:type="dxa"/>
          </w:tcPr>
          <w:p w:rsidR="00E81064" w:rsidRPr="00BC4E82" w:rsidRDefault="00E81064" w:rsidP="00BC4E82">
            <w:pPr>
              <w:pStyle w:val="Sinespaciado"/>
              <w:cnfStyle w:val="000000100000" w:firstRow="0" w:lastRow="0" w:firstColumn="0" w:lastColumn="0" w:oddVBand="0" w:evenVBand="0" w:oddHBand="1" w:evenHBand="0" w:firstRowFirstColumn="0" w:firstRowLastColumn="0" w:lastRowFirstColumn="0" w:lastRowLastColumn="0"/>
              <w:rPr>
                <w:sz w:val="18"/>
                <w:szCs w:val="18"/>
              </w:rPr>
            </w:pPr>
            <w:r w:rsidRPr="00BC4E82">
              <w:rPr>
                <w:sz w:val="18"/>
                <w:szCs w:val="18"/>
              </w:rPr>
              <w:t>La movilización social ha venido consolidando acuerdos de entendimiento que deben ser sumados como Alianzas Estratégicas, estas a su vez se articulan configurando una gran red trabajando con el mismo propósito de la Sociedad y Economía del Conocimiento.</w:t>
            </w:r>
          </w:p>
          <w:p w:rsidR="00E81064" w:rsidRPr="00BC4E82" w:rsidRDefault="00E81064" w:rsidP="00C02A32">
            <w:pPr>
              <w:pStyle w:val="Sinespaciado"/>
              <w:cnfStyle w:val="000000100000" w:firstRow="0" w:lastRow="0" w:firstColumn="0" w:lastColumn="0" w:oddVBand="0" w:evenVBand="0" w:oddHBand="1" w:evenHBand="0" w:firstRowFirstColumn="0" w:firstRowLastColumn="0" w:lastRowFirstColumn="0" w:lastRowLastColumn="0"/>
              <w:rPr>
                <w:sz w:val="18"/>
                <w:szCs w:val="18"/>
              </w:rPr>
            </w:pPr>
            <w:r w:rsidRPr="00BC4E82">
              <w:rPr>
                <w:sz w:val="18"/>
                <w:szCs w:val="18"/>
              </w:rPr>
              <w:t>En este proyecto se han articulado las siguientes alianzas</w:t>
            </w:r>
            <w:r w:rsidR="00C02A32">
              <w:rPr>
                <w:sz w:val="18"/>
                <w:szCs w:val="18"/>
              </w:rPr>
              <w:t xml:space="preserve"> (1. Sector político, 2. Universidades, 3. </w:t>
            </w:r>
            <w:proofErr w:type="spellStart"/>
            <w:r w:rsidR="00C02A32">
              <w:rPr>
                <w:sz w:val="18"/>
                <w:szCs w:val="18"/>
              </w:rPr>
              <w:t>Parquesoft</w:t>
            </w:r>
            <w:proofErr w:type="spellEnd"/>
            <w:r w:rsidR="00C02A32">
              <w:rPr>
                <w:sz w:val="18"/>
                <w:szCs w:val="18"/>
              </w:rPr>
              <w:t xml:space="preserve">, </w:t>
            </w:r>
            <w:r w:rsidRPr="00BC4E82">
              <w:rPr>
                <w:sz w:val="18"/>
                <w:szCs w:val="18"/>
              </w:rPr>
              <w:t>4. Sector Ambienta</w:t>
            </w:r>
            <w:r w:rsidR="00C02A32">
              <w:rPr>
                <w:sz w:val="18"/>
                <w:szCs w:val="18"/>
              </w:rPr>
              <w:t xml:space="preserve">l, 5. Concejo Municipal Pereira, </w:t>
            </w:r>
            <w:r w:rsidRPr="00BC4E82">
              <w:rPr>
                <w:sz w:val="18"/>
                <w:szCs w:val="18"/>
              </w:rPr>
              <w:t>6. Fundaci</w:t>
            </w:r>
            <w:r w:rsidR="00C02A32">
              <w:rPr>
                <w:sz w:val="18"/>
                <w:szCs w:val="18"/>
              </w:rPr>
              <w:t xml:space="preserve">ón empresarios por la educación, 7. </w:t>
            </w:r>
            <w:proofErr w:type="spellStart"/>
            <w:r w:rsidR="00C02A32">
              <w:rPr>
                <w:sz w:val="18"/>
                <w:szCs w:val="18"/>
              </w:rPr>
              <w:t>Acopi</w:t>
            </w:r>
            <w:proofErr w:type="spellEnd"/>
            <w:r w:rsidR="00C02A32">
              <w:rPr>
                <w:sz w:val="18"/>
                <w:szCs w:val="18"/>
              </w:rPr>
              <w:t xml:space="preserve">, 8. </w:t>
            </w:r>
            <w:proofErr w:type="spellStart"/>
            <w:r w:rsidR="00C02A32">
              <w:rPr>
                <w:sz w:val="18"/>
                <w:szCs w:val="18"/>
              </w:rPr>
              <w:t>Fenalco</w:t>
            </w:r>
            <w:proofErr w:type="spellEnd"/>
            <w:r w:rsidR="00C02A32">
              <w:rPr>
                <w:sz w:val="18"/>
                <w:szCs w:val="18"/>
              </w:rPr>
              <w:t xml:space="preserve">, 9. Sector Comunidades, </w:t>
            </w:r>
            <w:r w:rsidRPr="00BC4E82">
              <w:rPr>
                <w:sz w:val="18"/>
                <w:szCs w:val="18"/>
              </w:rPr>
              <w:t>10. Sector Juvenil.</w:t>
            </w:r>
            <w:r w:rsidR="00C02A32">
              <w:rPr>
                <w:sz w:val="18"/>
                <w:szCs w:val="18"/>
              </w:rPr>
              <w:t>)</w:t>
            </w:r>
          </w:p>
        </w:tc>
      </w:tr>
    </w:tbl>
    <w:p w:rsidR="00066428" w:rsidRDefault="00066428">
      <w:pPr>
        <w:spacing w:after="200" w:line="276" w:lineRule="auto"/>
        <w:jc w:val="left"/>
        <w:rPr>
          <w:rFonts w:asciiTheme="minorHAnsi" w:hAnsiTheme="minorHAnsi"/>
        </w:rPr>
      </w:pPr>
    </w:p>
    <w:p w:rsidR="00066428" w:rsidRDefault="00066428">
      <w:pPr>
        <w:spacing w:after="200" w:line="276" w:lineRule="auto"/>
        <w:jc w:val="left"/>
        <w:rPr>
          <w:rFonts w:asciiTheme="minorHAnsi" w:hAnsiTheme="minorHAnsi"/>
        </w:rPr>
      </w:pPr>
      <w:r>
        <w:rPr>
          <w:rFonts w:asciiTheme="minorHAnsi" w:hAnsiTheme="minorHAnsi"/>
        </w:rPr>
        <w:br w:type="page"/>
      </w:r>
    </w:p>
    <w:p w:rsidR="00066428" w:rsidRDefault="00066428" w:rsidP="00066428">
      <w:pPr>
        <w:pStyle w:val="Ttulo2"/>
        <w:numPr>
          <w:ilvl w:val="1"/>
          <w:numId w:val="21"/>
        </w:numPr>
      </w:pPr>
      <w:bookmarkStart w:id="162" w:name="_Toc354671372"/>
      <w:r>
        <w:lastRenderedPageBreak/>
        <w:t>RESUMEN DE RESULTADOS DEL PDI 2012 A NIVEL DE OBJETIVO Y COMPONENTES</w:t>
      </w:r>
      <w:bookmarkEnd w:id="162"/>
    </w:p>
    <w:p w:rsidR="00066428" w:rsidRDefault="00066428" w:rsidP="00066428"/>
    <w:p w:rsidR="00BE4B67" w:rsidRDefault="00BE4B67" w:rsidP="00BE4B67">
      <w:pPr>
        <w:pStyle w:val="Ttulo3"/>
      </w:pPr>
      <w:bookmarkStart w:id="163" w:name="_Toc354671373"/>
      <w:r>
        <w:rPr>
          <w:caps w:val="0"/>
        </w:rPr>
        <w:t>Resumen resultados Plan de Desarrollo Institucional 2012 a nivel de Objetivo</w:t>
      </w:r>
      <w:bookmarkEnd w:id="163"/>
    </w:p>
    <w:p w:rsidR="00BE4B67" w:rsidRDefault="00BE4B67" w:rsidP="00066428"/>
    <w:tbl>
      <w:tblPr>
        <w:tblW w:w="5579" w:type="pct"/>
        <w:jc w:val="center"/>
        <w:tblLayout w:type="fixed"/>
        <w:tblCellMar>
          <w:left w:w="70" w:type="dxa"/>
          <w:right w:w="70" w:type="dxa"/>
        </w:tblCellMar>
        <w:tblLook w:val="04A0" w:firstRow="1" w:lastRow="0" w:firstColumn="1" w:lastColumn="0" w:noHBand="0" w:noVBand="1"/>
      </w:tblPr>
      <w:tblGrid>
        <w:gridCol w:w="1346"/>
        <w:gridCol w:w="2198"/>
        <w:gridCol w:w="856"/>
        <w:gridCol w:w="1168"/>
        <w:gridCol w:w="769"/>
        <w:gridCol w:w="930"/>
        <w:gridCol w:w="805"/>
        <w:gridCol w:w="930"/>
        <w:gridCol w:w="1016"/>
      </w:tblGrid>
      <w:tr w:rsidR="00BE4B67" w:rsidRPr="009218B5" w:rsidTr="00BE4B67">
        <w:trPr>
          <w:trHeight w:val="1200"/>
          <w:tblHeader/>
          <w:jc w:val="center"/>
        </w:trPr>
        <w:tc>
          <w:tcPr>
            <w:tcW w:w="672" w:type="pct"/>
            <w:tcBorders>
              <w:top w:val="single" w:sz="4" w:space="0" w:color="auto"/>
              <w:left w:val="single" w:sz="4" w:space="0" w:color="auto"/>
              <w:bottom w:val="single" w:sz="4" w:space="0" w:color="auto"/>
              <w:right w:val="single" w:sz="4" w:space="0" w:color="auto"/>
            </w:tcBorders>
            <w:shd w:val="clear" w:color="000000" w:fill="B8CCE4"/>
            <w:noWrap/>
            <w:vAlign w:val="center"/>
            <w:hideMark/>
          </w:tcPr>
          <w:p w:rsidR="00BE4B67" w:rsidRPr="009218B5" w:rsidRDefault="00BE4B67" w:rsidP="009218B5">
            <w:pPr>
              <w:spacing w:after="0"/>
              <w:jc w:val="center"/>
              <w:rPr>
                <w:rFonts w:asciiTheme="minorHAnsi" w:eastAsia="Times New Roman" w:hAnsiTheme="minorHAnsi" w:cs="Arial"/>
                <w:b/>
                <w:bCs/>
                <w:sz w:val="16"/>
                <w:szCs w:val="16"/>
                <w:lang w:val="es-CO" w:eastAsia="es-CO"/>
              </w:rPr>
            </w:pPr>
            <w:r w:rsidRPr="009218B5">
              <w:rPr>
                <w:rFonts w:asciiTheme="minorHAnsi" w:eastAsia="Times New Roman" w:hAnsiTheme="minorHAnsi" w:cs="Arial"/>
                <w:b/>
                <w:bCs/>
                <w:sz w:val="16"/>
                <w:szCs w:val="16"/>
                <w:lang w:val="es-CO" w:eastAsia="es-CO"/>
              </w:rPr>
              <w:t>OBJETIVOS INSTITUCIONALES</w:t>
            </w:r>
          </w:p>
        </w:tc>
        <w:tc>
          <w:tcPr>
            <w:tcW w:w="1097" w:type="pct"/>
            <w:tcBorders>
              <w:top w:val="single" w:sz="4" w:space="0" w:color="auto"/>
              <w:left w:val="single" w:sz="4" w:space="0" w:color="auto"/>
              <w:bottom w:val="single" w:sz="4" w:space="0" w:color="auto"/>
              <w:right w:val="single" w:sz="4" w:space="0" w:color="auto"/>
            </w:tcBorders>
            <w:shd w:val="clear" w:color="000000" w:fill="B8CCE4"/>
            <w:vAlign w:val="center"/>
          </w:tcPr>
          <w:p w:rsidR="00BE4B67" w:rsidRPr="009218B5" w:rsidRDefault="00BE4B67" w:rsidP="009218B5">
            <w:pPr>
              <w:spacing w:after="0"/>
              <w:jc w:val="center"/>
              <w:rPr>
                <w:rFonts w:asciiTheme="minorHAnsi" w:eastAsia="Times New Roman" w:hAnsiTheme="minorHAnsi" w:cs="Arial"/>
                <w:b/>
                <w:bCs/>
                <w:sz w:val="16"/>
                <w:szCs w:val="16"/>
                <w:lang w:val="es-CO" w:eastAsia="es-CO"/>
              </w:rPr>
            </w:pPr>
            <w:r>
              <w:rPr>
                <w:rFonts w:asciiTheme="minorHAnsi" w:eastAsia="Times New Roman" w:hAnsiTheme="minorHAnsi" w:cs="Arial"/>
                <w:b/>
                <w:bCs/>
                <w:sz w:val="16"/>
                <w:szCs w:val="16"/>
                <w:lang w:val="es-CO" w:eastAsia="es-CO"/>
              </w:rPr>
              <w:t>Indicador</w:t>
            </w:r>
          </w:p>
        </w:tc>
        <w:tc>
          <w:tcPr>
            <w:tcW w:w="427" w:type="pct"/>
            <w:tcBorders>
              <w:top w:val="single" w:sz="4" w:space="0" w:color="auto"/>
              <w:left w:val="nil"/>
              <w:bottom w:val="single" w:sz="4" w:space="0" w:color="auto"/>
              <w:right w:val="single" w:sz="4" w:space="0" w:color="auto"/>
            </w:tcBorders>
            <w:shd w:val="clear" w:color="000000" w:fill="B8CCE4"/>
            <w:noWrap/>
            <w:vAlign w:val="center"/>
            <w:hideMark/>
          </w:tcPr>
          <w:p w:rsidR="00BE4B67" w:rsidRPr="009218B5" w:rsidRDefault="00BE4B67" w:rsidP="009218B5">
            <w:pPr>
              <w:spacing w:after="0"/>
              <w:jc w:val="center"/>
              <w:rPr>
                <w:rFonts w:asciiTheme="minorHAnsi" w:eastAsia="Times New Roman" w:hAnsiTheme="minorHAnsi" w:cs="Arial"/>
                <w:b/>
                <w:bCs/>
                <w:sz w:val="16"/>
                <w:szCs w:val="16"/>
                <w:lang w:val="es-CO" w:eastAsia="es-CO"/>
              </w:rPr>
            </w:pPr>
            <w:r w:rsidRPr="009218B5">
              <w:rPr>
                <w:rFonts w:asciiTheme="minorHAnsi" w:eastAsia="Times New Roman" w:hAnsiTheme="minorHAnsi" w:cs="Arial"/>
                <w:b/>
                <w:bCs/>
                <w:sz w:val="16"/>
                <w:szCs w:val="16"/>
                <w:lang w:val="es-CO" w:eastAsia="es-CO"/>
              </w:rPr>
              <w:t>Meta 2012</w:t>
            </w:r>
          </w:p>
        </w:tc>
        <w:tc>
          <w:tcPr>
            <w:tcW w:w="583" w:type="pct"/>
            <w:tcBorders>
              <w:top w:val="single" w:sz="4" w:space="0" w:color="auto"/>
              <w:left w:val="nil"/>
              <w:bottom w:val="single" w:sz="4" w:space="0" w:color="auto"/>
              <w:right w:val="single" w:sz="4" w:space="0" w:color="auto"/>
            </w:tcBorders>
            <w:shd w:val="clear" w:color="000000" w:fill="B8CCE4"/>
            <w:noWrap/>
            <w:vAlign w:val="center"/>
            <w:hideMark/>
          </w:tcPr>
          <w:p w:rsidR="00BE4B67" w:rsidRPr="009218B5" w:rsidRDefault="00BE4B67" w:rsidP="009218B5">
            <w:pPr>
              <w:spacing w:after="0"/>
              <w:jc w:val="center"/>
              <w:rPr>
                <w:rFonts w:asciiTheme="minorHAnsi" w:eastAsia="Times New Roman" w:hAnsiTheme="minorHAnsi" w:cs="Arial"/>
                <w:b/>
                <w:bCs/>
                <w:sz w:val="16"/>
                <w:szCs w:val="16"/>
                <w:lang w:val="es-CO" w:eastAsia="es-CO"/>
              </w:rPr>
            </w:pPr>
            <w:r>
              <w:rPr>
                <w:rFonts w:asciiTheme="minorHAnsi" w:eastAsia="Times New Roman" w:hAnsiTheme="minorHAnsi" w:cs="Arial"/>
                <w:b/>
                <w:bCs/>
                <w:sz w:val="16"/>
                <w:szCs w:val="16"/>
                <w:lang w:val="es-CO" w:eastAsia="es-CO"/>
              </w:rPr>
              <w:t>Resultado 2012</w:t>
            </w:r>
          </w:p>
        </w:tc>
        <w:tc>
          <w:tcPr>
            <w:tcW w:w="384" w:type="pct"/>
            <w:tcBorders>
              <w:top w:val="single" w:sz="4" w:space="0" w:color="auto"/>
              <w:left w:val="nil"/>
              <w:bottom w:val="single" w:sz="4" w:space="0" w:color="auto"/>
              <w:right w:val="single" w:sz="4" w:space="0" w:color="auto"/>
            </w:tcBorders>
            <w:shd w:val="clear" w:color="000000" w:fill="B8CCE4"/>
            <w:vAlign w:val="center"/>
            <w:hideMark/>
          </w:tcPr>
          <w:p w:rsidR="00BE4B67" w:rsidRPr="009218B5" w:rsidRDefault="00BE4B67" w:rsidP="009218B5">
            <w:pPr>
              <w:spacing w:after="0"/>
              <w:jc w:val="center"/>
              <w:rPr>
                <w:rFonts w:asciiTheme="minorHAnsi" w:eastAsia="Times New Roman" w:hAnsiTheme="minorHAnsi" w:cs="Arial"/>
                <w:b/>
                <w:bCs/>
                <w:sz w:val="16"/>
                <w:szCs w:val="16"/>
                <w:lang w:val="es-CO" w:eastAsia="es-CO"/>
              </w:rPr>
            </w:pPr>
            <w:r w:rsidRPr="009218B5">
              <w:rPr>
                <w:rFonts w:asciiTheme="minorHAnsi" w:eastAsia="Times New Roman" w:hAnsiTheme="minorHAnsi" w:cs="Arial"/>
                <w:b/>
                <w:bCs/>
                <w:sz w:val="16"/>
                <w:szCs w:val="16"/>
                <w:lang w:val="es-CO" w:eastAsia="es-CO"/>
              </w:rPr>
              <w:t>Avance Indicador</w:t>
            </w:r>
          </w:p>
        </w:tc>
        <w:tc>
          <w:tcPr>
            <w:tcW w:w="464" w:type="pct"/>
            <w:tcBorders>
              <w:top w:val="single" w:sz="4" w:space="0" w:color="auto"/>
              <w:left w:val="nil"/>
              <w:bottom w:val="single" w:sz="4" w:space="0" w:color="auto"/>
              <w:right w:val="single" w:sz="4" w:space="0" w:color="auto"/>
            </w:tcBorders>
            <w:shd w:val="clear" w:color="000000" w:fill="B8CCE4"/>
            <w:vAlign w:val="center"/>
            <w:hideMark/>
          </w:tcPr>
          <w:p w:rsidR="00BE4B67" w:rsidRPr="009218B5" w:rsidRDefault="00BE4B67" w:rsidP="009218B5">
            <w:pPr>
              <w:spacing w:after="0"/>
              <w:jc w:val="center"/>
              <w:rPr>
                <w:rFonts w:asciiTheme="minorHAnsi" w:eastAsia="Times New Roman" w:hAnsiTheme="minorHAnsi" w:cs="Arial"/>
                <w:b/>
                <w:bCs/>
                <w:sz w:val="16"/>
                <w:szCs w:val="16"/>
                <w:lang w:val="es-CO" w:eastAsia="es-CO"/>
              </w:rPr>
            </w:pPr>
            <w:r w:rsidRPr="009218B5">
              <w:rPr>
                <w:rFonts w:asciiTheme="minorHAnsi" w:eastAsia="Times New Roman" w:hAnsiTheme="minorHAnsi" w:cs="Arial"/>
                <w:b/>
                <w:bCs/>
                <w:sz w:val="16"/>
                <w:szCs w:val="16"/>
                <w:lang w:val="es-CO" w:eastAsia="es-CO"/>
              </w:rPr>
              <w:t>Ponderador Indicador</w:t>
            </w:r>
          </w:p>
        </w:tc>
        <w:tc>
          <w:tcPr>
            <w:tcW w:w="402" w:type="pct"/>
            <w:tcBorders>
              <w:top w:val="single" w:sz="4" w:space="0" w:color="auto"/>
              <w:left w:val="nil"/>
              <w:bottom w:val="single" w:sz="4" w:space="0" w:color="auto"/>
              <w:right w:val="single" w:sz="4" w:space="0" w:color="auto"/>
            </w:tcBorders>
            <w:shd w:val="clear" w:color="000000" w:fill="B8CCE4"/>
            <w:vAlign w:val="center"/>
            <w:hideMark/>
          </w:tcPr>
          <w:p w:rsidR="00BE4B67" w:rsidRPr="009218B5" w:rsidRDefault="00BE4B67" w:rsidP="009218B5">
            <w:pPr>
              <w:spacing w:after="0"/>
              <w:jc w:val="center"/>
              <w:rPr>
                <w:rFonts w:asciiTheme="minorHAnsi" w:eastAsia="Times New Roman" w:hAnsiTheme="minorHAnsi" w:cs="Arial"/>
                <w:b/>
                <w:bCs/>
                <w:sz w:val="16"/>
                <w:szCs w:val="16"/>
                <w:lang w:val="es-CO" w:eastAsia="es-CO"/>
              </w:rPr>
            </w:pPr>
            <w:r w:rsidRPr="009218B5">
              <w:rPr>
                <w:rFonts w:asciiTheme="minorHAnsi" w:eastAsia="Times New Roman" w:hAnsiTheme="minorHAnsi" w:cs="Arial"/>
                <w:b/>
                <w:bCs/>
                <w:sz w:val="16"/>
                <w:szCs w:val="16"/>
                <w:lang w:val="es-CO" w:eastAsia="es-CO"/>
              </w:rPr>
              <w:t>Resultado del Objetivo</w:t>
            </w:r>
          </w:p>
        </w:tc>
        <w:tc>
          <w:tcPr>
            <w:tcW w:w="464" w:type="pct"/>
            <w:tcBorders>
              <w:top w:val="single" w:sz="4" w:space="0" w:color="auto"/>
              <w:left w:val="nil"/>
              <w:bottom w:val="single" w:sz="4" w:space="0" w:color="auto"/>
              <w:right w:val="single" w:sz="4" w:space="0" w:color="auto"/>
            </w:tcBorders>
            <w:shd w:val="clear" w:color="000000" w:fill="B8CCE4"/>
            <w:vAlign w:val="center"/>
            <w:hideMark/>
          </w:tcPr>
          <w:p w:rsidR="00BE4B67" w:rsidRPr="009218B5" w:rsidRDefault="00BE4B67" w:rsidP="009218B5">
            <w:pPr>
              <w:spacing w:after="0"/>
              <w:jc w:val="center"/>
              <w:rPr>
                <w:rFonts w:asciiTheme="minorHAnsi" w:eastAsia="Times New Roman" w:hAnsiTheme="minorHAnsi" w:cs="Arial"/>
                <w:b/>
                <w:bCs/>
                <w:sz w:val="16"/>
                <w:szCs w:val="16"/>
                <w:lang w:val="es-CO" w:eastAsia="es-CO"/>
              </w:rPr>
            </w:pPr>
            <w:r w:rsidRPr="009218B5">
              <w:rPr>
                <w:rFonts w:asciiTheme="minorHAnsi" w:eastAsia="Times New Roman" w:hAnsiTheme="minorHAnsi" w:cs="Arial"/>
                <w:b/>
                <w:bCs/>
                <w:sz w:val="16"/>
                <w:szCs w:val="16"/>
                <w:lang w:val="es-CO" w:eastAsia="es-CO"/>
              </w:rPr>
              <w:t>Ponderador Objetivo</w:t>
            </w:r>
          </w:p>
        </w:tc>
        <w:tc>
          <w:tcPr>
            <w:tcW w:w="508" w:type="pct"/>
            <w:tcBorders>
              <w:top w:val="single" w:sz="4" w:space="0" w:color="auto"/>
              <w:left w:val="nil"/>
              <w:bottom w:val="single" w:sz="4" w:space="0" w:color="auto"/>
              <w:right w:val="single" w:sz="4" w:space="0" w:color="auto"/>
            </w:tcBorders>
            <w:shd w:val="clear" w:color="000000" w:fill="B8CCE4"/>
            <w:vAlign w:val="center"/>
            <w:hideMark/>
          </w:tcPr>
          <w:p w:rsidR="00BE4B67" w:rsidRPr="009218B5" w:rsidRDefault="00BE4B67" w:rsidP="00BE4B67">
            <w:pPr>
              <w:spacing w:after="0"/>
              <w:jc w:val="center"/>
              <w:rPr>
                <w:rFonts w:asciiTheme="minorHAnsi" w:eastAsia="Times New Roman" w:hAnsiTheme="minorHAnsi" w:cs="Arial"/>
                <w:b/>
                <w:bCs/>
                <w:sz w:val="16"/>
                <w:szCs w:val="16"/>
                <w:lang w:val="es-CO" w:eastAsia="es-CO"/>
              </w:rPr>
            </w:pPr>
            <w:r w:rsidRPr="009218B5">
              <w:rPr>
                <w:rFonts w:asciiTheme="minorHAnsi" w:eastAsia="Times New Roman" w:hAnsiTheme="minorHAnsi" w:cs="Arial"/>
                <w:b/>
                <w:bCs/>
                <w:sz w:val="16"/>
                <w:szCs w:val="16"/>
                <w:lang w:val="es-CO" w:eastAsia="es-CO"/>
              </w:rPr>
              <w:t>R</w:t>
            </w:r>
            <w:r>
              <w:rPr>
                <w:rFonts w:asciiTheme="minorHAnsi" w:eastAsia="Times New Roman" w:hAnsiTheme="minorHAnsi" w:cs="Arial"/>
                <w:b/>
                <w:bCs/>
                <w:sz w:val="16"/>
                <w:szCs w:val="16"/>
                <w:lang w:val="es-CO" w:eastAsia="es-CO"/>
              </w:rPr>
              <w:t>e</w:t>
            </w:r>
            <w:r w:rsidRPr="009218B5">
              <w:rPr>
                <w:rFonts w:asciiTheme="minorHAnsi" w:eastAsia="Times New Roman" w:hAnsiTheme="minorHAnsi" w:cs="Arial"/>
                <w:b/>
                <w:bCs/>
                <w:sz w:val="16"/>
                <w:szCs w:val="16"/>
                <w:lang w:val="es-CO" w:eastAsia="es-CO"/>
              </w:rPr>
              <w:t>sultados del PDI</w:t>
            </w:r>
          </w:p>
        </w:tc>
      </w:tr>
      <w:tr w:rsidR="009218B5" w:rsidRPr="009218B5" w:rsidTr="00BE4B67">
        <w:trPr>
          <w:trHeight w:val="300"/>
          <w:jc w:val="center"/>
        </w:trPr>
        <w:tc>
          <w:tcPr>
            <w:tcW w:w="672" w:type="pct"/>
            <w:tcBorders>
              <w:top w:val="nil"/>
              <w:left w:val="single" w:sz="4" w:space="0" w:color="auto"/>
              <w:bottom w:val="single" w:sz="4" w:space="0" w:color="auto"/>
              <w:right w:val="single" w:sz="4" w:space="0" w:color="auto"/>
            </w:tcBorders>
            <w:shd w:val="clear" w:color="auto" w:fill="auto"/>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Desarrollo Institucional</w:t>
            </w:r>
          </w:p>
        </w:tc>
        <w:tc>
          <w:tcPr>
            <w:tcW w:w="1097" w:type="pct"/>
            <w:tcBorders>
              <w:top w:val="nil"/>
              <w:left w:val="nil"/>
              <w:bottom w:val="single" w:sz="4" w:space="0" w:color="auto"/>
              <w:right w:val="single" w:sz="4" w:space="0" w:color="auto"/>
            </w:tcBorders>
            <w:shd w:val="clear" w:color="auto" w:fill="auto"/>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Eficiencia administrativa</w:t>
            </w:r>
          </w:p>
        </w:tc>
        <w:tc>
          <w:tcPr>
            <w:tcW w:w="427" w:type="pct"/>
            <w:tcBorders>
              <w:top w:val="nil"/>
              <w:left w:val="nil"/>
              <w:bottom w:val="single" w:sz="4" w:space="0" w:color="auto"/>
              <w:right w:val="single" w:sz="4" w:space="0" w:color="auto"/>
            </w:tcBorders>
            <w:shd w:val="clear" w:color="auto" w:fill="auto"/>
            <w:vAlign w:val="center"/>
            <w:hideMark/>
          </w:tcPr>
          <w:p w:rsidR="009218B5" w:rsidRPr="009218B5" w:rsidRDefault="009218B5" w:rsidP="009218B5">
            <w:pPr>
              <w:spacing w:after="0"/>
              <w:jc w:val="center"/>
              <w:rPr>
                <w:rFonts w:asciiTheme="minorHAnsi" w:eastAsia="Times New Roman" w:hAnsiTheme="minorHAnsi" w:cs="Arial"/>
                <w:color w:val="000000"/>
                <w:sz w:val="16"/>
                <w:szCs w:val="16"/>
                <w:lang w:val="es-CO" w:eastAsia="es-CO"/>
              </w:rPr>
            </w:pPr>
            <w:r w:rsidRPr="009218B5">
              <w:rPr>
                <w:rFonts w:asciiTheme="minorHAnsi" w:eastAsia="Times New Roman" w:hAnsiTheme="minorHAnsi" w:cs="Arial"/>
                <w:color w:val="000000"/>
                <w:sz w:val="16"/>
                <w:szCs w:val="16"/>
                <w:lang w:val="es-CO" w:eastAsia="es-CO"/>
              </w:rPr>
              <w:t>68,4</w:t>
            </w:r>
            <w:r>
              <w:rPr>
                <w:rFonts w:asciiTheme="minorHAnsi" w:eastAsia="Times New Roman" w:hAnsiTheme="minorHAnsi" w:cs="Arial"/>
                <w:color w:val="000000"/>
                <w:sz w:val="16"/>
                <w:szCs w:val="16"/>
                <w:lang w:val="es-CO" w:eastAsia="es-CO"/>
              </w:rPr>
              <w:t>%</w:t>
            </w:r>
          </w:p>
        </w:tc>
        <w:tc>
          <w:tcPr>
            <w:tcW w:w="583"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67,19</w:t>
            </w:r>
            <w:r>
              <w:rPr>
                <w:rFonts w:asciiTheme="minorHAnsi" w:eastAsia="Times New Roman" w:hAnsiTheme="minorHAnsi" w:cs="Arial"/>
                <w:sz w:val="16"/>
                <w:szCs w:val="16"/>
                <w:lang w:val="es-CO" w:eastAsia="es-CO"/>
              </w:rPr>
              <w:t>%</w:t>
            </w:r>
          </w:p>
        </w:tc>
        <w:tc>
          <w:tcPr>
            <w:tcW w:w="384"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98,23%</w:t>
            </w:r>
          </w:p>
        </w:tc>
        <w:tc>
          <w:tcPr>
            <w:tcW w:w="464"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100,00%</w:t>
            </w:r>
          </w:p>
        </w:tc>
        <w:tc>
          <w:tcPr>
            <w:tcW w:w="402"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98,23%</w:t>
            </w:r>
          </w:p>
        </w:tc>
        <w:tc>
          <w:tcPr>
            <w:tcW w:w="464"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12,10%</w:t>
            </w:r>
          </w:p>
        </w:tc>
        <w:tc>
          <w:tcPr>
            <w:tcW w:w="508" w:type="pct"/>
            <w:tcBorders>
              <w:top w:val="nil"/>
              <w:left w:val="nil"/>
              <w:bottom w:val="single" w:sz="4" w:space="0" w:color="auto"/>
              <w:right w:val="single" w:sz="4" w:space="0" w:color="auto"/>
            </w:tcBorders>
            <w:shd w:val="clear" w:color="000000" w:fill="DCE6F1"/>
            <w:noWrap/>
            <w:vAlign w:val="center"/>
            <w:hideMark/>
          </w:tcPr>
          <w:p w:rsidR="009218B5" w:rsidRPr="009218B5" w:rsidRDefault="009218B5" w:rsidP="009218B5">
            <w:pPr>
              <w:spacing w:after="0"/>
              <w:jc w:val="center"/>
              <w:rPr>
                <w:rFonts w:asciiTheme="minorHAnsi" w:eastAsia="Times New Roman" w:hAnsiTheme="minorHAnsi" w:cs="Arial"/>
                <w:b/>
                <w:bCs/>
                <w:sz w:val="16"/>
                <w:szCs w:val="16"/>
                <w:lang w:val="es-CO" w:eastAsia="es-CO"/>
              </w:rPr>
            </w:pPr>
            <w:r w:rsidRPr="009218B5">
              <w:rPr>
                <w:rFonts w:asciiTheme="minorHAnsi" w:eastAsia="Times New Roman" w:hAnsiTheme="minorHAnsi" w:cs="Arial"/>
                <w:b/>
                <w:bCs/>
                <w:sz w:val="16"/>
                <w:szCs w:val="16"/>
                <w:lang w:val="es-CO" w:eastAsia="es-CO"/>
              </w:rPr>
              <w:t>11,89%</w:t>
            </w:r>
          </w:p>
        </w:tc>
      </w:tr>
      <w:tr w:rsidR="009218B5" w:rsidRPr="009218B5" w:rsidTr="00BE4B67">
        <w:trPr>
          <w:trHeight w:val="900"/>
          <w:jc w:val="center"/>
        </w:trPr>
        <w:tc>
          <w:tcPr>
            <w:tcW w:w="672" w:type="pct"/>
            <w:vMerge w:val="restart"/>
            <w:tcBorders>
              <w:top w:val="nil"/>
              <w:left w:val="single" w:sz="4" w:space="0" w:color="auto"/>
              <w:bottom w:val="single" w:sz="4" w:space="0" w:color="auto"/>
              <w:right w:val="single" w:sz="4" w:space="0" w:color="auto"/>
            </w:tcBorders>
            <w:shd w:val="clear" w:color="auto" w:fill="auto"/>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Cobertura Con calidad</w:t>
            </w:r>
          </w:p>
        </w:tc>
        <w:tc>
          <w:tcPr>
            <w:tcW w:w="1097" w:type="pct"/>
            <w:tcBorders>
              <w:top w:val="nil"/>
              <w:left w:val="nil"/>
              <w:bottom w:val="single" w:sz="4" w:space="0" w:color="auto"/>
              <w:right w:val="single" w:sz="4" w:space="0" w:color="auto"/>
            </w:tcBorders>
            <w:shd w:val="clear" w:color="auto" w:fill="auto"/>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Estudiantes matriculados (Absorción de la educación media)</w:t>
            </w:r>
          </w:p>
        </w:tc>
        <w:tc>
          <w:tcPr>
            <w:tcW w:w="427" w:type="pct"/>
            <w:tcBorders>
              <w:top w:val="nil"/>
              <w:left w:val="nil"/>
              <w:bottom w:val="single" w:sz="4" w:space="0" w:color="auto"/>
              <w:right w:val="single" w:sz="4" w:space="0" w:color="auto"/>
            </w:tcBorders>
            <w:shd w:val="clear" w:color="auto" w:fill="auto"/>
            <w:vAlign w:val="center"/>
            <w:hideMark/>
          </w:tcPr>
          <w:p w:rsidR="009218B5" w:rsidRPr="009218B5" w:rsidRDefault="009218B5" w:rsidP="009218B5">
            <w:pPr>
              <w:spacing w:after="0"/>
              <w:jc w:val="center"/>
              <w:rPr>
                <w:rFonts w:asciiTheme="minorHAnsi" w:eastAsia="Times New Roman" w:hAnsiTheme="minorHAnsi" w:cs="Arial"/>
                <w:color w:val="000000"/>
                <w:sz w:val="16"/>
                <w:szCs w:val="16"/>
                <w:lang w:val="es-CO" w:eastAsia="es-CO"/>
              </w:rPr>
            </w:pPr>
            <w:r w:rsidRPr="009218B5">
              <w:rPr>
                <w:rFonts w:asciiTheme="minorHAnsi" w:eastAsia="Times New Roman" w:hAnsiTheme="minorHAnsi" w:cs="Arial"/>
                <w:color w:val="000000"/>
                <w:sz w:val="16"/>
                <w:szCs w:val="16"/>
                <w:lang w:val="es-CO" w:eastAsia="es-CO"/>
              </w:rPr>
              <w:t>40</w:t>
            </w:r>
            <w:r>
              <w:rPr>
                <w:rFonts w:asciiTheme="minorHAnsi" w:eastAsia="Times New Roman" w:hAnsiTheme="minorHAnsi" w:cs="Arial"/>
                <w:color w:val="000000"/>
                <w:sz w:val="16"/>
                <w:szCs w:val="16"/>
                <w:lang w:val="es-CO" w:eastAsia="es-CO"/>
              </w:rPr>
              <w:t>%</w:t>
            </w:r>
          </w:p>
        </w:tc>
        <w:tc>
          <w:tcPr>
            <w:tcW w:w="583"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36,95</w:t>
            </w:r>
            <w:r>
              <w:rPr>
                <w:rFonts w:asciiTheme="minorHAnsi" w:eastAsia="Times New Roman" w:hAnsiTheme="minorHAnsi" w:cs="Arial"/>
                <w:sz w:val="16"/>
                <w:szCs w:val="16"/>
                <w:lang w:val="es-CO" w:eastAsia="es-CO"/>
              </w:rPr>
              <w:t>%</w:t>
            </w:r>
          </w:p>
        </w:tc>
        <w:tc>
          <w:tcPr>
            <w:tcW w:w="384"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92,38%</w:t>
            </w:r>
          </w:p>
        </w:tc>
        <w:tc>
          <w:tcPr>
            <w:tcW w:w="464"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20,00%</w:t>
            </w:r>
          </w:p>
        </w:tc>
        <w:tc>
          <w:tcPr>
            <w:tcW w:w="402"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95,93%</w:t>
            </w:r>
          </w:p>
        </w:tc>
        <w:tc>
          <w:tcPr>
            <w:tcW w:w="464"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20,50%</w:t>
            </w:r>
          </w:p>
        </w:tc>
        <w:tc>
          <w:tcPr>
            <w:tcW w:w="508" w:type="pct"/>
            <w:vMerge w:val="restart"/>
            <w:tcBorders>
              <w:top w:val="nil"/>
              <w:left w:val="single" w:sz="4" w:space="0" w:color="auto"/>
              <w:bottom w:val="single" w:sz="4" w:space="0" w:color="auto"/>
              <w:right w:val="single" w:sz="4" w:space="0" w:color="auto"/>
            </w:tcBorders>
            <w:shd w:val="clear" w:color="000000" w:fill="DCE6F1"/>
            <w:noWrap/>
            <w:vAlign w:val="center"/>
            <w:hideMark/>
          </w:tcPr>
          <w:p w:rsidR="009218B5" w:rsidRPr="009218B5" w:rsidRDefault="009218B5" w:rsidP="009218B5">
            <w:pPr>
              <w:spacing w:after="0"/>
              <w:jc w:val="center"/>
              <w:rPr>
                <w:rFonts w:asciiTheme="minorHAnsi" w:eastAsia="Times New Roman" w:hAnsiTheme="minorHAnsi" w:cs="Arial"/>
                <w:b/>
                <w:bCs/>
                <w:sz w:val="16"/>
                <w:szCs w:val="16"/>
                <w:lang w:val="es-CO" w:eastAsia="es-CO"/>
              </w:rPr>
            </w:pPr>
            <w:r w:rsidRPr="009218B5">
              <w:rPr>
                <w:rFonts w:asciiTheme="minorHAnsi" w:eastAsia="Times New Roman" w:hAnsiTheme="minorHAnsi" w:cs="Arial"/>
                <w:b/>
                <w:bCs/>
                <w:sz w:val="16"/>
                <w:szCs w:val="16"/>
                <w:lang w:val="es-CO" w:eastAsia="es-CO"/>
              </w:rPr>
              <w:t>19,67%</w:t>
            </w:r>
          </w:p>
        </w:tc>
      </w:tr>
      <w:tr w:rsidR="009218B5" w:rsidRPr="009218B5" w:rsidTr="00BE4B67">
        <w:trPr>
          <w:trHeight w:val="600"/>
          <w:jc w:val="center"/>
        </w:trPr>
        <w:tc>
          <w:tcPr>
            <w:tcW w:w="672" w:type="pct"/>
            <w:vMerge/>
            <w:tcBorders>
              <w:top w:val="nil"/>
              <w:left w:val="single" w:sz="4" w:space="0" w:color="auto"/>
              <w:bottom w:val="single" w:sz="4" w:space="0" w:color="auto"/>
              <w:right w:val="single" w:sz="4" w:space="0" w:color="auto"/>
            </w:tcBorders>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p>
        </w:tc>
        <w:tc>
          <w:tcPr>
            <w:tcW w:w="1097" w:type="pct"/>
            <w:tcBorders>
              <w:top w:val="nil"/>
              <w:left w:val="nil"/>
              <w:bottom w:val="single" w:sz="4" w:space="0" w:color="auto"/>
              <w:right w:val="single" w:sz="4" w:space="0" w:color="auto"/>
            </w:tcBorders>
            <w:shd w:val="clear" w:color="auto" w:fill="auto"/>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Absorción de la educación superior (Posgrado)</w:t>
            </w:r>
          </w:p>
        </w:tc>
        <w:tc>
          <w:tcPr>
            <w:tcW w:w="427" w:type="pct"/>
            <w:tcBorders>
              <w:top w:val="nil"/>
              <w:left w:val="nil"/>
              <w:bottom w:val="single" w:sz="4" w:space="0" w:color="auto"/>
              <w:right w:val="single" w:sz="4" w:space="0" w:color="auto"/>
            </w:tcBorders>
            <w:shd w:val="clear" w:color="auto" w:fill="auto"/>
            <w:vAlign w:val="center"/>
            <w:hideMark/>
          </w:tcPr>
          <w:p w:rsidR="009218B5" w:rsidRPr="009218B5" w:rsidRDefault="009218B5" w:rsidP="009218B5">
            <w:pPr>
              <w:spacing w:after="0"/>
              <w:jc w:val="center"/>
              <w:rPr>
                <w:rFonts w:asciiTheme="minorHAnsi" w:eastAsia="Times New Roman" w:hAnsiTheme="minorHAnsi" w:cs="Arial"/>
                <w:color w:val="000000"/>
                <w:sz w:val="16"/>
                <w:szCs w:val="16"/>
                <w:lang w:val="es-CO" w:eastAsia="es-CO"/>
              </w:rPr>
            </w:pPr>
            <w:r w:rsidRPr="009218B5">
              <w:rPr>
                <w:rFonts w:asciiTheme="minorHAnsi" w:eastAsia="Times New Roman" w:hAnsiTheme="minorHAnsi" w:cs="Arial"/>
                <w:color w:val="000000"/>
                <w:sz w:val="16"/>
                <w:szCs w:val="16"/>
                <w:lang w:val="es-CO" w:eastAsia="es-CO"/>
              </w:rPr>
              <w:t>19,3</w:t>
            </w:r>
            <w:r>
              <w:rPr>
                <w:rFonts w:asciiTheme="minorHAnsi" w:eastAsia="Times New Roman" w:hAnsiTheme="minorHAnsi" w:cs="Arial"/>
                <w:color w:val="000000"/>
                <w:sz w:val="16"/>
                <w:szCs w:val="16"/>
                <w:lang w:val="es-CO" w:eastAsia="es-CO"/>
              </w:rPr>
              <w:t>%</w:t>
            </w:r>
          </w:p>
        </w:tc>
        <w:tc>
          <w:tcPr>
            <w:tcW w:w="583"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18,45</w:t>
            </w:r>
            <w:r>
              <w:rPr>
                <w:rFonts w:asciiTheme="minorHAnsi" w:eastAsia="Times New Roman" w:hAnsiTheme="minorHAnsi" w:cs="Arial"/>
                <w:sz w:val="16"/>
                <w:szCs w:val="16"/>
                <w:lang w:val="es-CO" w:eastAsia="es-CO"/>
              </w:rPr>
              <w:t>%</w:t>
            </w:r>
          </w:p>
        </w:tc>
        <w:tc>
          <w:tcPr>
            <w:tcW w:w="384"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95,60%</w:t>
            </w:r>
          </w:p>
        </w:tc>
        <w:tc>
          <w:tcPr>
            <w:tcW w:w="464"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20,00%</w:t>
            </w:r>
          </w:p>
        </w:tc>
        <w:tc>
          <w:tcPr>
            <w:tcW w:w="402" w:type="pct"/>
            <w:vMerge/>
            <w:tcBorders>
              <w:top w:val="nil"/>
              <w:left w:val="single" w:sz="4" w:space="0" w:color="auto"/>
              <w:bottom w:val="single" w:sz="4" w:space="0" w:color="auto"/>
              <w:right w:val="single" w:sz="4" w:space="0" w:color="auto"/>
            </w:tcBorders>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p>
        </w:tc>
        <w:tc>
          <w:tcPr>
            <w:tcW w:w="464" w:type="pct"/>
            <w:vMerge/>
            <w:tcBorders>
              <w:top w:val="nil"/>
              <w:left w:val="single" w:sz="4" w:space="0" w:color="auto"/>
              <w:bottom w:val="single" w:sz="4" w:space="0" w:color="auto"/>
              <w:right w:val="single" w:sz="4" w:space="0" w:color="auto"/>
            </w:tcBorders>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p>
        </w:tc>
        <w:tc>
          <w:tcPr>
            <w:tcW w:w="508" w:type="pct"/>
            <w:vMerge/>
            <w:tcBorders>
              <w:top w:val="nil"/>
              <w:left w:val="single" w:sz="4" w:space="0" w:color="auto"/>
              <w:bottom w:val="single" w:sz="4" w:space="0" w:color="auto"/>
              <w:right w:val="single" w:sz="4" w:space="0" w:color="auto"/>
            </w:tcBorders>
            <w:vAlign w:val="center"/>
            <w:hideMark/>
          </w:tcPr>
          <w:p w:rsidR="009218B5" w:rsidRPr="009218B5" w:rsidRDefault="009218B5" w:rsidP="009218B5">
            <w:pPr>
              <w:spacing w:after="0"/>
              <w:jc w:val="left"/>
              <w:rPr>
                <w:rFonts w:asciiTheme="minorHAnsi" w:eastAsia="Times New Roman" w:hAnsiTheme="minorHAnsi" w:cs="Arial"/>
                <w:b/>
                <w:bCs/>
                <w:sz w:val="16"/>
                <w:szCs w:val="16"/>
                <w:lang w:val="es-CO" w:eastAsia="es-CO"/>
              </w:rPr>
            </w:pPr>
          </w:p>
        </w:tc>
      </w:tr>
      <w:tr w:rsidR="009218B5" w:rsidRPr="009218B5" w:rsidTr="00BE4B67">
        <w:trPr>
          <w:trHeight w:val="600"/>
          <w:jc w:val="center"/>
        </w:trPr>
        <w:tc>
          <w:tcPr>
            <w:tcW w:w="672" w:type="pct"/>
            <w:vMerge/>
            <w:tcBorders>
              <w:top w:val="nil"/>
              <w:left w:val="single" w:sz="4" w:space="0" w:color="auto"/>
              <w:bottom w:val="single" w:sz="4" w:space="0" w:color="auto"/>
              <w:right w:val="single" w:sz="4" w:space="0" w:color="auto"/>
            </w:tcBorders>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p>
        </w:tc>
        <w:tc>
          <w:tcPr>
            <w:tcW w:w="1097" w:type="pct"/>
            <w:tcBorders>
              <w:top w:val="nil"/>
              <w:left w:val="nil"/>
              <w:bottom w:val="single" w:sz="4" w:space="0" w:color="auto"/>
              <w:right w:val="single" w:sz="4" w:space="0" w:color="auto"/>
            </w:tcBorders>
            <w:shd w:val="clear" w:color="auto" w:fill="auto"/>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Estudiantes graduados por cohorte</w:t>
            </w:r>
          </w:p>
        </w:tc>
        <w:tc>
          <w:tcPr>
            <w:tcW w:w="427" w:type="pct"/>
            <w:tcBorders>
              <w:top w:val="nil"/>
              <w:left w:val="nil"/>
              <w:bottom w:val="single" w:sz="4" w:space="0" w:color="auto"/>
              <w:right w:val="single" w:sz="4" w:space="0" w:color="auto"/>
            </w:tcBorders>
            <w:shd w:val="clear" w:color="auto" w:fill="auto"/>
            <w:vAlign w:val="center"/>
            <w:hideMark/>
          </w:tcPr>
          <w:p w:rsidR="009218B5" w:rsidRPr="009218B5" w:rsidRDefault="009218B5" w:rsidP="009218B5">
            <w:pPr>
              <w:spacing w:after="0"/>
              <w:jc w:val="center"/>
              <w:rPr>
                <w:rFonts w:asciiTheme="minorHAnsi" w:eastAsia="Times New Roman" w:hAnsiTheme="minorHAnsi" w:cs="Arial"/>
                <w:color w:val="000000"/>
                <w:sz w:val="16"/>
                <w:szCs w:val="16"/>
                <w:lang w:val="es-CO" w:eastAsia="es-CO"/>
              </w:rPr>
            </w:pPr>
            <w:r w:rsidRPr="009218B5">
              <w:rPr>
                <w:rFonts w:asciiTheme="minorHAnsi" w:eastAsia="Times New Roman" w:hAnsiTheme="minorHAnsi" w:cs="Arial"/>
                <w:color w:val="000000"/>
                <w:sz w:val="16"/>
                <w:szCs w:val="16"/>
                <w:lang w:val="es-CO" w:eastAsia="es-CO"/>
              </w:rPr>
              <w:t>30</w:t>
            </w:r>
            <w:r>
              <w:rPr>
                <w:rFonts w:asciiTheme="minorHAnsi" w:eastAsia="Times New Roman" w:hAnsiTheme="minorHAnsi" w:cs="Arial"/>
                <w:color w:val="000000"/>
                <w:sz w:val="16"/>
                <w:szCs w:val="16"/>
                <w:lang w:val="es-CO" w:eastAsia="es-CO"/>
              </w:rPr>
              <w:t>%</w:t>
            </w:r>
          </w:p>
        </w:tc>
        <w:tc>
          <w:tcPr>
            <w:tcW w:w="583"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27,50</w:t>
            </w:r>
            <w:r>
              <w:rPr>
                <w:rFonts w:asciiTheme="minorHAnsi" w:eastAsia="Times New Roman" w:hAnsiTheme="minorHAnsi" w:cs="Arial"/>
                <w:sz w:val="16"/>
                <w:szCs w:val="16"/>
                <w:lang w:val="es-CO" w:eastAsia="es-CO"/>
              </w:rPr>
              <w:t>%</w:t>
            </w:r>
          </w:p>
        </w:tc>
        <w:tc>
          <w:tcPr>
            <w:tcW w:w="384"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91,67%</w:t>
            </w:r>
          </w:p>
        </w:tc>
        <w:tc>
          <w:tcPr>
            <w:tcW w:w="464"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20,00%</w:t>
            </w:r>
          </w:p>
        </w:tc>
        <w:tc>
          <w:tcPr>
            <w:tcW w:w="402" w:type="pct"/>
            <w:vMerge/>
            <w:tcBorders>
              <w:top w:val="nil"/>
              <w:left w:val="single" w:sz="4" w:space="0" w:color="auto"/>
              <w:bottom w:val="single" w:sz="4" w:space="0" w:color="auto"/>
              <w:right w:val="single" w:sz="4" w:space="0" w:color="auto"/>
            </w:tcBorders>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p>
        </w:tc>
        <w:tc>
          <w:tcPr>
            <w:tcW w:w="464" w:type="pct"/>
            <w:vMerge/>
            <w:tcBorders>
              <w:top w:val="nil"/>
              <w:left w:val="single" w:sz="4" w:space="0" w:color="auto"/>
              <w:bottom w:val="single" w:sz="4" w:space="0" w:color="auto"/>
              <w:right w:val="single" w:sz="4" w:space="0" w:color="auto"/>
            </w:tcBorders>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p>
        </w:tc>
        <w:tc>
          <w:tcPr>
            <w:tcW w:w="508" w:type="pct"/>
            <w:vMerge/>
            <w:tcBorders>
              <w:top w:val="nil"/>
              <w:left w:val="single" w:sz="4" w:space="0" w:color="auto"/>
              <w:bottom w:val="single" w:sz="4" w:space="0" w:color="auto"/>
              <w:right w:val="single" w:sz="4" w:space="0" w:color="auto"/>
            </w:tcBorders>
            <w:vAlign w:val="center"/>
            <w:hideMark/>
          </w:tcPr>
          <w:p w:rsidR="009218B5" w:rsidRPr="009218B5" w:rsidRDefault="009218B5" w:rsidP="009218B5">
            <w:pPr>
              <w:spacing w:after="0"/>
              <w:jc w:val="left"/>
              <w:rPr>
                <w:rFonts w:asciiTheme="minorHAnsi" w:eastAsia="Times New Roman" w:hAnsiTheme="minorHAnsi" w:cs="Arial"/>
                <w:b/>
                <w:bCs/>
                <w:sz w:val="16"/>
                <w:szCs w:val="16"/>
                <w:lang w:val="es-CO" w:eastAsia="es-CO"/>
              </w:rPr>
            </w:pPr>
          </w:p>
        </w:tc>
      </w:tr>
      <w:tr w:rsidR="009218B5" w:rsidRPr="009218B5" w:rsidTr="00BE4B67">
        <w:trPr>
          <w:trHeight w:val="600"/>
          <w:jc w:val="center"/>
        </w:trPr>
        <w:tc>
          <w:tcPr>
            <w:tcW w:w="672" w:type="pct"/>
            <w:vMerge/>
            <w:tcBorders>
              <w:top w:val="nil"/>
              <w:left w:val="single" w:sz="4" w:space="0" w:color="auto"/>
              <w:bottom w:val="single" w:sz="4" w:space="0" w:color="auto"/>
              <w:right w:val="single" w:sz="4" w:space="0" w:color="auto"/>
            </w:tcBorders>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p>
        </w:tc>
        <w:tc>
          <w:tcPr>
            <w:tcW w:w="1097" w:type="pct"/>
            <w:tcBorders>
              <w:top w:val="nil"/>
              <w:left w:val="nil"/>
              <w:bottom w:val="single" w:sz="4" w:space="0" w:color="auto"/>
              <w:right w:val="single" w:sz="4" w:space="0" w:color="auto"/>
            </w:tcBorders>
            <w:shd w:val="clear" w:color="auto" w:fill="auto"/>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Programas acreditados de alta calidad (Posgrado)</w:t>
            </w:r>
          </w:p>
        </w:tc>
        <w:tc>
          <w:tcPr>
            <w:tcW w:w="427" w:type="pct"/>
            <w:tcBorders>
              <w:top w:val="nil"/>
              <w:left w:val="nil"/>
              <w:bottom w:val="single" w:sz="4" w:space="0" w:color="auto"/>
              <w:right w:val="single" w:sz="4" w:space="0" w:color="auto"/>
            </w:tcBorders>
            <w:shd w:val="clear" w:color="auto" w:fill="auto"/>
            <w:vAlign w:val="center"/>
            <w:hideMark/>
          </w:tcPr>
          <w:p w:rsidR="009218B5" w:rsidRPr="009218B5" w:rsidRDefault="009218B5" w:rsidP="009218B5">
            <w:pPr>
              <w:spacing w:after="0"/>
              <w:jc w:val="center"/>
              <w:rPr>
                <w:rFonts w:asciiTheme="minorHAnsi" w:eastAsia="Times New Roman" w:hAnsiTheme="minorHAnsi" w:cs="Arial"/>
                <w:color w:val="000000"/>
                <w:sz w:val="16"/>
                <w:szCs w:val="16"/>
                <w:lang w:val="es-CO" w:eastAsia="es-CO"/>
              </w:rPr>
            </w:pPr>
            <w:r w:rsidRPr="009218B5">
              <w:rPr>
                <w:rFonts w:asciiTheme="minorHAnsi" w:eastAsia="Times New Roman" w:hAnsiTheme="minorHAnsi" w:cs="Arial"/>
                <w:color w:val="000000"/>
                <w:sz w:val="16"/>
                <w:szCs w:val="16"/>
                <w:lang w:val="es-CO" w:eastAsia="es-CO"/>
              </w:rPr>
              <w:t>20</w:t>
            </w:r>
            <w:r>
              <w:rPr>
                <w:rFonts w:asciiTheme="minorHAnsi" w:eastAsia="Times New Roman" w:hAnsiTheme="minorHAnsi" w:cs="Arial"/>
                <w:color w:val="000000"/>
                <w:sz w:val="16"/>
                <w:szCs w:val="16"/>
                <w:lang w:val="es-CO" w:eastAsia="es-CO"/>
              </w:rPr>
              <w:t>%</w:t>
            </w:r>
          </w:p>
        </w:tc>
        <w:tc>
          <w:tcPr>
            <w:tcW w:w="583"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20</w:t>
            </w:r>
            <w:r>
              <w:rPr>
                <w:rFonts w:asciiTheme="minorHAnsi" w:eastAsia="Times New Roman" w:hAnsiTheme="minorHAnsi" w:cs="Arial"/>
                <w:sz w:val="16"/>
                <w:szCs w:val="16"/>
                <w:lang w:val="es-CO" w:eastAsia="es-CO"/>
              </w:rPr>
              <w:t>%</w:t>
            </w:r>
          </w:p>
        </w:tc>
        <w:tc>
          <w:tcPr>
            <w:tcW w:w="384"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100,00%</w:t>
            </w:r>
          </w:p>
        </w:tc>
        <w:tc>
          <w:tcPr>
            <w:tcW w:w="464"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20,00%</w:t>
            </w:r>
          </w:p>
        </w:tc>
        <w:tc>
          <w:tcPr>
            <w:tcW w:w="402" w:type="pct"/>
            <w:vMerge/>
            <w:tcBorders>
              <w:top w:val="nil"/>
              <w:left w:val="single" w:sz="4" w:space="0" w:color="auto"/>
              <w:bottom w:val="single" w:sz="4" w:space="0" w:color="auto"/>
              <w:right w:val="single" w:sz="4" w:space="0" w:color="auto"/>
            </w:tcBorders>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p>
        </w:tc>
        <w:tc>
          <w:tcPr>
            <w:tcW w:w="464" w:type="pct"/>
            <w:vMerge/>
            <w:tcBorders>
              <w:top w:val="nil"/>
              <w:left w:val="single" w:sz="4" w:space="0" w:color="auto"/>
              <w:bottom w:val="single" w:sz="4" w:space="0" w:color="auto"/>
              <w:right w:val="single" w:sz="4" w:space="0" w:color="auto"/>
            </w:tcBorders>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p>
        </w:tc>
        <w:tc>
          <w:tcPr>
            <w:tcW w:w="508" w:type="pct"/>
            <w:vMerge/>
            <w:tcBorders>
              <w:top w:val="nil"/>
              <w:left w:val="single" w:sz="4" w:space="0" w:color="auto"/>
              <w:bottom w:val="single" w:sz="4" w:space="0" w:color="auto"/>
              <w:right w:val="single" w:sz="4" w:space="0" w:color="auto"/>
            </w:tcBorders>
            <w:vAlign w:val="center"/>
            <w:hideMark/>
          </w:tcPr>
          <w:p w:rsidR="009218B5" w:rsidRPr="009218B5" w:rsidRDefault="009218B5" w:rsidP="009218B5">
            <w:pPr>
              <w:spacing w:after="0"/>
              <w:jc w:val="left"/>
              <w:rPr>
                <w:rFonts w:asciiTheme="minorHAnsi" w:eastAsia="Times New Roman" w:hAnsiTheme="minorHAnsi" w:cs="Arial"/>
                <w:b/>
                <w:bCs/>
                <w:sz w:val="16"/>
                <w:szCs w:val="16"/>
                <w:lang w:val="es-CO" w:eastAsia="es-CO"/>
              </w:rPr>
            </w:pPr>
          </w:p>
        </w:tc>
      </w:tr>
      <w:tr w:rsidR="009218B5" w:rsidRPr="009218B5" w:rsidTr="00BE4B67">
        <w:trPr>
          <w:trHeight w:val="600"/>
          <w:jc w:val="center"/>
        </w:trPr>
        <w:tc>
          <w:tcPr>
            <w:tcW w:w="672" w:type="pct"/>
            <w:vMerge/>
            <w:tcBorders>
              <w:top w:val="nil"/>
              <w:left w:val="single" w:sz="4" w:space="0" w:color="auto"/>
              <w:bottom w:val="single" w:sz="4" w:space="0" w:color="auto"/>
              <w:right w:val="single" w:sz="4" w:space="0" w:color="auto"/>
            </w:tcBorders>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p>
        </w:tc>
        <w:tc>
          <w:tcPr>
            <w:tcW w:w="1097" w:type="pct"/>
            <w:tcBorders>
              <w:top w:val="nil"/>
              <w:left w:val="nil"/>
              <w:bottom w:val="single" w:sz="4" w:space="0" w:color="auto"/>
              <w:right w:val="single" w:sz="4" w:space="0" w:color="auto"/>
            </w:tcBorders>
            <w:shd w:val="clear" w:color="auto" w:fill="auto"/>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Programas acreditados de alta calidad (Pregrado)</w:t>
            </w:r>
          </w:p>
        </w:tc>
        <w:tc>
          <w:tcPr>
            <w:tcW w:w="427" w:type="pct"/>
            <w:tcBorders>
              <w:top w:val="nil"/>
              <w:left w:val="nil"/>
              <w:bottom w:val="single" w:sz="4" w:space="0" w:color="auto"/>
              <w:right w:val="single" w:sz="4" w:space="0" w:color="auto"/>
            </w:tcBorders>
            <w:shd w:val="clear" w:color="auto" w:fill="auto"/>
            <w:vAlign w:val="center"/>
            <w:hideMark/>
          </w:tcPr>
          <w:p w:rsidR="009218B5" w:rsidRPr="009218B5" w:rsidRDefault="009218B5" w:rsidP="009218B5">
            <w:pPr>
              <w:spacing w:after="0"/>
              <w:jc w:val="center"/>
              <w:rPr>
                <w:rFonts w:asciiTheme="minorHAnsi" w:eastAsia="Times New Roman" w:hAnsiTheme="minorHAnsi" w:cs="Arial"/>
                <w:color w:val="000000"/>
                <w:sz w:val="16"/>
                <w:szCs w:val="16"/>
                <w:lang w:val="es-CO" w:eastAsia="es-CO"/>
              </w:rPr>
            </w:pPr>
            <w:r w:rsidRPr="009218B5">
              <w:rPr>
                <w:rFonts w:asciiTheme="minorHAnsi" w:eastAsia="Times New Roman" w:hAnsiTheme="minorHAnsi" w:cs="Arial"/>
                <w:color w:val="000000"/>
                <w:sz w:val="16"/>
                <w:szCs w:val="16"/>
                <w:lang w:val="es-CO" w:eastAsia="es-CO"/>
              </w:rPr>
              <w:t>75</w:t>
            </w:r>
            <w:r>
              <w:rPr>
                <w:rFonts w:asciiTheme="minorHAnsi" w:eastAsia="Times New Roman" w:hAnsiTheme="minorHAnsi" w:cs="Arial"/>
                <w:color w:val="000000"/>
                <w:sz w:val="16"/>
                <w:szCs w:val="16"/>
                <w:lang w:val="es-CO" w:eastAsia="es-CO"/>
              </w:rPr>
              <w:t>%</w:t>
            </w:r>
          </w:p>
        </w:tc>
        <w:tc>
          <w:tcPr>
            <w:tcW w:w="583"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76,19</w:t>
            </w:r>
            <w:r>
              <w:rPr>
                <w:rFonts w:asciiTheme="minorHAnsi" w:eastAsia="Times New Roman" w:hAnsiTheme="minorHAnsi" w:cs="Arial"/>
                <w:sz w:val="16"/>
                <w:szCs w:val="16"/>
                <w:lang w:val="es-CO" w:eastAsia="es-CO"/>
              </w:rPr>
              <w:t>%</w:t>
            </w:r>
          </w:p>
        </w:tc>
        <w:tc>
          <w:tcPr>
            <w:tcW w:w="384"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100,00%</w:t>
            </w:r>
          </w:p>
        </w:tc>
        <w:tc>
          <w:tcPr>
            <w:tcW w:w="464"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20,00%</w:t>
            </w:r>
          </w:p>
        </w:tc>
        <w:tc>
          <w:tcPr>
            <w:tcW w:w="402" w:type="pct"/>
            <w:vMerge/>
            <w:tcBorders>
              <w:top w:val="nil"/>
              <w:left w:val="single" w:sz="4" w:space="0" w:color="auto"/>
              <w:bottom w:val="single" w:sz="4" w:space="0" w:color="auto"/>
              <w:right w:val="single" w:sz="4" w:space="0" w:color="auto"/>
            </w:tcBorders>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p>
        </w:tc>
        <w:tc>
          <w:tcPr>
            <w:tcW w:w="464" w:type="pct"/>
            <w:vMerge/>
            <w:tcBorders>
              <w:top w:val="nil"/>
              <w:left w:val="single" w:sz="4" w:space="0" w:color="auto"/>
              <w:bottom w:val="single" w:sz="4" w:space="0" w:color="auto"/>
              <w:right w:val="single" w:sz="4" w:space="0" w:color="auto"/>
            </w:tcBorders>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p>
        </w:tc>
        <w:tc>
          <w:tcPr>
            <w:tcW w:w="508" w:type="pct"/>
            <w:vMerge/>
            <w:tcBorders>
              <w:top w:val="nil"/>
              <w:left w:val="single" w:sz="4" w:space="0" w:color="auto"/>
              <w:bottom w:val="single" w:sz="4" w:space="0" w:color="auto"/>
              <w:right w:val="single" w:sz="4" w:space="0" w:color="auto"/>
            </w:tcBorders>
            <w:vAlign w:val="center"/>
            <w:hideMark/>
          </w:tcPr>
          <w:p w:rsidR="009218B5" w:rsidRPr="009218B5" w:rsidRDefault="009218B5" w:rsidP="009218B5">
            <w:pPr>
              <w:spacing w:after="0"/>
              <w:jc w:val="left"/>
              <w:rPr>
                <w:rFonts w:asciiTheme="minorHAnsi" w:eastAsia="Times New Roman" w:hAnsiTheme="minorHAnsi" w:cs="Arial"/>
                <w:b/>
                <w:bCs/>
                <w:sz w:val="16"/>
                <w:szCs w:val="16"/>
                <w:lang w:val="es-CO" w:eastAsia="es-CO"/>
              </w:rPr>
            </w:pPr>
          </w:p>
        </w:tc>
      </w:tr>
      <w:tr w:rsidR="009218B5" w:rsidRPr="009218B5" w:rsidTr="00BE4B67">
        <w:trPr>
          <w:trHeight w:val="900"/>
          <w:jc w:val="center"/>
        </w:trPr>
        <w:tc>
          <w:tcPr>
            <w:tcW w:w="672" w:type="pct"/>
            <w:tcBorders>
              <w:top w:val="nil"/>
              <w:left w:val="single" w:sz="4" w:space="0" w:color="auto"/>
              <w:bottom w:val="single" w:sz="4" w:space="0" w:color="auto"/>
              <w:right w:val="single" w:sz="4" w:space="0" w:color="auto"/>
            </w:tcBorders>
            <w:shd w:val="clear" w:color="auto" w:fill="auto"/>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Bienestar Institucional</w:t>
            </w:r>
          </w:p>
        </w:tc>
        <w:tc>
          <w:tcPr>
            <w:tcW w:w="1097" w:type="pct"/>
            <w:tcBorders>
              <w:top w:val="nil"/>
              <w:left w:val="nil"/>
              <w:bottom w:val="single" w:sz="4" w:space="0" w:color="auto"/>
              <w:right w:val="single" w:sz="4" w:space="0" w:color="auto"/>
            </w:tcBorders>
            <w:shd w:val="clear" w:color="auto" w:fill="auto"/>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Calidad de vida en contextos universitarios con responsabilidad social</w:t>
            </w:r>
          </w:p>
        </w:tc>
        <w:tc>
          <w:tcPr>
            <w:tcW w:w="427" w:type="pct"/>
            <w:tcBorders>
              <w:top w:val="nil"/>
              <w:left w:val="nil"/>
              <w:bottom w:val="single" w:sz="4" w:space="0" w:color="auto"/>
              <w:right w:val="single" w:sz="4" w:space="0" w:color="auto"/>
            </w:tcBorders>
            <w:shd w:val="clear" w:color="auto" w:fill="auto"/>
            <w:vAlign w:val="center"/>
            <w:hideMark/>
          </w:tcPr>
          <w:p w:rsidR="009218B5" w:rsidRPr="009218B5" w:rsidRDefault="009218B5" w:rsidP="009218B5">
            <w:pPr>
              <w:spacing w:after="0"/>
              <w:jc w:val="center"/>
              <w:rPr>
                <w:rFonts w:asciiTheme="minorHAnsi" w:eastAsia="Times New Roman" w:hAnsiTheme="minorHAnsi" w:cs="Arial"/>
                <w:color w:val="000000"/>
                <w:sz w:val="16"/>
                <w:szCs w:val="16"/>
                <w:lang w:val="es-CO" w:eastAsia="es-CO"/>
              </w:rPr>
            </w:pPr>
            <w:r w:rsidRPr="009218B5">
              <w:rPr>
                <w:rFonts w:asciiTheme="minorHAnsi" w:eastAsia="Times New Roman" w:hAnsiTheme="minorHAnsi" w:cs="Arial"/>
                <w:color w:val="000000"/>
                <w:sz w:val="16"/>
                <w:szCs w:val="16"/>
                <w:lang w:val="es-CO" w:eastAsia="es-CO"/>
              </w:rPr>
              <w:t>67,20</w:t>
            </w:r>
            <w:r>
              <w:rPr>
                <w:rFonts w:asciiTheme="minorHAnsi" w:eastAsia="Times New Roman" w:hAnsiTheme="minorHAnsi" w:cs="Arial"/>
                <w:color w:val="000000"/>
                <w:sz w:val="16"/>
                <w:szCs w:val="16"/>
                <w:lang w:val="es-CO" w:eastAsia="es-CO"/>
              </w:rPr>
              <w:t>%</w:t>
            </w:r>
          </w:p>
        </w:tc>
        <w:tc>
          <w:tcPr>
            <w:tcW w:w="583"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95,14</w:t>
            </w:r>
            <w:r>
              <w:rPr>
                <w:rFonts w:asciiTheme="minorHAnsi" w:eastAsia="Times New Roman" w:hAnsiTheme="minorHAnsi" w:cs="Arial"/>
                <w:sz w:val="16"/>
                <w:szCs w:val="16"/>
                <w:lang w:val="es-CO" w:eastAsia="es-CO"/>
              </w:rPr>
              <w:t>%</w:t>
            </w:r>
          </w:p>
        </w:tc>
        <w:tc>
          <w:tcPr>
            <w:tcW w:w="384"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100,00%</w:t>
            </w:r>
          </w:p>
        </w:tc>
        <w:tc>
          <w:tcPr>
            <w:tcW w:w="464"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100,00%</w:t>
            </w:r>
          </w:p>
        </w:tc>
        <w:tc>
          <w:tcPr>
            <w:tcW w:w="402"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100,00%</w:t>
            </w:r>
          </w:p>
        </w:tc>
        <w:tc>
          <w:tcPr>
            <w:tcW w:w="464"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11,90%</w:t>
            </w:r>
          </w:p>
        </w:tc>
        <w:tc>
          <w:tcPr>
            <w:tcW w:w="508" w:type="pct"/>
            <w:tcBorders>
              <w:top w:val="nil"/>
              <w:left w:val="nil"/>
              <w:bottom w:val="single" w:sz="4" w:space="0" w:color="auto"/>
              <w:right w:val="single" w:sz="4" w:space="0" w:color="auto"/>
            </w:tcBorders>
            <w:shd w:val="clear" w:color="000000" w:fill="DCE6F1"/>
            <w:noWrap/>
            <w:vAlign w:val="center"/>
            <w:hideMark/>
          </w:tcPr>
          <w:p w:rsidR="009218B5" w:rsidRPr="009218B5" w:rsidRDefault="009218B5" w:rsidP="009218B5">
            <w:pPr>
              <w:spacing w:after="0"/>
              <w:jc w:val="center"/>
              <w:rPr>
                <w:rFonts w:asciiTheme="minorHAnsi" w:eastAsia="Times New Roman" w:hAnsiTheme="minorHAnsi" w:cs="Arial"/>
                <w:b/>
                <w:bCs/>
                <w:sz w:val="16"/>
                <w:szCs w:val="16"/>
                <w:lang w:val="es-CO" w:eastAsia="es-CO"/>
              </w:rPr>
            </w:pPr>
            <w:r w:rsidRPr="009218B5">
              <w:rPr>
                <w:rFonts w:asciiTheme="minorHAnsi" w:eastAsia="Times New Roman" w:hAnsiTheme="minorHAnsi" w:cs="Arial"/>
                <w:b/>
                <w:bCs/>
                <w:sz w:val="16"/>
                <w:szCs w:val="16"/>
                <w:lang w:val="es-CO" w:eastAsia="es-CO"/>
              </w:rPr>
              <w:t>11,90%</w:t>
            </w:r>
          </w:p>
        </w:tc>
      </w:tr>
      <w:tr w:rsidR="009218B5" w:rsidRPr="009218B5" w:rsidTr="00BE4B67">
        <w:trPr>
          <w:trHeight w:val="900"/>
          <w:jc w:val="center"/>
        </w:trPr>
        <w:tc>
          <w:tcPr>
            <w:tcW w:w="672" w:type="pct"/>
            <w:vMerge w:val="restart"/>
            <w:tcBorders>
              <w:top w:val="nil"/>
              <w:left w:val="single" w:sz="4" w:space="0" w:color="auto"/>
              <w:bottom w:val="single" w:sz="4" w:space="0" w:color="auto"/>
              <w:right w:val="single" w:sz="4" w:space="0" w:color="auto"/>
            </w:tcBorders>
            <w:shd w:val="clear" w:color="auto" w:fill="auto"/>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Investigación, Innovación y Extensión</w:t>
            </w:r>
          </w:p>
        </w:tc>
        <w:tc>
          <w:tcPr>
            <w:tcW w:w="1097" w:type="pct"/>
            <w:tcBorders>
              <w:top w:val="nil"/>
              <w:left w:val="nil"/>
              <w:bottom w:val="single" w:sz="4" w:space="0" w:color="auto"/>
              <w:right w:val="single" w:sz="4" w:space="0" w:color="auto"/>
            </w:tcBorders>
            <w:shd w:val="clear" w:color="auto" w:fill="auto"/>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Porcentaje de patentes en trámite o aprobadas que hayan sido comercializadas</w:t>
            </w:r>
          </w:p>
        </w:tc>
        <w:tc>
          <w:tcPr>
            <w:tcW w:w="427" w:type="pct"/>
            <w:tcBorders>
              <w:top w:val="nil"/>
              <w:left w:val="nil"/>
              <w:bottom w:val="single" w:sz="4" w:space="0" w:color="auto"/>
              <w:right w:val="single" w:sz="4" w:space="0" w:color="auto"/>
            </w:tcBorders>
            <w:shd w:val="clear" w:color="auto" w:fill="auto"/>
            <w:vAlign w:val="center"/>
            <w:hideMark/>
          </w:tcPr>
          <w:p w:rsidR="009218B5" w:rsidRPr="009218B5" w:rsidRDefault="009218B5" w:rsidP="009218B5">
            <w:pPr>
              <w:spacing w:after="0"/>
              <w:jc w:val="center"/>
              <w:rPr>
                <w:rFonts w:asciiTheme="minorHAnsi" w:eastAsia="Times New Roman" w:hAnsiTheme="minorHAnsi" w:cs="Arial"/>
                <w:color w:val="000000"/>
                <w:sz w:val="16"/>
                <w:szCs w:val="16"/>
                <w:lang w:val="es-CO" w:eastAsia="es-CO"/>
              </w:rPr>
            </w:pPr>
            <w:r w:rsidRPr="009218B5">
              <w:rPr>
                <w:rFonts w:asciiTheme="minorHAnsi" w:eastAsia="Times New Roman" w:hAnsiTheme="minorHAnsi" w:cs="Arial"/>
                <w:color w:val="000000"/>
                <w:sz w:val="16"/>
                <w:szCs w:val="16"/>
                <w:lang w:val="es-CO" w:eastAsia="es-CO"/>
              </w:rPr>
              <w:t>10,00</w:t>
            </w:r>
            <w:r>
              <w:rPr>
                <w:rFonts w:asciiTheme="minorHAnsi" w:eastAsia="Times New Roman" w:hAnsiTheme="minorHAnsi" w:cs="Arial"/>
                <w:color w:val="000000"/>
                <w:sz w:val="16"/>
                <w:szCs w:val="16"/>
                <w:lang w:val="es-CO" w:eastAsia="es-CO"/>
              </w:rPr>
              <w:t>%</w:t>
            </w:r>
          </w:p>
        </w:tc>
        <w:tc>
          <w:tcPr>
            <w:tcW w:w="583"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10,00</w:t>
            </w:r>
            <w:r>
              <w:rPr>
                <w:rFonts w:asciiTheme="minorHAnsi" w:eastAsia="Times New Roman" w:hAnsiTheme="minorHAnsi" w:cs="Arial"/>
                <w:sz w:val="16"/>
                <w:szCs w:val="16"/>
                <w:lang w:val="es-CO" w:eastAsia="es-CO"/>
              </w:rPr>
              <w:t>%</w:t>
            </w:r>
          </w:p>
        </w:tc>
        <w:tc>
          <w:tcPr>
            <w:tcW w:w="384"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100,00%</w:t>
            </w:r>
          </w:p>
        </w:tc>
        <w:tc>
          <w:tcPr>
            <w:tcW w:w="464"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25,00%</w:t>
            </w:r>
          </w:p>
        </w:tc>
        <w:tc>
          <w:tcPr>
            <w:tcW w:w="402"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86,57%</w:t>
            </w:r>
          </w:p>
        </w:tc>
        <w:tc>
          <w:tcPr>
            <w:tcW w:w="464"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23,30%</w:t>
            </w:r>
          </w:p>
        </w:tc>
        <w:tc>
          <w:tcPr>
            <w:tcW w:w="508" w:type="pct"/>
            <w:vMerge w:val="restart"/>
            <w:tcBorders>
              <w:top w:val="nil"/>
              <w:left w:val="single" w:sz="4" w:space="0" w:color="auto"/>
              <w:bottom w:val="single" w:sz="4" w:space="0" w:color="auto"/>
              <w:right w:val="single" w:sz="4" w:space="0" w:color="auto"/>
            </w:tcBorders>
            <w:shd w:val="clear" w:color="000000" w:fill="DCE6F1"/>
            <w:noWrap/>
            <w:vAlign w:val="center"/>
            <w:hideMark/>
          </w:tcPr>
          <w:p w:rsidR="009218B5" w:rsidRPr="009218B5" w:rsidRDefault="009218B5" w:rsidP="009218B5">
            <w:pPr>
              <w:spacing w:after="0"/>
              <w:jc w:val="center"/>
              <w:rPr>
                <w:rFonts w:asciiTheme="minorHAnsi" w:eastAsia="Times New Roman" w:hAnsiTheme="minorHAnsi" w:cs="Arial"/>
                <w:b/>
                <w:bCs/>
                <w:sz w:val="16"/>
                <w:szCs w:val="16"/>
                <w:lang w:val="es-CO" w:eastAsia="es-CO"/>
              </w:rPr>
            </w:pPr>
            <w:r w:rsidRPr="009218B5">
              <w:rPr>
                <w:rFonts w:asciiTheme="minorHAnsi" w:eastAsia="Times New Roman" w:hAnsiTheme="minorHAnsi" w:cs="Arial"/>
                <w:b/>
                <w:bCs/>
                <w:sz w:val="16"/>
                <w:szCs w:val="16"/>
                <w:lang w:val="es-CO" w:eastAsia="es-CO"/>
              </w:rPr>
              <w:t>20,17%</w:t>
            </w:r>
          </w:p>
        </w:tc>
      </w:tr>
      <w:tr w:rsidR="009218B5" w:rsidRPr="009218B5" w:rsidTr="00BE4B67">
        <w:trPr>
          <w:trHeight w:val="900"/>
          <w:jc w:val="center"/>
        </w:trPr>
        <w:tc>
          <w:tcPr>
            <w:tcW w:w="672" w:type="pct"/>
            <w:vMerge/>
            <w:tcBorders>
              <w:top w:val="nil"/>
              <w:left w:val="single" w:sz="4" w:space="0" w:color="auto"/>
              <w:bottom w:val="single" w:sz="4" w:space="0" w:color="auto"/>
              <w:right w:val="single" w:sz="4" w:space="0" w:color="auto"/>
            </w:tcBorders>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p>
        </w:tc>
        <w:tc>
          <w:tcPr>
            <w:tcW w:w="1097" w:type="pct"/>
            <w:tcBorders>
              <w:top w:val="nil"/>
              <w:left w:val="nil"/>
              <w:bottom w:val="single" w:sz="4" w:space="0" w:color="auto"/>
              <w:right w:val="single" w:sz="4" w:space="0" w:color="auto"/>
            </w:tcBorders>
            <w:shd w:val="clear" w:color="auto" w:fill="auto"/>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Porcentaje de software y libros que hayan sido comercializados</w:t>
            </w:r>
          </w:p>
        </w:tc>
        <w:tc>
          <w:tcPr>
            <w:tcW w:w="427" w:type="pct"/>
            <w:tcBorders>
              <w:top w:val="nil"/>
              <w:left w:val="nil"/>
              <w:bottom w:val="single" w:sz="4" w:space="0" w:color="auto"/>
              <w:right w:val="single" w:sz="4" w:space="0" w:color="auto"/>
            </w:tcBorders>
            <w:shd w:val="clear" w:color="auto" w:fill="auto"/>
            <w:vAlign w:val="center"/>
            <w:hideMark/>
          </w:tcPr>
          <w:p w:rsidR="009218B5" w:rsidRPr="009218B5" w:rsidRDefault="009218B5" w:rsidP="009218B5">
            <w:pPr>
              <w:spacing w:after="0"/>
              <w:jc w:val="center"/>
              <w:rPr>
                <w:rFonts w:asciiTheme="minorHAnsi" w:eastAsia="Times New Roman" w:hAnsiTheme="minorHAnsi" w:cs="Arial"/>
                <w:color w:val="000000"/>
                <w:sz w:val="16"/>
                <w:szCs w:val="16"/>
                <w:lang w:val="es-CO" w:eastAsia="es-CO"/>
              </w:rPr>
            </w:pPr>
            <w:r w:rsidRPr="009218B5">
              <w:rPr>
                <w:rFonts w:asciiTheme="minorHAnsi" w:eastAsia="Times New Roman" w:hAnsiTheme="minorHAnsi" w:cs="Arial"/>
                <w:color w:val="000000"/>
                <w:sz w:val="16"/>
                <w:szCs w:val="16"/>
                <w:lang w:val="es-CO" w:eastAsia="es-CO"/>
              </w:rPr>
              <w:t>14,00</w:t>
            </w:r>
            <w:r>
              <w:rPr>
                <w:rFonts w:asciiTheme="minorHAnsi" w:eastAsia="Times New Roman" w:hAnsiTheme="minorHAnsi" w:cs="Arial"/>
                <w:color w:val="000000"/>
                <w:sz w:val="16"/>
                <w:szCs w:val="16"/>
                <w:lang w:val="es-CO" w:eastAsia="es-CO"/>
              </w:rPr>
              <w:t>%</w:t>
            </w:r>
          </w:p>
        </w:tc>
        <w:tc>
          <w:tcPr>
            <w:tcW w:w="583"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9,09</w:t>
            </w:r>
            <w:r>
              <w:rPr>
                <w:rFonts w:asciiTheme="minorHAnsi" w:eastAsia="Times New Roman" w:hAnsiTheme="minorHAnsi" w:cs="Arial"/>
                <w:sz w:val="16"/>
                <w:szCs w:val="16"/>
                <w:lang w:val="es-CO" w:eastAsia="es-CO"/>
              </w:rPr>
              <w:t>%</w:t>
            </w:r>
          </w:p>
        </w:tc>
        <w:tc>
          <w:tcPr>
            <w:tcW w:w="384"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64,93%</w:t>
            </w:r>
          </w:p>
        </w:tc>
        <w:tc>
          <w:tcPr>
            <w:tcW w:w="464"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25,00%</w:t>
            </w:r>
          </w:p>
        </w:tc>
        <w:tc>
          <w:tcPr>
            <w:tcW w:w="402" w:type="pct"/>
            <w:vMerge/>
            <w:tcBorders>
              <w:top w:val="nil"/>
              <w:left w:val="single" w:sz="4" w:space="0" w:color="auto"/>
              <w:bottom w:val="single" w:sz="4" w:space="0" w:color="auto"/>
              <w:right w:val="single" w:sz="4" w:space="0" w:color="auto"/>
            </w:tcBorders>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p>
        </w:tc>
        <w:tc>
          <w:tcPr>
            <w:tcW w:w="464" w:type="pct"/>
            <w:vMerge/>
            <w:tcBorders>
              <w:top w:val="nil"/>
              <w:left w:val="single" w:sz="4" w:space="0" w:color="auto"/>
              <w:bottom w:val="single" w:sz="4" w:space="0" w:color="auto"/>
              <w:right w:val="single" w:sz="4" w:space="0" w:color="auto"/>
            </w:tcBorders>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p>
        </w:tc>
        <w:tc>
          <w:tcPr>
            <w:tcW w:w="508" w:type="pct"/>
            <w:vMerge/>
            <w:tcBorders>
              <w:top w:val="nil"/>
              <w:left w:val="single" w:sz="4" w:space="0" w:color="auto"/>
              <w:bottom w:val="single" w:sz="4" w:space="0" w:color="auto"/>
              <w:right w:val="single" w:sz="4" w:space="0" w:color="auto"/>
            </w:tcBorders>
            <w:vAlign w:val="center"/>
            <w:hideMark/>
          </w:tcPr>
          <w:p w:rsidR="009218B5" w:rsidRPr="009218B5" w:rsidRDefault="009218B5" w:rsidP="009218B5">
            <w:pPr>
              <w:spacing w:after="0"/>
              <w:jc w:val="left"/>
              <w:rPr>
                <w:rFonts w:asciiTheme="minorHAnsi" w:eastAsia="Times New Roman" w:hAnsiTheme="minorHAnsi" w:cs="Arial"/>
                <w:b/>
                <w:bCs/>
                <w:sz w:val="16"/>
                <w:szCs w:val="16"/>
                <w:lang w:val="es-CO" w:eastAsia="es-CO"/>
              </w:rPr>
            </w:pPr>
          </w:p>
        </w:tc>
      </w:tr>
      <w:tr w:rsidR="009218B5" w:rsidRPr="009218B5" w:rsidTr="00BE4B67">
        <w:trPr>
          <w:trHeight w:val="900"/>
          <w:jc w:val="center"/>
        </w:trPr>
        <w:tc>
          <w:tcPr>
            <w:tcW w:w="672" w:type="pct"/>
            <w:vMerge/>
            <w:tcBorders>
              <w:top w:val="nil"/>
              <w:left w:val="single" w:sz="4" w:space="0" w:color="auto"/>
              <w:bottom w:val="single" w:sz="4" w:space="0" w:color="auto"/>
              <w:right w:val="single" w:sz="4" w:space="0" w:color="auto"/>
            </w:tcBorders>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p>
        </w:tc>
        <w:tc>
          <w:tcPr>
            <w:tcW w:w="1097" w:type="pct"/>
            <w:tcBorders>
              <w:top w:val="nil"/>
              <w:left w:val="nil"/>
              <w:bottom w:val="single" w:sz="4" w:space="0" w:color="auto"/>
              <w:right w:val="single" w:sz="4" w:space="0" w:color="auto"/>
            </w:tcBorders>
            <w:shd w:val="clear" w:color="auto" w:fill="auto"/>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 xml:space="preserve">Número de artículos publicados en los </w:t>
            </w:r>
            <w:proofErr w:type="spellStart"/>
            <w:r w:rsidRPr="009218B5">
              <w:rPr>
                <w:rFonts w:asciiTheme="minorHAnsi" w:eastAsia="Times New Roman" w:hAnsiTheme="minorHAnsi" w:cs="Arial"/>
                <w:sz w:val="16"/>
                <w:szCs w:val="16"/>
                <w:lang w:val="es-CO" w:eastAsia="es-CO"/>
              </w:rPr>
              <w:t>index</w:t>
            </w:r>
            <w:proofErr w:type="spellEnd"/>
            <w:r w:rsidRPr="009218B5">
              <w:rPr>
                <w:rFonts w:asciiTheme="minorHAnsi" w:eastAsia="Times New Roman" w:hAnsiTheme="minorHAnsi" w:cs="Arial"/>
                <w:sz w:val="16"/>
                <w:szCs w:val="16"/>
                <w:lang w:val="es-CO" w:eastAsia="es-CO"/>
              </w:rPr>
              <w:t xml:space="preserve"> internacionales</w:t>
            </w:r>
          </w:p>
        </w:tc>
        <w:tc>
          <w:tcPr>
            <w:tcW w:w="427" w:type="pct"/>
            <w:tcBorders>
              <w:top w:val="nil"/>
              <w:left w:val="nil"/>
              <w:bottom w:val="single" w:sz="4" w:space="0" w:color="auto"/>
              <w:right w:val="single" w:sz="4" w:space="0" w:color="auto"/>
            </w:tcBorders>
            <w:shd w:val="clear" w:color="auto" w:fill="auto"/>
            <w:vAlign w:val="center"/>
            <w:hideMark/>
          </w:tcPr>
          <w:p w:rsidR="009218B5" w:rsidRPr="009218B5" w:rsidRDefault="009218B5" w:rsidP="009218B5">
            <w:pPr>
              <w:spacing w:after="0"/>
              <w:jc w:val="center"/>
              <w:rPr>
                <w:rFonts w:asciiTheme="minorHAnsi" w:eastAsia="Times New Roman" w:hAnsiTheme="minorHAnsi" w:cs="Arial"/>
                <w:color w:val="000000"/>
                <w:sz w:val="16"/>
                <w:szCs w:val="16"/>
                <w:lang w:val="es-CO" w:eastAsia="es-CO"/>
              </w:rPr>
            </w:pPr>
            <w:r>
              <w:rPr>
                <w:rFonts w:asciiTheme="minorHAnsi" w:eastAsia="Times New Roman" w:hAnsiTheme="minorHAnsi" w:cs="Arial"/>
                <w:color w:val="000000"/>
                <w:sz w:val="16"/>
                <w:szCs w:val="16"/>
                <w:lang w:val="es-CO" w:eastAsia="es-CO"/>
              </w:rPr>
              <w:t>71</w:t>
            </w:r>
          </w:p>
        </w:tc>
        <w:tc>
          <w:tcPr>
            <w:tcW w:w="583"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Pr>
                <w:rFonts w:asciiTheme="minorHAnsi" w:eastAsia="Times New Roman" w:hAnsiTheme="minorHAnsi" w:cs="Arial"/>
                <w:sz w:val="16"/>
                <w:szCs w:val="16"/>
                <w:lang w:val="es-CO" w:eastAsia="es-CO"/>
              </w:rPr>
              <w:t>76</w:t>
            </w:r>
          </w:p>
        </w:tc>
        <w:tc>
          <w:tcPr>
            <w:tcW w:w="384"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100,00%</w:t>
            </w:r>
          </w:p>
        </w:tc>
        <w:tc>
          <w:tcPr>
            <w:tcW w:w="464"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25,00%</w:t>
            </w:r>
          </w:p>
        </w:tc>
        <w:tc>
          <w:tcPr>
            <w:tcW w:w="402" w:type="pct"/>
            <w:vMerge/>
            <w:tcBorders>
              <w:top w:val="nil"/>
              <w:left w:val="single" w:sz="4" w:space="0" w:color="auto"/>
              <w:bottom w:val="single" w:sz="4" w:space="0" w:color="auto"/>
              <w:right w:val="single" w:sz="4" w:space="0" w:color="auto"/>
            </w:tcBorders>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p>
        </w:tc>
        <w:tc>
          <w:tcPr>
            <w:tcW w:w="464" w:type="pct"/>
            <w:vMerge/>
            <w:tcBorders>
              <w:top w:val="nil"/>
              <w:left w:val="single" w:sz="4" w:space="0" w:color="auto"/>
              <w:bottom w:val="single" w:sz="4" w:space="0" w:color="auto"/>
              <w:right w:val="single" w:sz="4" w:space="0" w:color="auto"/>
            </w:tcBorders>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p>
        </w:tc>
        <w:tc>
          <w:tcPr>
            <w:tcW w:w="508" w:type="pct"/>
            <w:vMerge/>
            <w:tcBorders>
              <w:top w:val="nil"/>
              <w:left w:val="single" w:sz="4" w:space="0" w:color="auto"/>
              <w:bottom w:val="single" w:sz="4" w:space="0" w:color="auto"/>
              <w:right w:val="single" w:sz="4" w:space="0" w:color="auto"/>
            </w:tcBorders>
            <w:vAlign w:val="center"/>
            <w:hideMark/>
          </w:tcPr>
          <w:p w:rsidR="009218B5" w:rsidRPr="009218B5" w:rsidRDefault="009218B5" w:rsidP="009218B5">
            <w:pPr>
              <w:spacing w:after="0"/>
              <w:jc w:val="left"/>
              <w:rPr>
                <w:rFonts w:asciiTheme="minorHAnsi" w:eastAsia="Times New Roman" w:hAnsiTheme="minorHAnsi" w:cs="Arial"/>
                <w:b/>
                <w:bCs/>
                <w:sz w:val="16"/>
                <w:szCs w:val="16"/>
                <w:lang w:val="es-CO" w:eastAsia="es-CO"/>
              </w:rPr>
            </w:pPr>
          </w:p>
        </w:tc>
      </w:tr>
      <w:tr w:rsidR="009218B5" w:rsidRPr="009218B5" w:rsidTr="00BE4B67">
        <w:trPr>
          <w:trHeight w:val="900"/>
          <w:jc w:val="center"/>
        </w:trPr>
        <w:tc>
          <w:tcPr>
            <w:tcW w:w="672" w:type="pct"/>
            <w:vMerge/>
            <w:tcBorders>
              <w:top w:val="nil"/>
              <w:left w:val="single" w:sz="4" w:space="0" w:color="auto"/>
              <w:bottom w:val="single" w:sz="4" w:space="0" w:color="auto"/>
              <w:right w:val="single" w:sz="4" w:space="0" w:color="auto"/>
            </w:tcBorders>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p>
        </w:tc>
        <w:tc>
          <w:tcPr>
            <w:tcW w:w="1097" w:type="pct"/>
            <w:tcBorders>
              <w:top w:val="nil"/>
              <w:left w:val="nil"/>
              <w:bottom w:val="single" w:sz="4" w:space="0" w:color="auto"/>
              <w:right w:val="single" w:sz="4" w:space="0" w:color="auto"/>
            </w:tcBorders>
            <w:shd w:val="clear" w:color="auto" w:fill="auto"/>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Porcentaje de proyectos de investigación apropiados por la sociedad</w:t>
            </w:r>
          </w:p>
        </w:tc>
        <w:tc>
          <w:tcPr>
            <w:tcW w:w="427" w:type="pct"/>
            <w:tcBorders>
              <w:top w:val="nil"/>
              <w:left w:val="nil"/>
              <w:bottom w:val="single" w:sz="4" w:space="0" w:color="auto"/>
              <w:right w:val="single" w:sz="4" w:space="0" w:color="auto"/>
            </w:tcBorders>
            <w:shd w:val="clear" w:color="auto" w:fill="auto"/>
            <w:vAlign w:val="center"/>
            <w:hideMark/>
          </w:tcPr>
          <w:p w:rsidR="009218B5" w:rsidRPr="009218B5" w:rsidRDefault="009218B5" w:rsidP="009218B5">
            <w:pPr>
              <w:spacing w:after="0"/>
              <w:jc w:val="center"/>
              <w:rPr>
                <w:rFonts w:asciiTheme="minorHAnsi" w:eastAsia="Times New Roman" w:hAnsiTheme="minorHAnsi" w:cs="Arial"/>
                <w:color w:val="000000"/>
                <w:sz w:val="16"/>
                <w:szCs w:val="16"/>
                <w:lang w:val="es-CO" w:eastAsia="es-CO"/>
              </w:rPr>
            </w:pPr>
            <w:r w:rsidRPr="009218B5">
              <w:rPr>
                <w:rFonts w:asciiTheme="minorHAnsi" w:eastAsia="Times New Roman" w:hAnsiTheme="minorHAnsi" w:cs="Arial"/>
                <w:color w:val="000000"/>
                <w:sz w:val="16"/>
                <w:szCs w:val="16"/>
                <w:lang w:val="es-CO" w:eastAsia="es-CO"/>
              </w:rPr>
              <w:t>22,00</w:t>
            </w:r>
            <w:r>
              <w:rPr>
                <w:rFonts w:asciiTheme="minorHAnsi" w:eastAsia="Times New Roman" w:hAnsiTheme="minorHAnsi" w:cs="Arial"/>
                <w:color w:val="000000"/>
                <w:sz w:val="16"/>
                <w:szCs w:val="16"/>
                <w:lang w:val="es-CO" w:eastAsia="es-CO"/>
              </w:rPr>
              <w:t>%</w:t>
            </w:r>
          </w:p>
        </w:tc>
        <w:tc>
          <w:tcPr>
            <w:tcW w:w="583"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17,90</w:t>
            </w:r>
            <w:r>
              <w:rPr>
                <w:rFonts w:asciiTheme="minorHAnsi" w:eastAsia="Times New Roman" w:hAnsiTheme="minorHAnsi" w:cs="Arial"/>
                <w:sz w:val="16"/>
                <w:szCs w:val="16"/>
                <w:lang w:val="es-CO" w:eastAsia="es-CO"/>
              </w:rPr>
              <w:t>%</w:t>
            </w:r>
          </w:p>
        </w:tc>
        <w:tc>
          <w:tcPr>
            <w:tcW w:w="384"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81,36%</w:t>
            </w:r>
          </w:p>
        </w:tc>
        <w:tc>
          <w:tcPr>
            <w:tcW w:w="464"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25,00%</w:t>
            </w:r>
          </w:p>
        </w:tc>
        <w:tc>
          <w:tcPr>
            <w:tcW w:w="402" w:type="pct"/>
            <w:vMerge/>
            <w:tcBorders>
              <w:top w:val="nil"/>
              <w:left w:val="single" w:sz="4" w:space="0" w:color="auto"/>
              <w:bottom w:val="single" w:sz="4" w:space="0" w:color="auto"/>
              <w:right w:val="single" w:sz="4" w:space="0" w:color="auto"/>
            </w:tcBorders>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p>
        </w:tc>
        <w:tc>
          <w:tcPr>
            <w:tcW w:w="464" w:type="pct"/>
            <w:vMerge/>
            <w:tcBorders>
              <w:top w:val="nil"/>
              <w:left w:val="single" w:sz="4" w:space="0" w:color="auto"/>
              <w:bottom w:val="single" w:sz="4" w:space="0" w:color="auto"/>
              <w:right w:val="single" w:sz="4" w:space="0" w:color="auto"/>
            </w:tcBorders>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p>
        </w:tc>
        <w:tc>
          <w:tcPr>
            <w:tcW w:w="508" w:type="pct"/>
            <w:vMerge/>
            <w:tcBorders>
              <w:top w:val="nil"/>
              <w:left w:val="single" w:sz="4" w:space="0" w:color="auto"/>
              <w:bottom w:val="single" w:sz="4" w:space="0" w:color="auto"/>
              <w:right w:val="single" w:sz="4" w:space="0" w:color="auto"/>
            </w:tcBorders>
            <w:vAlign w:val="center"/>
            <w:hideMark/>
          </w:tcPr>
          <w:p w:rsidR="009218B5" w:rsidRPr="009218B5" w:rsidRDefault="009218B5" w:rsidP="009218B5">
            <w:pPr>
              <w:spacing w:after="0"/>
              <w:jc w:val="left"/>
              <w:rPr>
                <w:rFonts w:asciiTheme="minorHAnsi" w:eastAsia="Times New Roman" w:hAnsiTheme="minorHAnsi" w:cs="Arial"/>
                <w:b/>
                <w:bCs/>
                <w:sz w:val="16"/>
                <w:szCs w:val="16"/>
                <w:lang w:val="es-CO" w:eastAsia="es-CO"/>
              </w:rPr>
            </w:pPr>
          </w:p>
        </w:tc>
      </w:tr>
      <w:tr w:rsidR="009218B5" w:rsidRPr="009218B5" w:rsidTr="00BE4B67">
        <w:trPr>
          <w:trHeight w:val="600"/>
          <w:jc w:val="center"/>
        </w:trPr>
        <w:tc>
          <w:tcPr>
            <w:tcW w:w="672" w:type="pct"/>
            <w:tcBorders>
              <w:top w:val="nil"/>
              <w:left w:val="single" w:sz="4" w:space="0" w:color="auto"/>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Internacionalización</w:t>
            </w:r>
          </w:p>
        </w:tc>
        <w:tc>
          <w:tcPr>
            <w:tcW w:w="1097" w:type="pct"/>
            <w:tcBorders>
              <w:top w:val="nil"/>
              <w:left w:val="nil"/>
              <w:bottom w:val="single" w:sz="4" w:space="0" w:color="auto"/>
              <w:right w:val="single" w:sz="4" w:space="0" w:color="auto"/>
            </w:tcBorders>
            <w:shd w:val="clear" w:color="auto" w:fill="auto"/>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Internacionalización de la universidad</w:t>
            </w:r>
          </w:p>
        </w:tc>
        <w:tc>
          <w:tcPr>
            <w:tcW w:w="427" w:type="pct"/>
            <w:tcBorders>
              <w:top w:val="nil"/>
              <w:left w:val="nil"/>
              <w:bottom w:val="single" w:sz="4" w:space="0" w:color="auto"/>
              <w:right w:val="single" w:sz="4" w:space="0" w:color="auto"/>
            </w:tcBorders>
            <w:shd w:val="clear" w:color="auto" w:fill="auto"/>
            <w:vAlign w:val="center"/>
            <w:hideMark/>
          </w:tcPr>
          <w:p w:rsidR="009218B5" w:rsidRPr="009218B5" w:rsidRDefault="009218B5" w:rsidP="009218B5">
            <w:pPr>
              <w:spacing w:after="0"/>
              <w:jc w:val="center"/>
              <w:rPr>
                <w:rFonts w:asciiTheme="minorHAnsi" w:eastAsia="Times New Roman" w:hAnsiTheme="minorHAnsi" w:cs="Arial"/>
                <w:color w:val="000000"/>
                <w:sz w:val="16"/>
                <w:szCs w:val="16"/>
                <w:lang w:val="es-CO" w:eastAsia="es-CO"/>
              </w:rPr>
            </w:pPr>
            <w:r w:rsidRPr="009218B5">
              <w:rPr>
                <w:rFonts w:asciiTheme="minorHAnsi" w:eastAsia="Times New Roman" w:hAnsiTheme="minorHAnsi" w:cs="Arial"/>
                <w:color w:val="000000"/>
                <w:sz w:val="16"/>
                <w:szCs w:val="16"/>
                <w:lang w:val="es-CO" w:eastAsia="es-CO"/>
              </w:rPr>
              <w:t>85,00</w:t>
            </w:r>
            <w:r>
              <w:rPr>
                <w:rFonts w:asciiTheme="minorHAnsi" w:eastAsia="Times New Roman" w:hAnsiTheme="minorHAnsi" w:cs="Arial"/>
                <w:color w:val="000000"/>
                <w:sz w:val="16"/>
                <w:szCs w:val="16"/>
                <w:lang w:val="es-CO" w:eastAsia="es-CO"/>
              </w:rPr>
              <w:t>%</w:t>
            </w:r>
          </w:p>
        </w:tc>
        <w:tc>
          <w:tcPr>
            <w:tcW w:w="583"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96,33</w:t>
            </w:r>
            <w:r>
              <w:rPr>
                <w:rFonts w:asciiTheme="minorHAnsi" w:eastAsia="Times New Roman" w:hAnsiTheme="minorHAnsi" w:cs="Arial"/>
                <w:sz w:val="16"/>
                <w:szCs w:val="16"/>
                <w:lang w:val="es-CO" w:eastAsia="es-CO"/>
              </w:rPr>
              <w:t>%</w:t>
            </w:r>
          </w:p>
        </w:tc>
        <w:tc>
          <w:tcPr>
            <w:tcW w:w="384"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100,00%</w:t>
            </w:r>
          </w:p>
        </w:tc>
        <w:tc>
          <w:tcPr>
            <w:tcW w:w="464"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100,00%</w:t>
            </w:r>
          </w:p>
        </w:tc>
        <w:tc>
          <w:tcPr>
            <w:tcW w:w="402"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100,00%</w:t>
            </w:r>
          </w:p>
        </w:tc>
        <w:tc>
          <w:tcPr>
            <w:tcW w:w="464"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10,60%</w:t>
            </w:r>
          </w:p>
        </w:tc>
        <w:tc>
          <w:tcPr>
            <w:tcW w:w="508" w:type="pct"/>
            <w:tcBorders>
              <w:top w:val="nil"/>
              <w:left w:val="nil"/>
              <w:bottom w:val="single" w:sz="4" w:space="0" w:color="auto"/>
              <w:right w:val="single" w:sz="4" w:space="0" w:color="auto"/>
            </w:tcBorders>
            <w:shd w:val="clear" w:color="000000" w:fill="DCE6F1"/>
            <w:noWrap/>
            <w:vAlign w:val="center"/>
            <w:hideMark/>
          </w:tcPr>
          <w:p w:rsidR="009218B5" w:rsidRPr="009218B5" w:rsidRDefault="009218B5" w:rsidP="009218B5">
            <w:pPr>
              <w:spacing w:after="0"/>
              <w:jc w:val="center"/>
              <w:rPr>
                <w:rFonts w:asciiTheme="minorHAnsi" w:eastAsia="Times New Roman" w:hAnsiTheme="minorHAnsi" w:cs="Arial"/>
                <w:b/>
                <w:bCs/>
                <w:sz w:val="16"/>
                <w:szCs w:val="16"/>
                <w:lang w:val="es-CO" w:eastAsia="es-CO"/>
              </w:rPr>
            </w:pPr>
            <w:r w:rsidRPr="009218B5">
              <w:rPr>
                <w:rFonts w:asciiTheme="minorHAnsi" w:eastAsia="Times New Roman" w:hAnsiTheme="minorHAnsi" w:cs="Arial"/>
                <w:b/>
                <w:bCs/>
                <w:sz w:val="16"/>
                <w:szCs w:val="16"/>
                <w:lang w:val="es-CO" w:eastAsia="es-CO"/>
              </w:rPr>
              <w:t>10,60%</w:t>
            </w:r>
          </w:p>
        </w:tc>
      </w:tr>
      <w:tr w:rsidR="009218B5" w:rsidRPr="009218B5" w:rsidTr="00BE4B67">
        <w:trPr>
          <w:trHeight w:val="600"/>
          <w:jc w:val="center"/>
        </w:trPr>
        <w:tc>
          <w:tcPr>
            <w:tcW w:w="672" w:type="pct"/>
            <w:tcBorders>
              <w:top w:val="nil"/>
              <w:left w:val="single" w:sz="4" w:space="0" w:color="auto"/>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lastRenderedPageBreak/>
              <w:t>Impacto Regional</w:t>
            </w:r>
          </w:p>
        </w:tc>
        <w:tc>
          <w:tcPr>
            <w:tcW w:w="1097" w:type="pct"/>
            <w:tcBorders>
              <w:top w:val="nil"/>
              <w:left w:val="nil"/>
              <w:bottom w:val="single" w:sz="4" w:space="0" w:color="auto"/>
              <w:right w:val="single" w:sz="4" w:space="0" w:color="auto"/>
            </w:tcBorders>
            <w:shd w:val="clear" w:color="auto" w:fill="auto"/>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Desempeño Institucional en alcanzar el impacto regional</w:t>
            </w:r>
          </w:p>
        </w:tc>
        <w:tc>
          <w:tcPr>
            <w:tcW w:w="427" w:type="pct"/>
            <w:tcBorders>
              <w:top w:val="nil"/>
              <w:left w:val="nil"/>
              <w:bottom w:val="single" w:sz="4" w:space="0" w:color="auto"/>
              <w:right w:val="single" w:sz="4" w:space="0" w:color="auto"/>
            </w:tcBorders>
            <w:shd w:val="clear" w:color="auto" w:fill="auto"/>
            <w:vAlign w:val="center"/>
            <w:hideMark/>
          </w:tcPr>
          <w:p w:rsidR="009218B5" w:rsidRPr="009218B5" w:rsidRDefault="009218B5" w:rsidP="009218B5">
            <w:pPr>
              <w:spacing w:after="0"/>
              <w:jc w:val="center"/>
              <w:rPr>
                <w:rFonts w:asciiTheme="minorHAnsi" w:eastAsia="Times New Roman" w:hAnsiTheme="minorHAnsi" w:cs="Arial"/>
                <w:color w:val="000000"/>
                <w:sz w:val="16"/>
                <w:szCs w:val="16"/>
                <w:lang w:val="es-CO" w:eastAsia="es-CO"/>
              </w:rPr>
            </w:pPr>
            <w:r w:rsidRPr="009218B5">
              <w:rPr>
                <w:rFonts w:asciiTheme="minorHAnsi" w:eastAsia="Times New Roman" w:hAnsiTheme="minorHAnsi" w:cs="Arial"/>
                <w:color w:val="000000"/>
                <w:sz w:val="16"/>
                <w:szCs w:val="16"/>
                <w:lang w:val="es-CO" w:eastAsia="es-CO"/>
              </w:rPr>
              <w:t>100,00</w:t>
            </w:r>
            <w:r>
              <w:rPr>
                <w:rFonts w:asciiTheme="minorHAnsi" w:eastAsia="Times New Roman" w:hAnsiTheme="minorHAnsi" w:cs="Arial"/>
                <w:color w:val="000000"/>
                <w:sz w:val="16"/>
                <w:szCs w:val="16"/>
                <w:lang w:val="es-CO" w:eastAsia="es-CO"/>
              </w:rPr>
              <w:t>%</w:t>
            </w:r>
          </w:p>
        </w:tc>
        <w:tc>
          <w:tcPr>
            <w:tcW w:w="583"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95,00</w:t>
            </w:r>
            <w:r>
              <w:rPr>
                <w:rFonts w:asciiTheme="minorHAnsi" w:eastAsia="Times New Roman" w:hAnsiTheme="minorHAnsi" w:cs="Arial"/>
                <w:sz w:val="16"/>
                <w:szCs w:val="16"/>
                <w:lang w:val="es-CO" w:eastAsia="es-CO"/>
              </w:rPr>
              <w:t>%</w:t>
            </w:r>
          </w:p>
        </w:tc>
        <w:tc>
          <w:tcPr>
            <w:tcW w:w="384"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95,00%</w:t>
            </w:r>
          </w:p>
        </w:tc>
        <w:tc>
          <w:tcPr>
            <w:tcW w:w="464"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100,00%</w:t>
            </w:r>
          </w:p>
        </w:tc>
        <w:tc>
          <w:tcPr>
            <w:tcW w:w="402"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95,00%</w:t>
            </w:r>
          </w:p>
        </w:tc>
        <w:tc>
          <w:tcPr>
            <w:tcW w:w="464"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11,30%</w:t>
            </w:r>
          </w:p>
        </w:tc>
        <w:tc>
          <w:tcPr>
            <w:tcW w:w="508" w:type="pct"/>
            <w:tcBorders>
              <w:top w:val="nil"/>
              <w:left w:val="nil"/>
              <w:bottom w:val="single" w:sz="4" w:space="0" w:color="auto"/>
              <w:right w:val="single" w:sz="4" w:space="0" w:color="auto"/>
            </w:tcBorders>
            <w:shd w:val="clear" w:color="000000" w:fill="DCE6F1"/>
            <w:noWrap/>
            <w:vAlign w:val="center"/>
            <w:hideMark/>
          </w:tcPr>
          <w:p w:rsidR="009218B5" w:rsidRPr="009218B5" w:rsidRDefault="009218B5" w:rsidP="009218B5">
            <w:pPr>
              <w:spacing w:after="0"/>
              <w:jc w:val="center"/>
              <w:rPr>
                <w:rFonts w:asciiTheme="minorHAnsi" w:eastAsia="Times New Roman" w:hAnsiTheme="minorHAnsi" w:cs="Arial"/>
                <w:b/>
                <w:bCs/>
                <w:sz w:val="16"/>
                <w:szCs w:val="16"/>
                <w:lang w:val="es-CO" w:eastAsia="es-CO"/>
              </w:rPr>
            </w:pPr>
            <w:r w:rsidRPr="009218B5">
              <w:rPr>
                <w:rFonts w:asciiTheme="minorHAnsi" w:eastAsia="Times New Roman" w:hAnsiTheme="minorHAnsi" w:cs="Arial"/>
                <w:b/>
                <w:bCs/>
                <w:sz w:val="16"/>
                <w:szCs w:val="16"/>
                <w:lang w:val="es-CO" w:eastAsia="es-CO"/>
              </w:rPr>
              <w:t>10,74%</w:t>
            </w:r>
          </w:p>
        </w:tc>
      </w:tr>
      <w:tr w:rsidR="009218B5" w:rsidRPr="009218B5" w:rsidTr="00BE4B67">
        <w:trPr>
          <w:trHeight w:val="900"/>
          <w:jc w:val="center"/>
        </w:trPr>
        <w:tc>
          <w:tcPr>
            <w:tcW w:w="672" w:type="pct"/>
            <w:vMerge w:val="restart"/>
            <w:tcBorders>
              <w:top w:val="nil"/>
              <w:left w:val="single" w:sz="4" w:space="0" w:color="auto"/>
              <w:bottom w:val="single" w:sz="4" w:space="0" w:color="auto"/>
              <w:right w:val="single" w:sz="4" w:space="0" w:color="auto"/>
            </w:tcBorders>
            <w:shd w:val="clear" w:color="auto" w:fill="auto"/>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Alianzas Estratégicas</w:t>
            </w:r>
          </w:p>
        </w:tc>
        <w:tc>
          <w:tcPr>
            <w:tcW w:w="1097" w:type="pct"/>
            <w:tcBorders>
              <w:top w:val="nil"/>
              <w:left w:val="nil"/>
              <w:bottom w:val="single" w:sz="4" w:space="0" w:color="auto"/>
              <w:right w:val="single" w:sz="4" w:space="0" w:color="auto"/>
            </w:tcBorders>
            <w:shd w:val="clear" w:color="auto" w:fill="auto"/>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Tiempo promedio de formalización de una alianza (Meses)</w:t>
            </w:r>
          </w:p>
        </w:tc>
        <w:tc>
          <w:tcPr>
            <w:tcW w:w="427" w:type="pct"/>
            <w:tcBorders>
              <w:top w:val="nil"/>
              <w:left w:val="nil"/>
              <w:bottom w:val="single" w:sz="4" w:space="0" w:color="auto"/>
              <w:right w:val="single" w:sz="4" w:space="0" w:color="auto"/>
            </w:tcBorders>
            <w:shd w:val="clear" w:color="auto" w:fill="auto"/>
            <w:vAlign w:val="center"/>
            <w:hideMark/>
          </w:tcPr>
          <w:p w:rsidR="009218B5" w:rsidRPr="009218B5" w:rsidRDefault="009218B5" w:rsidP="009218B5">
            <w:pPr>
              <w:spacing w:after="0"/>
              <w:jc w:val="center"/>
              <w:rPr>
                <w:rFonts w:asciiTheme="minorHAnsi" w:eastAsia="Times New Roman" w:hAnsiTheme="minorHAnsi" w:cs="Arial"/>
                <w:color w:val="000000"/>
                <w:sz w:val="16"/>
                <w:szCs w:val="16"/>
                <w:lang w:val="es-CO" w:eastAsia="es-CO"/>
              </w:rPr>
            </w:pPr>
            <w:r>
              <w:rPr>
                <w:rFonts w:asciiTheme="minorHAnsi" w:eastAsia="Times New Roman" w:hAnsiTheme="minorHAnsi" w:cs="Arial"/>
                <w:color w:val="000000"/>
                <w:sz w:val="16"/>
                <w:szCs w:val="16"/>
                <w:lang w:val="es-CO" w:eastAsia="es-CO"/>
              </w:rPr>
              <w:t>6</w:t>
            </w:r>
          </w:p>
        </w:tc>
        <w:tc>
          <w:tcPr>
            <w:tcW w:w="583"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7</w:t>
            </w:r>
          </w:p>
        </w:tc>
        <w:tc>
          <w:tcPr>
            <w:tcW w:w="384"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83,33%</w:t>
            </w:r>
          </w:p>
        </w:tc>
        <w:tc>
          <w:tcPr>
            <w:tcW w:w="464"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33,33%</w:t>
            </w:r>
          </w:p>
        </w:tc>
        <w:tc>
          <w:tcPr>
            <w:tcW w:w="402"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88,06%</w:t>
            </w:r>
          </w:p>
        </w:tc>
        <w:tc>
          <w:tcPr>
            <w:tcW w:w="464"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10,30%</w:t>
            </w:r>
          </w:p>
        </w:tc>
        <w:tc>
          <w:tcPr>
            <w:tcW w:w="508" w:type="pct"/>
            <w:vMerge w:val="restart"/>
            <w:tcBorders>
              <w:top w:val="nil"/>
              <w:left w:val="single" w:sz="4" w:space="0" w:color="auto"/>
              <w:bottom w:val="single" w:sz="4" w:space="0" w:color="auto"/>
              <w:right w:val="single" w:sz="4" w:space="0" w:color="auto"/>
            </w:tcBorders>
            <w:shd w:val="clear" w:color="000000" w:fill="DCE6F1"/>
            <w:noWrap/>
            <w:vAlign w:val="center"/>
            <w:hideMark/>
          </w:tcPr>
          <w:p w:rsidR="009218B5" w:rsidRPr="009218B5" w:rsidRDefault="009218B5" w:rsidP="009218B5">
            <w:pPr>
              <w:spacing w:after="0"/>
              <w:jc w:val="center"/>
              <w:rPr>
                <w:rFonts w:asciiTheme="minorHAnsi" w:eastAsia="Times New Roman" w:hAnsiTheme="minorHAnsi" w:cs="Arial"/>
                <w:b/>
                <w:bCs/>
                <w:sz w:val="16"/>
                <w:szCs w:val="16"/>
                <w:lang w:val="es-CO" w:eastAsia="es-CO"/>
              </w:rPr>
            </w:pPr>
            <w:r w:rsidRPr="009218B5">
              <w:rPr>
                <w:rFonts w:asciiTheme="minorHAnsi" w:eastAsia="Times New Roman" w:hAnsiTheme="minorHAnsi" w:cs="Arial"/>
                <w:b/>
                <w:bCs/>
                <w:sz w:val="16"/>
                <w:szCs w:val="16"/>
                <w:lang w:val="es-CO" w:eastAsia="es-CO"/>
              </w:rPr>
              <w:t>9,07%</w:t>
            </w:r>
          </w:p>
        </w:tc>
      </w:tr>
      <w:tr w:rsidR="009218B5" w:rsidRPr="009218B5" w:rsidTr="00BE4B67">
        <w:trPr>
          <w:trHeight w:val="600"/>
          <w:jc w:val="center"/>
        </w:trPr>
        <w:tc>
          <w:tcPr>
            <w:tcW w:w="672" w:type="pct"/>
            <w:vMerge/>
            <w:tcBorders>
              <w:top w:val="nil"/>
              <w:left w:val="single" w:sz="4" w:space="0" w:color="auto"/>
              <w:bottom w:val="single" w:sz="4" w:space="0" w:color="auto"/>
              <w:right w:val="single" w:sz="4" w:space="0" w:color="auto"/>
            </w:tcBorders>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p>
        </w:tc>
        <w:tc>
          <w:tcPr>
            <w:tcW w:w="1097" w:type="pct"/>
            <w:tcBorders>
              <w:top w:val="nil"/>
              <w:left w:val="nil"/>
              <w:bottom w:val="single" w:sz="4" w:space="0" w:color="auto"/>
              <w:right w:val="single" w:sz="4" w:space="0" w:color="auto"/>
            </w:tcBorders>
            <w:shd w:val="clear" w:color="auto" w:fill="auto"/>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Número de Alianzas Estratégicas Activas</w:t>
            </w:r>
          </w:p>
        </w:tc>
        <w:tc>
          <w:tcPr>
            <w:tcW w:w="427" w:type="pct"/>
            <w:tcBorders>
              <w:top w:val="nil"/>
              <w:left w:val="nil"/>
              <w:bottom w:val="single" w:sz="4" w:space="0" w:color="auto"/>
              <w:right w:val="single" w:sz="4" w:space="0" w:color="auto"/>
            </w:tcBorders>
            <w:shd w:val="clear" w:color="auto" w:fill="auto"/>
            <w:vAlign w:val="center"/>
            <w:hideMark/>
          </w:tcPr>
          <w:p w:rsidR="009218B5" w:rsidRPr="009218B5" w:rsidRDefault="009218B5" w:rsidP="009218B5">
            <w:pPr>
              <w:spacing w:after="0"/>
              <w:jc w:val="center"/>
              <w:rPr>
                <w:rFonts w:asciiTheme="minorHAnsi" w:eastAsia="Times New Roman" w:hAnsiTheme="minorHAnsi" w:cs="Arial"/>
                <w:color w:val="000000"/>
                <w:sz w:val="16"/>
                <w:szCs w:val="16"/>
                <w:lang w:val="es-CO" w:eastAsia="es-CO"/>
              </w:rPr>
            </w:pPr>
            <w:r>
              <w:rPr>
                <w:rFonts w:asciiTheme="minorHAnsi" w:eastAsia="Times New Roman" w:hAnsiTheme="minorHAnsi" w:cs="Arial"/>
                <w:color w:val="000000"/>
                <w:sz w:val="16"/>
                <w:szCs w:val="16"/>
                <w:lang w:val="es-CO" w:eastAsia="es-CO"/>
              </w:rPr>
              <w:t>28</w:t>
            </w:r>
          </w:p>
        </w:tc>
        <w:tc>
          <w:tcPr>
            <w:tcW w:w="583"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Pr>
                <w:rFonts w:asciiTheme="minorHAnsi" w:eastAsia="Times New Roman" w:hAnsiTheme="minorHAnsi" w:cs="Arial"/>
                <w:sz w:val="16"/>
                <w:szCs w:val="16"/>
                <w:lang w:val="es-CO" w:eastAsia="es-CO"/>
              </w:rPr>
              <w:t>26</w:t>
            </w:r>
          </w:p>
        </w:tc>
        <w:tc>
          <w:tcPr>
            <w:tcW w:w="384"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92,86%</w:t>
            </w:r>
          </w:p>
        </w:tc>
        <w:tc>
          <w:tcPr>
            <w:tcW w:w="464"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33,33%</w:t>
            </w:r>
          </w:p>
        </w:tc>
        <w:tc>
          <w:tcPr>
            <w:tcW w:w="402" w:type="pct"/>
            <w:vMerge/>
            <w:tcBorders>
              <w:top w:val="nil"/>
              <w:left w:val="single" w:sz="4" w:space="0" w:color="auto"/>
              <w:bottom w:val="single" w:sz="4" w:space="0" w:color="auto"/>
              <w:right w:val="single" w:sz="4" w:space="0" w:color="auto"/>
            </w:tcBorders>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p>
        </w:tc>
        <w:tc>
          <w:tcPr>
            <w:tcW w:w="464" w:type="pct"/>
            <w:vMerge/>
            <w:tcBorders>
              <w:top w:val="nil"/>
              <w:left w:val="single" w:sz="4" w:space="0" w:color="auto"/>
              <w:bottom w:val="single" w:sz="4" w:space="0" w:color="auto"/>
              <w:right w:val="single" w:sz="4" w:space="0" w:color="auto"/>
            </w:tcBorders>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p>
        </w:tc>
        <w:tc>
          <w:tcPr>
            <w:tcW w:w="508" w:type="pct"/>
            <w:vMerge/>
            <w:tcBorders>
              <w:top w:val="nil"/>
              <w:left w:val="single" w:sz="4" w:space="0" w:color="auto"/>
              <w:bottom w:val="single" w:sz="4" w:space="0" w:color="auto"/>
              <w:right w:val="single" w:sz="4" w:space="0" w:color="auto"/>
            </w:tcBorders>
            <w:vAlign w:val="center"/>
            <w:hideMark/>
          </w:tcPr>
          <w:p w:rsidR="009218B5" w:rsidRPr="009218B5" w:rsidRDefault="009218B5" w:rsidP="009218B5">
            <w:pPr>
              <w:spacing w:after="0"/>
              <w:jc w:val="left"/>
              <w:rPr>
                <w:rFonts w:asciiTheme="minorHAnsi" w:eastAsia="Times New Roman" w:hAnsiTheme="minorHAnsi" w:cs="Arial"/>
                <w:b/>
                <w:bCs/>
                <w:sz w:val="16"/>
                <w:szCs w:val="16"/>
                <w:lang w:val="es-CO" w:eastAsia="es-CO"/>
              </w:rPr>
            </w:pPr>
          </w:p>
        </w:tc>
      </w:tr>
      <w:tr w:rsidR="009218B5" w:rsidRPr="009218B5" w:rsidTr="00BE4B67">
        <w:trPr>
          <w:trHeight w:val="900"/>
          <w:jc w:val="center"/>
        </w:trPr>
        <w:tc>
          <w:tcPr>
            <w:tcW w:w="672" w:type="pct"/>
            <w:vMerge/>
            <w:tcBorders>
              <w:top w:val="nil"/>
              <w:left w:val="single" w:sz="4" w:space="0" w:color="auto"/>
              <w:bottom w:val="single" w:sz="4" w:space="0" w:color="auto"/>
              <w:right w:val="single" w:sz="4" w:space="0" w:color="auto"/>
            </w:tcBorders>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p>
        </w:tc>
        <w:tc>
          <w:tcPr>
            <w:tcW w:w="1097" w:type="pct"/>
            <w:tcBorders>
              <w:top w:val="nil"/>
              <w:left w:val="nil"/>
              <w:bottom w:val="single" w:sz="4" w:space="0" w:color="auto"/>
              <w:right w:val="single" w:sz="4" w:space="0" w:color="auto"/>
            </w:tcBorders>
            <w:shd w:val="clear" w:color="auto" w:fill="auto"/>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Participación de los grupos de interés en las alianzas de la institución</w:t>
            </w:r>
          </w:p>
        </w:tc>
        <w:tc>
          <w:tcPr>
            <w:tcW w:w="427" w:type="pct"/>
            <w:tcBorders>
              <w:top w:val="nil"/>
              <w:left w:val="nil"/>
              <w:bottom w:val="single" w:sz="4" w:space="0" w:color="auto"/>
              <w:right w:val="single" w:sz="4" w:space="0" w:color="auto"/>
            </w:tcBorders>
            <w:shd w:val="clear" w:color="auto" w:fill="auto"/>
            <w:vAlign w:val="center"/>
            <w:hideMark/>
          </w:tcPr>
          <w:p w:rsidR="009218B5" w:rsidRPr="009218B5" w:rsidRDefault="009218B5" w:rsidP="009218B5">
            <w:pPr>
              <w:spacing w:after="0"/>
              <w:jc w:val="center"/>
              <w:rPr>
                <w:rFonts w:asciiTheme="minorHAnsi" w:eastAsia="Times New Roman" w:hAnsiTheme="minorHAnsi" w:cs="Arial"/>
                <w:color w:val="000000"/>
                <w:sz w:val="16"/>
                <w:szCs w:val="16"/>
                <w:lang w:val="es-CO" w:eastAsia="es-CO"/>
              </w:rPr>
            </w:pPr>
            <w:r w:rsidRPr="009218B5">
              <w:rPr>
                <w:rFonts w:asciiTheme="minorHAnsi" w:eastAsia="Times New Roman" w:hAnsiTheme="minorHAnsi" w:cs="Arial"/>
                <w:color w:val="000000"/>
                <w:sz w:val="16"/>
                <w:szCs w:val="16"/>
                <w:lang w:val="es-CO" w:eastAsia="es-CO"/>
              </w:rPr>
              <w:t>100,00</w:t>
            </w:r>
            <w:r>
              <w:rPr>
                <w:rFonts w:asciiTheme="minorHAnsi" w:eastAsia="Times New Roman" w:hAnsiTheme="minorHAnsi" w:cs="Arial"/>
                <w:color w:val="000000"/>
                <w:sz w:val="16"/>
                <w:szCs w:val="16"/>
                <w:lang w:val="es-CO" w:eastAsia="es-CO"/>
              </w:rPr>
              <w:t>%</w:t>
            </w:r>
          </w:p>
        </w:tc>
        <w:tc>
          <w:tcPr>
            <w:tcW w:w="583"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88,00</w:t>
            </w:r>
            <w:r>
              <w:rPr>
                <w:rFonts w:asciiTheme="minorHAnsi" w:eastAsia="Times New Roman" w:hAnsiTheme="minorHAnsi" w:cs="Arial"/>
                <w:sz w:val="16"/>
                <w:szCs w:val="16"/>
                <w:lang w:val="es-CO" w:eastAsia="es-CO"/>
              </w:rPr>
              <w:t>%</w:t>
            </w:r>
          </w:p>
        </w:tc>
        <w:tc>
          <w:tcPr>
            <w:tcW w:w="384"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88,00%</w:t>
            </w:r>
          </w:p>
        </w:tc>
        <w:tc>
          <w:tcPr>
            <w:tcW w:w="464" w:type="pct"/>
            <w:tcBorders>
              <w:top w:val="nil"/>
              <w:left w:val="nil"/>
              <w:bottom w:val="single" w:sz="4" w:space="0" w:color="auto"/>
              <w:right w:val="single" w:sz="4" w:space="0" w:color="auto"/>
            </w:tcBorders>
            <w:shd w:val="clear" w:color="auto" w:fill="auto"/>
            <w:noWrap/>
            <w:vAlign w:val="center"/>
            <w:hideMark/>
          </w:tcPr>
          <w:p w:rsidR="009218B5" w:rsidRPr="009218B5" w:rsidRDefault="009218B5" w:rsidP="009218B5">
            <w:pPr>
              <w:spacing w:after="0"/>
              <w:jc w:val="center"/>
              <w:rPr>
                <w:rFonts w:asciiTheme="minorHAnsi" w:eastAsia="Times New Roman" w:hAnsiTheme="minorHAnsi" w:cs="Arial"/>
                <w:sz w:val="16"/>
                <w:szCs w:val="16"/>
                <w:lang w:val="es-CO" w:eastAsia="es-CO"/>
              </w:rPr>
            </w:pPr>
            <w:r w:rsidRPr="009218B5">
              <w:rPr>
                <w:rFonts w:asciiTheme="minorHAnsi" w:eastAsia="Times New Roman" w:hAnsiTheme="minorHAnsi" w:cs="Arial"/>
                <w:sz w:val="16"/>
                <w:szCs w:val="16"/>
                <w:lang w:val="es-CO" w:eastAsia="es-CO"/>
              </w:rPr>
              <w:t>33,33%</w:t>
            </w:r>
          </w:p>
        </w:tc>
        <w:tc>
          <w:tcPr>
            <w:tcW w:w="402" w:type="pct"/>
            <w:vMerge/>
            <w:tcBorders>
              <w:top w:val="nil"/>
              <w:left w:val="single" w:sz="4" w:space="0" w:color="auto"/>
              <w:bottom w:val="single" w:sz="4" w:space="0" w:color="auto"/>
              <w:right w:val="single" w:sz="4" w:space="0" w:color="auto"/>
            </w:tcBorders>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p>
        </w:tc>
        <w:tc>
          <w:tcPr>
            <w:tcW w:w="464" w:type="pct"/>
            <w:vMerge/>
            <w:tcBorders>
              <w:top w:val="nil"/>
              <w:left w:val="single" w:sz="4" w:space="0" w:color="auto"/>
              <w:bottom w:val="single" w:sz="4" w:space="0" w:color="auto"/>
              <w:right w:val="single" w:sz="4" w:space="0" w:color="auto"/>
            </w:tcBorders>
            <w:vAlign w:val="center"/>
            <w:hideMark/>
          </w:tcPr>
          <w:p w:rsidR="009218B5" w:rsidRPr="009218B5" w:rsidRDefault="009218B5" w:rsidP="009218B5">
            <w:pPr>
              <w:spacing w:after="0"/>
              <w:jc w:val="left"/>
              <w:rPr>
                <w:rFonts w:asciiTheme="minorHAnsi" w:eastAsia="Times New Roman" w:hAnsiTheme="minorHAnsi" w:cs="Arial"/>
                <w:sz w:val="16"/>
                <w:szCs w:val="16"/>
                <w:lang w:val="es-CO" w:eastAsia="es-CO"/>
              </w:rPr>
            </w:pPr>
          </w:p>
        </w:tc>
        <w:tc>
          <w:tcPr>
            <w:tcW w:w="508" w:type="pct"/>
            <w:vMerge/>
            <w:tcBorders>
              <w:top w:val="nil"/>
              <w:left w:val="single" w:sz="4" w:space="0" w:color="auto"/>
              <w:bottom w:val="single" w:sz="4" w:space="0" w:color="auto"/>
              <w:right w:val="single" w:sz="4" w:space="0" w:color="auto"/>
            </w:tcBorders>
            <w:vAlign w:val="center"/>
            <w:hideMark/>
          </w:tcPr>
          <w:p w:rsidR="009218B5" w:rsidRPr="009218B5" w:rsidRDefault="009218B5" w:rsidP="009218B5">
            <w:pPr>
              <w:spacing w:after="0"/>
              <w:jc w:val="left"/>
              <w:rPr>
                <w:rFonts w:asciiTheme="minorHAnsi" w:eastAsia="Times New Roman" w:hAnsiTheme="minorHAnsi" w:cs="Arial"/>
                <w:b/>
                <w:bCs/>
                <w:sz w:val="16"/>
                <w:szCs w:val="16"/>
                <w:lang w:val="es-CO" w:eastAsia="es-CO"/>
              </w:rPr>
            </w:pPr>
          </w:p>
        </w:tc>
      </w:tr>
      <w:tr w:rsidR="009218B5" w:rsidRPr="009218B5" w:rsidTr="00BE4B67">
        <w:trPr>
          <w:trHeight w:val="300"/>
          <w:jc w:val="center"/>
        </w:trPr>
        <w:tc>
          <w:tcPr>
            <w:tcW w:w="4492" w:type="pct"/>
            <w:gridSpan w:val="8"/>
            <w:tcBorders>
              <w:top w:val="single" w:sz="4" w:space="0" w:color="auto"/>
              <w:left w:val="single" w:sz="4" w:space="0" w:color="auto"/>
              <w:bottom w:val="single" w:sz="4" w:space="0" w:color="auto"/>
              <w:right w:val="single" w:sz="4" w:space="0" w:color="auto"/>
            </w:tcBorders>
            <w:shd w:val="clear" w:color="000000" w:fill="B8CCE4"/>
            <w:noWrap/>
            <w:vAlign w:val="center"/>
            <w:hideMark/>
          </w:tcPr>
          <w:p w:rsidR="009218B5" w:rsidRPr="009218B5" w:rsidRDefault="009218B5" w:rsidP="009218B5">
            <w:pPr>
              <w:spacing w:after="0"/>
              <w:jc w:val="center"/>
              <w:rPr>
                <w:rFonts w:asciiTheme="minorHAnsi" w:eastAsia="Times New Roman" w:hAnsiTheme="minorHAnsi" w:cs="Arial"/>
                <w:b/>
                <w:bCs/>
                <w:sz w:val="16"/>
                <w:szCs w:val="16"/>
                <w:lang w:val="es-CO" w:eastAsia="es-CO"/>
              </w:rPr>
            </w:pPr>
            <w:r w:rsidRPr="009218B5">
              <w:rPr>
                <w:rFonts w:asciiTheme="minorHAnsi" w:eastAsia="Times New Roman" w:hAnsiTheme="minorHAnsi" w:cs="Arial"/>
                <w:b/>
                <w:bCs/>
                <w:sz w:val="16"/>
                <w:szCs w:val="16"/>
                <w:lang w:val="es-CO" w:eastAsia="es-CO"/>
              </w:rPr>
              <w:t>RESULTADOS PDI POR OBJETIVOS</w:t>
            </w:r>
          </w:p>
        </w:tc>
        <w:tc>
          <w:tcPr>
            <w:tcW w:w="508" w:type="pct"/>
            <w:tcBorders>
              <w:top w:val="nil"/>
              <w:left w:val="nil"/>
              <w:bottom w:val="single" w:sz="4" w:space="0" w:color="auto"/>
              <w:right w:val="single" w:sz="4" w:space="0" w:color="auto"/>
            </w:tcBorders>
            <w:shd w:val="clear" w:color="000000" w:fill="B8CCE4"/>
            <w:noWrap/>
            <w:vAlign w:val="center"/>
            <w:hideMark/>
          </w:tcPr>
          <w:p w:rsidR="009218B5" w:rsidRPr="009218B5" w:rsidRDefault="009218B5" w:rsidP="009218B5">
            <w:pPr>
              <w:spacing w:after="0"/>
              <w:jc w:val="center"/>
              <w:rPr>
                <w:rFonts w:asciiTheme="minorHAnsi" w:eastAsia="Times New Roman" w:hAnsiTheme="minorHAnsi" w:cs="Arial"/>
                <w:b/>
                <w:bCs/>
                <w:sz w:val="16"/>
                <w:szCs w:val="16"/>
                <w:lang w:val="es-CO" w:eastAsia="es-CO"/>
              </w:rPr>
            </w:pPr>
            <w:r w:rsidRPr="009218B5">
              <w:rPr>
                <w:rFonts w:asciiTheme="minorHAnsi" w:eastAsia="Times New Roman" w:hAnsiTheme="minorHAnsi" w:cs="Arial"/>
                <w:b/>
                <w:bCs/>
                <w:sz w:val="16"/>
                <w:szCs w:val="16"/>
                <w:lang w:val="es-CO" w:eastAsia="es-CO"/>
              </w:rPr>
              <w:t>94,03%</w:t>
            </w:r>
          </w:p>
        </w:tc>
      </w:tr>
    </w:tbl>
    <w:p w:rsidR="00BE4B67" w:rsidRDefault="00BE4B67" w:rsidP="00BE4B67">
      <w:pPr>
        <w:jc w:val="center"/>
        <w:rPr>
          <w:b/>
          <w:sz w:val="20"/>
        </w:rPr>
      </w:pPr>
      <w:r w:rsidRPr="00BE4B67">
        <w:rPr>
          <w:b/>
          <w:sz w:val="20"/>
        </w:rPr>
        <w:t>Fuente: SIGOB</w:t>
      </w:r>
    </w:p>
    <w:p w:rsidR="00BE4B67" w:rsidRDefault="00BE4B67" w:rsidP="00BE4B67"/>
    <w:p w:rsidR="00BE4B67" w:rsidRDefault="00BE4B67" w:rsidP="00BE4B67">
      <w:pPr>
        <w:pStyle w:val="Ttulo3"/>
      </w:pPr>
      <w:bookmarkStart w:id="164" w:name="_Toc354671374"/>
      <w:r>
        <w:rPr>
          <w:caps w:val="0"/>
        </w:rPr>
        <w:t>Resumen resultados Plan de Desarrollo Institucional 2012 a nivel de Componente</w:t>
      </w:r>
      <w:bookmarkEnd w:id="164"/>
    </w:p>
    <w:p w:rsidR="00BE4B67" w:rsidRDefault="00BE4B67" w:rsidP="00BE4B67"/>
    <w:tbl>
      <w:tblPr>
        <w:tblW w:w="0" w:type="auto"/>
        <w:tblInd w:w="55" w:type="dxa"/>
        <w:tblCellMar>
          <w:left w:w="70" w:type="dxa"/>
          <w:right w:w="70" w:type="dxa"/>
        </w:tblCellMar>
        <w:tblLook w:val="04A0" w:firstRow="1" w:lastRow="0" w:firstColumn="1" w:lastColumn="0" w:noHBand="0" w:noVBand="1"/>
      </w:tblPr>
      <w:tblGrid>
        <w:gridCol w:w="1298"/>
        <w:gridCol w:w="1567"/>
        <w:gridCol w:w="856"/>
        <w:gridCol w:w="1167"/>
        <w:gridCol w:w="811"/>
        <w:gridCol w:w="1059"/>
        <w:gridCol w:w="1069"/>
        <w:gridCol w:w="1096"/>
      </w:tblGrid>
      <w:tr w:rsidR="00C36A92" w:rsidRPr="00C36A92" w:rsidTr="00626432">
        <w:trPr>
          <w:trHeight w:val="170"/>
          <w:tblHeader/>
        </w:trPr>
        <w:tc>
          <w:tcPr>
            <w:tcW w:w="0" w:type="auto"/>
            <w:gridSpan w:val="2"/>
            <w:tcBorders>
              <w:top w:val="single" w:sz="4" w:space="0" w:color="auto"/>
              <w:left w:val="single" w:sz="4" w:space="0" w:color="auto"/>
              <w:bottom w:val="single" w:sz="4" w:space="0" w:color="auto"/>
              <w:right w:val="single" w:sz="4" w:space="0" w:color="auto"/>
            </w:tcBorders>
            <w:shd w:val="clear" w:color="000000" w:fill="B8CCE4"/>
            <w:noWrap/>
            <w:vAlign w:val="center"/>
            <w:hideMark/>
          </w:tcPr>
          <w:p w:rsidR="00C36A92" w:rsidRPr="00C36A92" w:rsidRDefault="00ED4E7C"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DESARROLLO INSTITUCIONAL</w:t>
            </w:r>
          </w:p>
        </w:tc>
        <w:tc>
          <w:tcPr>
            <w:tcW w:w="0" w:type="auto"/>
            <w:tcBorders>
              <w:top w:val="single" w:sz="4" w:space="0" w:color="auto"/>
              <w:left w:val="nil"/>
              <w:bottom w:val="single" w:sz="4" w:space="0" w:color="auto"/>
              <w:right w:val="single" w:sz="4" w:space="0" w:color="auto"/>
            </w:tcBorders>
            <w:shd w:val="clear" w:color="000000" w:fill="B8CCE4"/>
            <w:noWrap/>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Meta 2012</w:t>
            </w:r>
          </w:p>
        </w:tc>
        <w:tc>
          <w:tcPr>
            <w:tcW w:w="0" w:type="auto"/>
            <w:tcBorders>
              <w:top w:val="single" w:sz="4" w:space="0" w:color="auto"/>
              <w:left w:val="nil"/>
              <w:bottom w:val="single" w:sz="4" w:space="0" w:color="auto"/>
              <w:right w:val="single" w:sz="4" w:space="0" w:color="auto"/>
            </w:tcBorders>
            <w:shd w:val="clear" w:color="000000" w:fill="B8CCE4"/>
            <w:noWrap/>
            <w:vAlign w:val="center"/>
            <w:hideMark/>
          </w:tcPr>
          <w:p w:rsidR="00C36A92" w:rsidRPr="00C36A92" w:rsidRDefault="00C36A92" w:rsidP="00C36A92">
            <w:pPr>
              <w:spacing w:after="0"/>
              <w:jc w:val="center"/>
              <w:rPr>
                <w:rFonts w:eastAsia="Times New Roman" w:cs="Arial"/>
                <w:b/>
                <w:bCs/>
                <w:sz w:val="16"/>
                <w:szCs w:val="16"/>
                <w:lang w:val="es-CO" w:eastAsia="es-CO"/>
              </w:rPr>
            </w:pPr>
            <w:r>
              <w:rPr>
                <w:rFonts w:eastAsia="Times New Roman" w:cs="Arial"/>
                <w:b/>
                <w:bCs/>
                <w:sz w:val="16"/>
                <w:szCs w:val="16"/>
                <w:lang w:val="es-CO" w:eastAsia="es-CO"/>
              </w:rPr>
              <w:t>Resultado 2012</w:t>
            </w:r>
          </w:p>
        </w:tc>
        <w:tc>
          <w:tcPr>
            <w:tcW w:w="0" w:type="auto"/>
            <w:tcBorders>
              <w:top w:val="single" w:sz="4" w:space="0" w:color="auto"/>
              <w:left w:val="nil"/>
              <w:bottom w:val="single" w:sz="4" w:space="0" w:color="auto"/>
              <w:right w:val="single" w:sz="4" w:space="0" w:color="auto"/>
            </w:tcBorders>
            <w:shd w:val="clear" w:color="000000" w:fill="B8CCE4"/>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Avance Indicador</w:t>
            </w:r>
          </w:p>
        </w:tc>
        <w:tc>
          <w:tcPr>
            <w:tcW w:w="0" w:type="auto"/>
            <w:tcBorders>
              <w:top w:val="single" w:sz="4" w:space="0" w:color="auto"/>
              <w:left w:val="nil"/>
              <w:bottom w:val="single" w:sz="4" w:space="0" w:color="auto"/>
              <w:right w:val="single" w:sz="4" w:space="0" w:color="auto"/>
            </w:tcBorders>
            <w:shd w:val="clear" w:color="000000" w:fill="B8CCE4"/>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Resultado Componente</w:t>
            </w:r>
          </w:p>
        </w:tc>
        <w:tc>
          <w:tcPr>
            <w:tcW w:w="0" w:type="auto"/>
            <w:tcBorders>
              <w:top w:val="single" w:sz="4" w:space="0" w:color="auto"/>
              <w:left w:val="nil"/>
              <w:bottom w:val="single" w:sz="4" w:space="0" w:color="auto"/>
              <w:right w:val="single" w:sz="4" w:space="0" w:color="auto"/>
            </w:tcBorders>
            <w:shd w:val="clear" w:color="000000" w:fill="B8CCE4"/>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Ponderador Componente</w:t>
            </w:r>
          </w:p>
        </w:tc>
        <w:tc>
          <w:tcPr>
            <w:tcW w:w="0" w:type="auto"/>
            <w:tcBorders>
              <w:top w:val="single" w:sz="4" w:space="0" w:color="auto"/>
              <w:left w:val="nil"/>
              <w:bottom w:val="single" w:sz="4" w:space="0" w:color="auto"/>
              <w:right w:val="single" w:sz="4" w:space="0" w:color="auto"/>
            </w:tcBorders>
            <w:shd w:val="clear" w:color="000000" w:fill="B8CCE4"/>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RESULTADOS DEL OBJETIVO</w:t>
            </w:r>
          </w:p>
        </w:tc>
      </w:tr>
      <w:tr w:rsidR="00C36A92" w:rsidRPr="00C36A92" w:rsidTr="00ED4E7C">
        <w:trPr>
          <w:trHeight w:val="170"/>
        </w:trPr>
        <w:tc>
          <w:tcPr>
            <w:tcW w:w="0" w:type="auto"/>
            <w:tcBorders>
              <w:top w:val="nil"/>
              <w:left w:val="single" w:sz="4" w:space="0" w:color="auto"/>
              <w:bottom w:val="single" w:sz="4" w:space="0" w:color="auto"/>
              <w:right w:val="single" w:sz="4" w:space="0" w:color="auto"/>
            </w:tcBorders>
            <w:shd w:val="clear" w:color="auto" w:fill="auto"/>
            <w:vAlign w:val="bottom"/>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Gestión estratégica del Campus</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Índice de construcción</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2,22</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2,27</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100,00%</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100,00%</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5,7%</w:t>
            </w:r>
          </w:p>
        </w:tc>
        <w:tc>
          <w:tcPr>
            <w:tcW w:w="0" w:type="auto"/>
            <w:tcBorders>
              <w:top w:val="nil"/>
              <w:left w:val="nil"/>
              <w:bottom w:val="single" w:sz="4" w:space="0" w:color="auto"/>
              <w:right w:val="single" w:sz="4" w:space="0" w:color="auto"/>
            </w:tcBorders>
            <w:shd w:val="clear" w:color="000000" w:fill="DCE6F1"/>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5,71%</w:t>
            </w:r>
          </w:p>
        </w:tc>
      </w:tr>
      <w:tr w:rsidR="00C36A92" w:rsidRPr="00C36A92" w:rsidTr="00ED4E7C">
        <w:trPr>
          <w:trHeight w:val="170"/>
        </w:trPr>
        <w:tc>
          <w:tcPr>
            <w:tcW w:w="0" w:type="auto"/>
            <w:tcBorders>
              <w:top w:val="nil"/>
              <w:left w:val="single" w:sz="4" w:space="0" w:color="auto"/>
              <w:bottom w:val="single" w:sz="4" w:space="0" w:color="auto"/>
              <w:right w:val="single" w:sz="4" w:space="0" w:color="auto"/>
            </w:tcBorders>
            <w:shd w:val="clear" w:color="auto" w:fill="auto"/>
            <w:vAlign w:val="bottom"/>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Gestión y Sostenibilidad Ambiental</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Gestión ambiental universitaria</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54,80</w:t>
            </w:r>
            <w:r w:rsidR="00580EF0">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49,20</w:t>
            </w:r>
            <w:r w:rsidR="00580EF0">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89,78%</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89,78%</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5,2%</w:t>
            </w:r>
          </w:p>
        </w:tc>
        <w:tc>
          <w:tcPr>
            <w:tcW w:w="0" w:type="auto"/>
            <w:tcBorders>
              <w:top w:val="nil"/>
              <w:left w:val="nil"/>
              <w:bottom w:val="single" w:sz="4" w:space="0" w:color="auto"/>
              <w:right w:val="single" w:sz="4" w:space="0" w:color="auto"/>
            </w:tcBorders>
            <w:shd w:val="clear" w:color="000000" w:fill="DCE6F1"/>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4,71%</w:t>
            </w:r>
          </w:p>
        </w:tc>
      </w:tr>
      <w:tr w:rsidR="00C36A92" w:rsidRPr="00C36A92" w:rsidTr="00ED4E7C">
        <w:trPr>
          <w:trHeight w:val="170"/>
        </w:trPr>
        <w:tc>
          <w:tcPr>
            <w:tcW w:w="0" w:type="auto"/>
            <w:tcBorders>
              <w:top w:val="nil"/>
              <w:left w:val="single" w:sz="4" w:space="0" w:color="auto"/>
              <w:bottom w:val="single" w:sz="4" w:space="0" w:color="auto"/>
              <w:right w:val="single" w:sz="4" w:space="0" w:color="auto"/>
            </w:tcBorders>
            <w:shd w:val="clear" w:color="auto" w:fill="auto"/>
            <w:vAlign w:val="bottom"/>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 xml:space="preserve">Gestión de las Sedes Alternas     </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Atención de necesidades externas</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100,00</w:t>
            </w:r>
            <w:r w:rsidR="00580EF0">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100,00</w:t>
            </w:r>
            <w:r w:rsidR="00580EF0">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100,00%</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100,00%</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4,1%</w:t>
            </w:r>
          </w:p>
        </w:tc>
        <w:tc>
          <w:tcPr>
            <w:tcW w:w="0" w:type="auto"/>
            <w:tcBorders>
              <w:top w:val="nil"/>
              <w:left w:val="nil"/>
              <w:bottom w:val="single" w:sz="4" w:space="0" w:color="auto"/>
              <w:right w:val="single" w:sz="4" w:space="0" w:color="auto"/>
            </w:tcBorders>
            <w:shd w:val="clear" w:color="000000" w:fill="DCE6F1"/>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4,13%</w:t>
            </w:r>
          </w:p>
        </w:tc>
      </w:tr>
      <w:tr w:rsidR="00C36A92" w:rsidRPr="00C36A92" w:rsidTr="00ED4E7C">
        <w:trPr>
          <w:trHeight w:val="170"/>
        </w:trPr>
        <w:tc>
          <w:tcPr>
            <w:tcW w:w="0" w:type="auto"/>
            <w:tcBorders>
              <w:top w:val="nil"/>
              <w:left w:val="single" w:sz="4" w:space="0" w:color="auto"/>
              <w:bottom w:val="single" w:sz="4" w:space="0" w:color="auto"/>
              <w:right w:val="single" w:sz="4" w:space="0" w:color="auto"/>
            </w:tcBorders>
            <w:shd w:val="clear" w:color="auto" w:fill="auto"/>
            <w:vAlign w:val="bottom"/>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Sostenibilidad de la Infraestructura Física</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Cobertura de los equipamientos</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75,00</w:t>
            </w:r>
            <w:r w:rsidR="00580EF0">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78,00</w:t>
            </w:r>
            <w:r w:rsidR="00580EF0">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100,00%</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100,00%</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6,8%</w:t>
            </w:r>
          </w:p>
        </w:tc>
        <w:tc>
          <w:tcPr>
            <w:tcW w:w="0" w:type="auto"/>
            <w:tcBorders>
              <w:top w:val="nil"/>
              <w:left w:val="nil"/>
              <w:bottom w:val="single" w:sz="4" w:space="0" w:color="auto"/>
              <w:right w:val="single" w:sz="4" w:space="0" w:color="auto"/>
            </w:tcBorders>
            <w:shd w:val="clear" w:color="000000" w:fill="DCE6F1"/>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6,81%</w:t>
            </w:r>
          </w:p>
        </w:tc>
      </w:tr>
      <w:tr w:rsidR="00C36A92" w:rsidRPr="00C36A92" w:rsidTr="00ED4E7C">
        <w:trPr>
          <w:trHeight w:val="170"/>
        </w:trPr>
        <w:tc>
          <w:tcPr>
            <w:tcW w:w="0" w:type="auto"/>
            <w:tcBorders>
              <w:top w:val="nil"/>
              <w:left w:val="single" w:sz="4" w:space="0" w:color="auto"/>
              <w:bottom w:val="single" w:sz="4" w:space="0" w:color="auto"/>
              <w:right w:val="single" w:sz="4" w:space="0" w:color="auto"/>
            </w:tcBorders>
            <w:shd w:val="clear" w:color="auto" w:fill="auto"/>
            <w:vAlign w:val="bottom"/>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Sistemas de Información</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Desarrollo del Sistema de Información</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50,00</w:t>
            </w:r>
            <w:r w:rsidR="00580EF0">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48,70</w:t>
            </w:r>
            <w:r w:rsidR="00580EF0">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97,40%</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97,40%</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7,8%</w:t>
            </w:r>
          </w:p>
        </w:tc>
        <w:tc>
          <w:tcPr>
            <w:tcW w:w="0" w:type="auto"/>
            <w:tcBorders>
              <w:top w:val="nil"/>
              <w:left w:val="nil"/>
              <w:bottom w:val="single" w:sz="4" w:space="0" w:color="auto"/>
              <w:right w:val="single" w:sz="4" w:space="0" w:color="auto"/>
            </w:tcBorders>
            <w:shd w:val="clear" w:color="000000" w:fill="DCE6F1"/>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7,60%</w:t>
            </w:r>
          </w:p>
        </w:tc>
      </w:tr>
      <w:tr w:rsidR="00C36A92" w:rsidRPr="00C36A92" w:rsidTr="00ED4E7C">
        <w:trPr>
          <w:trHeight w:val="170"/>
        </w:trPr>
        <w:tc>
          <w:tcPr>
            <w:tcW w:w="0" w:type="auto"/>
            <w:tcBorders>
              <w:top w:val="nil"/>
              <w:left w:val="single" w:sz="4" w:space="0" w:color="auto"/>
              <w:bottom w:val="single" w:sz="4" w:space="0" w:color="auto"/>
              <w:right w:val="single" w:sz="4" w:space="0" w:color="auto"/>
            </w:tcBorders>
            <w:shd w:val="clear" w:color="auto" w:fill="auto"/>
            <w:vAlign w:val="bottom"/>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Automatización de Recursos Físicos</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Servicios Automatizados</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30,00</w:t>
            </w:r>
            <w:r w:rsidR="00580EF0">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29,20</w:t>
            </w:r>
            <w:r w:rsidR="00580EF0">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97,33%</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97,33%</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4,1%</w:t>
            </w:r>
          </w:p>
        </w:tc>
        <w:tc>
          <w:tcPr>
            <w:tcW w:w="0" w:type="auto"/>
            <w:tcBorders>
              <w:top w:val="nil"/>
              <w:left w:val="nil"/>
              <w:bottom w:val="single" w:sz="4" w:space="0" w:color="auto"/>
              <w:right w:val="single" w:sz="4" w:space="0" w:color="auto"/>
            </w:tcBorders>
            <w:shd w:val="clear" w:color="000000" w:fill="DCE6F1"/>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4,02%</w:t>
            </w:r>
          </w:p>
        </w:tc>
      </w:tr>
      <w:tr w:rsidR="00C36A92" w:rsidRPr="00C36A92" w:rsidTr="00ED4E7C">
        <w:trPr>
          <w:trHeight w:val="170"/>
        </w:trPr>
        <w:tc>
          <w:tcPr>
            <w:tcW w:w="0" w:type="auto"/>
            <w:tcBorders>
              <w:top w:val="nil"/>
              <w:left w:val="single" w:sz="4" w:space="0" w:color="auto"/>
              <w:bottom w:val="single" w:sz="4" w:space="0" w:color="auto"/>
              <w:right w:val="single" w:sz="4" w:space="0" w:color="auto"/>
            </w:tcBorders>
            <w:shd w:val="clear" w:color="auto" w:fill="auto"/>
            <w:vAlign w:val="bottom"/>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Sostenibilidad de Hardware y Software</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Optimización de la Infraestructura Tecnológica</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60,00</w:t>
            </w:r>
            <w:r w:rsidR="00580EF0">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60,00</w:t>
            </w:r>
            <w:r w:rsidR="00580EF0">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100,00%</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100,00%</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5,4%</w:t>
            </w:r>
          </w:p>
        </w:tc>
        <w:tc>
          <w:tcPr>
            <w:tcW w:w="0" w:type="auto"/>
            <w:tcBorders>
              <w:top w:val="nil"/>
              <w:left w:val="nil"/>
              <w:bottom w:val="single" w:sz="4" w:space="0" w:color="auto"/>
              <w:right w:val="single" w:sz="4" w:space="0" w:color="auto"/>
            </w:tcBorders>
            <w:shd w:val="clear" w:color="000000" w:fill="DCE6F1"/>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5,37%</w:t>
            </w:r>
          </w:p>
        </w:tc>
      </w:tr>
      <w:tr w:rsidR="00C36A92" w:rsidRPr="00C36A92" w:rsidTr="00ED4E7C">
        <w:trPr>
          <w:trHeight w:val="170"/>
        </w:trPr>
        <w:tc>
          <w:tcPr>
            <w:tcW w:w="0" w:type="auto"/>
            <w:tcBorders>
              <w:top w:val="nil"/>
              <w:left w:val="single" w:sz="4" w:space="0" w:color="auto"/>
              <w:bottom w:val="single" w:sz="4" w:space="0" w:color="auto"/>
              <w:right w:val="single" w:sz="4" w:space="0" w:color="auto"/>
            </w:tcBorders>
            <w:shd w:val="clear" w:color="auto" w:fill="auto"/>
            <w:vAlign w:val="bottom"/>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Sistemas de Comunicación</w:t>
            </w:r>
          </w:p>
        </w:tc>
        <w:tc>
          <w:tcPr>
            <w:tcW w:w="0" w:type="auto"/>
            <w:tcBorders>
              <w:top w:val="nil"/>
              <w:left w:val="nil"/>
              <w:bottom w:val="single" w:sz="4" w:space="0" w:color="auto"/>
              <w:right w:val="single" w:sz="4" w:space="0" w:color="auto"/>
            </w:tcBorders>
            <w:shd w:val="clear" w:color="auto" w:fill="auto"/>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 xml:space="preserve">Desarrollo de las </w:t>
            </w:r>
            <w:proofErr w:type="spellStart"/>
            <w:r w:rsidRPr="00C36A92">
              <w:rPr>
                <w:rFonts w:eastAsia="Times New Roman" w:cs="Arial"/>
                <w:sz w:val="16"/>
                <w:szCs w:val="16"/>
                <w:lang w:val="es-CO" w:eastAsia="es-CO"/>
              </w:rPr>
              <w:t>MTIC´s</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60,00</w:t>
            </w:r>
            <w:r w:rsidR="00580EF0">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60,00</w:t>
            </w:r>
            <w:r w:rsidR="00580EF0">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100,00%</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100,00%</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6,6%</w:t>
            </w:r>
          </w:p>
        </w:tc>
        <w:tc>
          <w:tcPr>
            <w:tcW w:w="0" w:type="auto"/>
            <w:tcBorders>
              <w:top w:val="nil"/>
              <w:left w:val="nil"/>
              <w:bottom w:val="single" w:sz="4" w:space="0" w:color="auto"/>
              <w:right w:val="single" w:sz="4" w:space="0" w:color="auto"/>
            </w:tcBorders>
            <w:shd w:val="clear" w:color="000000" w:fill="DCE6F1"/>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6,62%</w:t>
            </w:r>
          </w:p>
        </w:tc>
      </w:tr>
      <w:tr w:rsidR="00C36A92" w:rsidRPr="00C36A92" w:rsidTr="00ED4E7C">
        <w:trPr>
          <w:trHeight w:val="170"/>
        </w:trPr>
        <w:tc>
          <w:tcPr>
            <w:tcW w:w="0" w:type="auto"/>
            <w:tcBorders>
              <w:top w:val="nil"/>
              <w:left w:val="single" w:sz="4" w:space="0" w:color="auto"/>
              <w:bottom w:val="single" w:sz="4" w:space="0" w:color="auto"/>
              <w:right w:val="single" w:sz="4" w:space="0" w:color="auto"/>
            </w:tcBorders>
            <w:shd w:val="clear" w:color="auto" w:fill="auto"/>
            <w:vAlign w:val="bottom"/>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Procesos de Gestión Humana</w:t>
            </w:r>
          </w:p>
        </w:tc>
        <w:tc>
          <w:tcPr>
            <w:tcW w:w="0" w:type="auto"/>
            <w:tcBorders>
              <w:top w:val="nil"/>
              <w:left w:val="nil"/>
              <w:bottom w:val="single" w:sz="4" w:space="0" w:color="auto"/>
              <w:right w:val="single" w:sz="4" w:space="0" w:color="auto"/>
            </w:tcBorders>
            <w:shd w:val="clear" w:color="auto" w:fill="auto"/>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Ejecución de procesos para el desarrollo del talento humano</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20,00</w:t>
            </w:r>
            <w:r w:rsidR="00580EF0">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18,66</w:t>
            </w:r>
            <w:r w:rsidR="00580EF0">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93,30%</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93,30%</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7,8%</w:t>
            </w:r>
          </w:p>
        </w:tc>
        <w:tc>
          <w:tcPr>
            <w:tcW w:w="0" w:type="auto"/>
            <w:tcBorders>
              <w:top w:val="nil"/>
              <w:left w:val="nil"/>
              <w:bottom w:val="single" w:sz="4" w:space="0" w:color="auto"/>
              <w:right w:val="single" w:sz="4" w:space="0" w:color="auto"/>
            </w:tcBorders>
            <w:shd w:val="clear" w:color="000000" w:fill="DCE6F1"/>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7,23%</w:t>
            </w:r>
          </w:p>
        </w:tc>
      </w:tr>
      <w:tr w:rsidR="00C36A92" w:rsidRPr="00C36A92" w:rsidTr="00ED4E7C">
        <w:trPr>
          <w:trHeight w:val="170"/>
        </w:trPr>
        <w:tc>
          <w:tcPr>
            <w:tcW w:w="0" w:type="auto"/>
            <w:vMerge w:val="restart"/>
            <w:tcBorders>
              <w:top w:val="nil"/>
              <w:left w:val="single" w:sz="4" w:space="0" w:color="auto"/>
              <w:bottom w:val="single" w:sz="4" w:space="0" w:color="000000"/>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Cultura Organizacional</w:t>
            </w:r>
          </w:p>
        </w:tc>
        <w:tc>
          <w:tcPr>
            <w:tcW w:w="0" w:type="auto"/>
            <w:tcBorders>
              <w:top w:val="nil"/>
              <w:left w:val="nil"/>
              <w:bottom w:val="single" w:sz="4" w:space="0" w:color="auto"/>
              <w:right w:val="single" w:sz="4" w:space="0" w:color="auto"/>
            </w:tcBorders>
            <w:shd w:val="clear" w:color="auto" w:fill="auto"/>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 xml:space="preserve">Percepción de la comunidad sobre el </w:t>
            </w:r>
            <w:r w:rsidRPr="00C36A92">
              <w:rPr>
                <w:rFonts w:eastAsia="Times New Roman" w:cs="Arial"/>
                <w:sz w:val="16"/>
                <w:szCs w:val="16"/>
                <w:lang w:val="es-CO" w:eastAsia="es-CO"/>
              </w:rPr>
              <w:lastRenderedPageBreak/>
              <w:t>esfuerzo institucional para mejorar el clima organizacional</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lastRenderedPageBreak/>
              <w:t>80,00</w:t>
            </w:r>
            <w:r w:rsidR="00580EF0">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68,95</w:t>
            </w:r>
            <w:r w:rsidR="00580EF0">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86,19%</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91,88%</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6,3%</w:t>
            </w:r>
          </w:p>
        </w:tc>
        <w:tc>
          <w:tcPr>
            <w:tcW w:w="0" w:type="auto"/>
            <w:vMerge w:val="restart"/>
            <w:tcBorders>
              <w:top w:val="nil"/>
              <w:left w:val="single" w:sz="4" w:space="0" w:color="auto"/>
              <w:bottom w:val="single" w:sz="4" w:space="0" w:color="auto"/>
              <w:right w:val="single" w:sz="4" w:space="0" w:color="auto"/>
            </w:tcBorders>
            <w:shd w:val="clear" w:color="000000" w:fill="DCE6F1"/>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5,82%</w:t>
            </w:r>
          </w:p>
        </w:tc>
      </w:tr>
      <w:tr w:rsidR="00C36A92" w:rsidRPr="00C36A92" w:rsidTr="00ED4E7C">
        <w:trPr>
          <w:trHeight w:val="170"/>
        </w:trPr>
        <w:tc>
          <w:tcPr>
            <w:tcW w:w="0" w:type="auto"/>
            <w:vMerge/>
            <w:tcBorders>
              <w:top w:val="nil"/>
              <w:left w:val="single" w:sz="4" w:space="0" w:color="auto"/>
              <w:bottom w:val="single" w:sz="4" w:space="0" w:color="000000"/>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Resultados medición de la Cultura Organizacional (Percepción favorable de la comunidad)</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78,00</w:t>
            </w:r>
            <w:r w:rsidR="00580EF0">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76,10</w:t>
            </w:r>
            <w:r w:rsidR="00580EF0">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97,56%</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C36A92" w:rsidRPr="00C36A92" w:rsidTr="00ED4E7C">
        <w:trPr>
          <w:trHeight w:val="17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Estructura Organizacional</w:t>
            </w:r>
          </w:p>
        </w:tc>
        <w:tc>
          <w:tcPr>
            <w:tcW w:w="0" w:type="auto"/>
            <w:tcBorders>
              <w:top w:val="nil"/>
              <w:left w:val="nil"/>
              <w:bottom w:val="single" w:sz="4" w:space="0" w:color="auto"/>
              <w:right w:val="single" w:sz="4" w:space="0" w:color="auto"/>
            </w:tcBorders>
            <w:shd w:val="clear" w:color="auto" w:fill="auto"/>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Intervención de la estructura organizacional</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100,00</w:t>
            </w:r>
            <w:r w:rsidR="00580EF0">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80,00</w:t>
            </w:r>
            <w:r w:rsidR="00580EF0">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80,00%</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80,00%</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7,8%</w:t>
            </w:r>
          </w:p>
        </w:tc>
        <w:tc>
          <w:tcPr>
            <w:tcW w:w="0" w:type="auto"/>
            <w:tcBorders>
              <w:top w:val="nil"/>
              <w:left w:val="nil"/>
              <w:bottom w:val="single" w:sz="4" w:space="0" w:color="auto"/>
              <w:right w:val="single" w:sz="4" w:space="0" w:color="auto"/>
            </w:tcBorders>
            <w:shd w:val="clear" w:color="000000" w:fill="DCE6F1"/>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6,24%</w:t>
            </w:r>
          </w:p>
        </w:tc>
      </w:tr>
      <w:tr w:rsidR="00C36A92" w:rsidRPr="00C36A92" w:rsidTr="00ED4E7C">
        <w:trPr>
          <w:trHeight w:val="170"/>
        </w:trPr>
        <w:tc>
          <w:tcPr>
            <w:tcW w:w="0" w:type="auto"/>
            <w:tcBorders>
              <w:top w:val="nil"/>
              <w:left w:val="single" w:sz="4" w:space="0" w:color="auto"/>
              <w:bottom w:val="single" w:sz="4" w:space="0" w:color="auto"/>
              <w:right w:val="single" w:sz="4" w:space="0" w:color="auto"/>
            </w:tcBorders>
            <w:shd w:val="clear" w:color="auto" w:fill="auto"/>
            <w:vAlign w:val="bottom"/>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Gestión de Procesos</w:t>
            </w:r>
          </w:p>
        </w:tc>
        <w:tc>
          <w:tcPr>
            <w:tcW w:w="0" w:type="auto"/>
            <w:tcBorders>
              <w:top w:val="nil"/>
              <w:left w:val="nil"/>
              <w:bottom w:val="single" w:sz="4" w:space="0" w:color="auto"/>
              <w:right w:val="single" w:sz="4" w:space="0" w:color="auto"/>
            </w:tcBorders>
            <w:shd w:val="clear" w:color="auto" w:fill="auto"/>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Nivel de satisfacción de usuarios a nivel institucional</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84,00</w:t>
            </w:r>
            <w:r w:rsidR="00580EF0">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91,00</w:t>
            </w:r>
            <w:r w:rsidR="00580EF0">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100,00%</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100,00%</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6,6%</w:t>
            </w:r>
          </w:p>
        </w:tc>
        <w:tc>
          <w:tcPr>
            <w:tcW w:w="0" w:type="auto"/>
            <w:tcBorders>
              <w:top w:val="nil"/>
              <w:left w:val="nil"/>
              <w:bottom w:val="single" w:sz="4" w:space="0" w:color="auto"/>
              <w:right w:val="single" w:sz="4" w:space="0" w:color="auto"/>
            </w:tcBorders>
            <w:shd w:val="clear" w:color="000000" w:fill="DCE6F1"/>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6,62%</w:t>
            </w:r>
          </w:p>
        </w:tc>
      </w:tr>
      <w:tr w:rsidR="00C36A92" w:rsidRPr="00C36A92" w:rsidTr="00ED4E7C">
        <w:trPr>
          <w:trHeight w:val="170"/>
        </w:trPr>
        <w:tc>
          <w:tcPr>
            <w:tcW w:w="0" w:type="auto"/>
            <w:tcBorders>
              <w:top w:val="nil"/>
              <w:left w:val="single" w:sz="4" w:space="0" w:color="auto"/>
              <w:bottom w:val="single" w:sz="4" w:space="0" w:color="auto"/>
              <w:right w:val="single" w:sz="4" w:space="0" w:color="auto"/>
            </w:tcBorders>
            <w:shd w:val="clear" w:color="auto" w:fill="auto"/>
            <w:vAlign w:val="bottom"/>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Optimización de Ingresos</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Margen de optimización</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80,00</w:t>
            </w:r>
            <w:r w:rsidR="00580EF0">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96,00</w:t>
            </w:r>
            <w:r w:rsidR="00580EF0">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100,00%</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100,00%</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9,5%</w:t>
            </w:r>
          </w:p>
        </w:tc>
        <w:tc>
          <w:tcPr>
            <w:tcW w:w="0" w:type="auto"/>
            <w:tcBorders>
              <w:top w:val="nil"/>
              <w:left w:val="nil"/>
              <w:bottom w:val="single" w:sz="4" w:space="0" w:color="auto"/>
              <w:right w:val="single" w:sz="4" w:space="0" w:color="auto"/>
            </w:tcBorders>
            <w:shd w:val="clear" w:color="000000" w:fill="DCE6F1"/>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9,50%</w:t>
            </w:r>
          </w:p>
        </w:tc>
      </w:tr>
      <w:tr w:rsidR="00C36A92" w:rsidRPr="00C36A92" w:rsidTr="00ED4E7C">
        <w:trPr>
          <w:trHeight w:val="170"/>
        </w:trPr>
        <w:tc>
          <w:tcPr>
            <w:tcW w:w="0" w:type="auto"/>
            <w:tcBorders>
              <w:top w:val="nil"/>
              <w:left w:val="single" w:sz="4" w:space="0" w:color="auto"/>
              <w:bottom w:val="single" w:sz="4" w:space="0" w:color="auto"/>
              <w:right w:val="single" w:sz="4" w:space="0" w:color="auto"/>
            </w:tcBorders>
            <w:shd w:val="clear" w:color="auto" w:fill="auto"/>
            <w:vAlign w:val="bottom"/>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Nuevas Líneas de Financiamiento</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Nivel de Financiamiento</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22,00</w:t>
            </w:r>
            <w:r w:rsidR="00580EF0">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20,00</w:t>
            </w:r>
            <w:r w:rsidR="00580EF0">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90,91%</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90,91%</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9,2%</w:t>
            </w:r>
          </w:p>
        </w:tc>
        <w:tc>
          <w:tcPr>
            <w:tcW w:w="0" w:type="auto"/>
            <w:tcBorders>
              <w:top w:val="nil"/>
              <w:left w:val="nil"/>
              <w:bottom w:val="single" w:sz="4" w:space="0" w:color="auto"/>
              <w:right w:val="single" w:sz="4" w:space="0" w:color="auto"/>
            </w:tcBorders>
            <w:shd w:val="clear" w:color="000000" w:fill="DCE6F1"/>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8,39%</w:t>
            </w:r>
          </w:p>
        </w:tc>
      </w:tr>
      <w:tr w:rsidR="00C36A92" w:rsidRPr="00C36A92" w:rsidTr="00ED4E7C">
        <w:trPr>
          <w:trHeight w:val="170"/>
        </w:trPr>
        <w:tc>
          <w:tcPr>
            <w:tcW w:w="0" w:type="auto"/>
            <w:tcBorders>
              <w:top w:val="nil"/>
              <w:left w:val="single" w:sz="4" w:space="0" w:color="auto"/>
              <w:bottom w:val="single" w:sz="4" w:space="0" w:color="auto"/>
              <w:right w:val="single" w:sz="4" w:space="0" w:color="auto"/>
            </w:tcBorders>
            <w:shd w:val="clear" w:color="auto" w:fill="auto"/>
            <w:vAlign w:val="bottom"/>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 xml:space="preserve">Racionalización del Uso de los Recursos  </w:t>
            </w:r>
          </w:p>
        </w:tc>
        <w:tc>
          <w:tcPr>
            <w:tcW w:w="0" w:type="auto"/>
            <w:tcBorders>
              <w:top w:val="nil"/>
              <w:left w:val="nil"/>
              <w:bottom w:val="single" w:sz="4" w:space="0" w:color="auto"/>
              <w:right w:val="single" w:sz="4" w:space="0" w:color="auto"/>
            </w:tcBorders>
            <w:shd w:val="clear" w:color="auto" w:fill="auto"/>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Margen de Racionalización</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100,00</w:t>
            </w:r>
            <w:r w:rsidR="00580EF0">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87,00</w:t>
            </w:r>
            <w:r w:rsidR="00580EF0">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87,00%</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87,00%</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6,9%</w:t>
            </w:r>
          </w:p>
        </w:tc>
        <w:tc>
          <w:tcPr>
            <w:tcW w:w="0" w:type="auto"/>
            <w:tcBorders>
              <w:top w:val="nil"/>
              <w:left w:val="nil"/>
              <w:bottom w:val="single" w:sz="4" w:space="0" w:color="auto"/>
              <w:right w:val="single" w:sz="4" w:space="0" w:color="auto"/>
            </w:tcBorders>
            <w:shd w:val="clear" w:color="000000" w:fill="DCE6F1"/>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6,03%</w:t>
            </w:r>
          </w:p>
        </w:tc>
      </w:tr>
      <w:tr w:rsidR="00A533BF" w:rsidRPr="00C36A92" w:rsidTr="00E90EFD">
        <w:trPr>
          <w:trHeight w:val="170"/>
        </w:trPr>
        <w:tc>
          <w:tcPr>
            <w:tcW w:w="0" w:type="auto"/>
            <w:gridSpan w:val="7"/>
            <w:tcBorders>
              <w:top w:val="single" w:sz="4" w:space="0" w:color="auto"/>
              <w:left w:val="single" w:sz="4" w:space="0" w:color="auto"/>
              <w:bottom w:val="single" w:sz="4" w:space="0" w:color="auto"/>
              <w:right w:val="single" w:sz="4" w:space="0" w:color="auto"/>
            </w:tcBorders>
            <w:shd w:val="clear" w:color="000000" w:fill="B8CCE4"/>
            <w:vAlign w:val="center"/>
            <w:hideMark/>
          </w:tcPr>
          <w:p w:rsidR="00A533BF" w:rsidRPr="00C36A92" w:rsidRDefault="00A533BF" w:rsidP="00A533BF">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TOTAL COMPONENTE</w:t>
            </w:r>
          </w:p>
        </w:tc>
        <w:tc>
          <w:tcPr>
            <w:tcW w:w="0" w:type="auto"/>
            <w:tcBorders>
              <w:top w:val="nil"/>
              <w:left w:val="nil"/>
              <w:bottom w:val="single" w:sz="4" w:space="0" w:color="auto"/>
              <w:right w:val="single" w:sz="4" w:space="0" w:color="auto"/>
            </w:tcBorders>
            <w:shd w:val="clear" w:color="000000" w:fill="B8CCE4"/>
            <w:noWrap/>
            <w:vAlign w:val="center"/>
            <w:hideMark/>
          </w:tcPr>
          <w:p w:rsidR="00A533BF" w:rsidRPr="00C36A92" w:rsidRDefault="00A533BF"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94,80%</w:t>
            </w:r>
          </w:p>
        </w:tc>
      </w:tr>
    </w:tbl>
    <w:p w:rsidR="00A533BF" w:rsidRDefault="00A533BF" w:rsidP="00A533BF">
      <w:pPr>
        <w:jc w:val="center"/>
        <w:rPr>
          <w:b/>
          <w:sz w:val="20"/>
        </w:rPr>
      </w:pPr>
      <w:r w:rsidRPr="00BE4B67">
        <w:rPr>
          <w:b/>
          <w:sz w:val="20"/>
        </w:rPr>
        <w:t>Fuente: SIGOB</w:t>
      </w:r>
    </w:p>
    <w:p w:rsidR="00A533BF" w:rsidRDefault="00A533BF"/>
    <w:tbl>
      <w:tblPr>
        <w:tblW w:w="0" w:type="auto"/>
        <w:tblInd w:w="55" w:type="dxa"/>
        <w:tblCellMar>
          <w:left w:w="70" w:type="dxa"/>
          <w:right w:w="70" w:type="dxa"/>
        </w:tblCellMar>
        <w:tblLook w:val="04A0" w:firstRow="1" w:lastRow="0" w:firstColumn="1" w:lastColumn="0" w:noHBand="0" w:noVBand="1"/>
      </w:tblPr>
      <w:tblGrid>
        <w:gridCol w:w="1096"/>
        <w:gridCol w:w="1740"/>
        <w:gridCol w:w="856"/>
        <w:gridCol w:w="1167"/>
        <w:gridCol w:w="816"/>
        <w:gridCol w:w="1066"/>
        <w:gridCol w:w="1077"/>
        <w:gridCol w:w="1105"/>
      </w:tblGrid>
      <w:tr w:rsidR="00C36A92" w:rsidRPr="00C36A92" w:rsidTr="00626432">
        <w:trPr>
          <w:trHeight w:val="170"/>
          <w:tblHeader/>
        </w:trPr>
        <w:tc>
          <w:tcPr>
            <w:tcW w:w="0" w:type="auto"/>
            <w:gridSpan w:val="2"/>
            <w:tcBorders>
              <w:top w:val="single" w:sz="4" w:space="0" w:color="auto"/>
              <w:left w:val="single" w:sz="4" w:space="0" w:color="auto"/>
              <w:bottom w:val="single" w:sz="4" w:space="0" w:color="auto"/>
              <w:right w:val="single" w:sz="4" w:space="0" w:color="auto"/>
            </w:tcBorders>
            <w:shd w:val="clear" w:color="000000" w:fill="B8CCE4"/>
            <w:noWrap/>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COBERTURA</w:t>
            </w:r>
            <w:r w:rsidR="00ED4E7C">
              <w:rPr>
                <w:rFonts w:eastAsia="Times New Roman" w:cs="Arial"/>
                <w:b/>
                <w:bCs/>
                <w:sz w:val="16"/>
                <w:szCs w:val="16"/>
                <w:lang w:val="es-CO" w:eastAsia="es-CO"/>
              </w:rPr>
              <w:t xml:space="preserve"> CON CALIDAD</w:t>
            </w:r>
          </w:p>
        </w:tc>
        <w:tc>
          <w:tcPr>
            <w:tcW w:w="0" w:type="auto"/>
            <w:tcBorders>
              <w:top w:val="single" w:sz="4" w:space="0" w:color="auto"/>
              <w:left w:val="nil"/>
              <w:bottom w:val="single" w:sz="4" w:space="0" w:color="auto"/>
              <w:right w:val="single" w:sz="4" w:space="0" w:color="auto"/>
            </w:tcBorders>
            <w:shd w:val="clear" w:color="000000" w:fill="B8CCE4"/>
            <w:noWrap/>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Meta 2012</w:t>
            </w:r>
          </w:p>
        </w:tc>
        <w:tc>
          <w:tcPr>
            <w:tcW w:w="0" w:type="auto"/>
            <w:tcBorders>
              <w:top w:val="single" w:sz="4" w:space="0" w:color="auto"/>
              <w:left w:val="nil"/>
              <w:bottom w:val="single" w:sz="4" w:space="0" w:color="auto"/>
              <w:right w:val="single" w:sz="4" w:space="0" w:color="auto"/>
            </w:tcBorders>
            <w:shd w:val="clear" w:color="000000" w:fill="B8CCE4"/>
            <w:noWrap/>
            <w:vAlign w:val="center"/>
            <w:hideMark/>
          </w:tcPr>
          <w:p w:rsidR="00C36A92" w:rsidRPr="00C36A92" w:rsidRDefault="00C36A92" w:rsidP="00C36A92">
            <w:pPr>
              <w:spacing w:after="0"/>
              <w:jc w:val="center"/>
              <w:rPr>
                <w:rFonts w:eastAsia="Times New Roman" w:cs="Arial"/>
                <w:b/>
                <w:bCs/>
                <w:sz w:val="16"/>
                <w:szCs w:val="16"/>
                <w:lang w:val="es-CO" w:eastAsia="es-CO"/>
              </w:rPr>
            </w:pPr>
            <w:r>
              <w:rPr>
                <w:rFonts w:eastAsia="Times New Roman" w:cs="Arial"/>
                <w:b/>
                <w:bCs/>
                <w:sz w:val="16"/>
                <w:szCs w:val="16"/>
                <w:lang w:val="es-CO" w:eastAsia="es-CO"/>
              </w:rPr>
              <w:t>Resultado 2012</w:t>
            </w:r>
          </w:p>
        </w:tc>
        <w:tc>
          <w:tcPr>
            <w:tcW w:w="0" w:type="auto"/>
            <w:tcBorders>
              <w:top w:val="single" w:sz="4" w:space="0" w:color="auto"/>
              <w:left w:val="nil"/>
              <w:bottom w:val="single" w:sz="4" w:space="0" w:color="auto"/>
              <w:right w:val="single" w:sz="4" w:space="0" w:color="auto"/>
            </w:tcBorders>
            <w:shd w:val="clear" w:color="000000" w:fill="B8CCE4"/>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Avance Indicador</w:t>
            </w:r>
          </w:p>
        </w:tc>
        <w:tc>
          <w:tcPr>
            <w:tcW w:w="0" w:type="auto"/>
            <w:tcBorders>
              <w:top w:val="single" w:sz="4" w:space="0" w:color="auto"/>
              <w:left w:val="nil"/>
              <w:bottom w:val="single" w:sz="4" w:space="0" w:color="auto"/>
              <w:right w:val="single" w:sz="4" w:space="0" w:color="auto"/>
            </w:tcBorders>
            <w:shd w:val="clear" w:color="000000" w:fill="B8CCE4"/>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Resultado Componente</w:t>
            </w:r>
          </w:p>
        </w:tc>
        <w:tc>
          <w:tcPr>
            <w:tcW w:w="0" w:type="auto"/>
            <w:tcBorders>
              <w:top w:val="single" w:sz="4" w:space="0" w:color="auto"/>
              <w:left w:val="nil"/>
              <w:bottom w:val="single" w:sz="4" w:space="0" w:color="auto"/>
              <w:right w:val="single" w:sz="4" w:space="0" w:color="auto"/>
            </w:tcBorders>
            <w:shd w:val="clear" w:color="000000" w:fill="B8CCE4"/>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Ponderador Componente</w:t>
            </w:r>
          </w:p>
        </w:tc>
        <w:tc>
          <w:tcPr>
            <w:tcW w:w="0" w:type="auto"/>
            <w:tcBorders>
              <w:top w:val="single" w:sz="4" w:space="0" w:color="auto"/>
              <w:left w:val="nil"/>
              <w:bottom w:val="single" w:sz="4" w:space="0" w:color="auto"/>
              <w:right w:val="single" w:sz="4" w:space="0" w:color="auto"/>
            </w:tcBorders>
            <w:shd w:val="clear" w:color="000000" w:fill="B8CCE4"/>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RESULTADOS DEL OBJETIVO</w:t>
            </w:r>
          </w:p>
        </w:tc>
      </w:tr>
      <w:tr w:rsidR="00A533BF" w:rsidRPr="00C36A92" w:rsidTr="00ED4E7C">
        <w:trPr>
          <w:trHeight w:val="17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Educabilidad</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Estudiantes con calificación en evaluaciones de calidad de la educación superior por encima de la media nacional</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60,00</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69,83</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100,00%</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100,00%</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20,0%</w:t>
            </w:r>
          </w:p>
        </w:tc>
        <w:tc>
          <w:tcPr>
            <w:tcW w:w="0" w:type="auto"/>
            <w:vMerge w:val="restart"/>
            <w:tcBorders>
              <w:top w:val="nil"/>
              <w:left w:val="single" w:sz="4" w:space="0" w:color="auto"/>
              <w:bottom w:val="single" w:sz="4" w:space="0" w:color="auto"/>
              <w:right w:val="single" w:sz="4" w:space="0" w:color="auto"/>
            </w:tcBorders>
            <w:shd w:val="clear" w:color="000000" w:fill="DCE6F1"/>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20,00%</w:t>
            </w:r>
          </w:p>
        </w:tc>
      </w:tr>
      <w:tr w:rsidR="00C36A92"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Estudiantes con reconocimiento de "estudiante distinguido"</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20,00</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23,14</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100,00%</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r>
      <w:tr w:rsidR="00C36A92"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Ocupación del egresado graduado en su perfil profesional</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75,00</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83,00</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100,00%</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r>
      <w:tr w:rsidR="00C36A92"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Nivel de satisfacción de empleadores con los egresados graduados</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80,00</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88,78</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100,00%</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r>
      <w:tr w:rsidR="00A533BF" w:rsidRPr="00C36A92" w:rsidTr="00ED4E7C">
        <w:trPr>
          <w:trHeight w:val="17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Aprendibilidad</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Retención estudiantil</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88,52</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90,64</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100,00%</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100,00%</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25,0%</w:t>
            </w:r>
          </w:p>
        </w:tc>
        <w:tc>
          <w:tcPr>
            <w:tcW w:w="0" w:type="auto"/>
            <w:vMerge w:val="restart"/>
            <w:tcBorders>
              <w:top w:val="nil"/>
              <w:left w:val="single" w:sz="4" w:space="0" w:color="auto"/>
              <w:bottom w:val="single" w:sz="4" w:space="0" w:color="auto"/>
              <w:right w:val="single" w:sz="4" w:space="0" w:color="auto"/>
            </w:tcBorders>
            <w:shd w:val="clear" w:color="000000" w:fill="DCE6F1"/>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25,00%</w:t>
            </w:r>
          </w:p>
        </w:tc>
      </w:tr>
      <w:tr w:rsidR="00C36A92"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Promedio ponderado de duración de estudios</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83,00</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85,38</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100,00%</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A533BF" w:rsidRPr="00C36A92" w:rsidTr="00ED4E7C">
        <w:trPr>
          <w:trHeight w:val="17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Educatividad</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Formación en una segunda lengua</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24,00</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21,85</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91,04%</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95,21%</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25,0%</w:t>
            </w:r>
          </w:p>
        </w:tc>
        <w:tc>
          <w:tcPr>
            <w:tcW w:w="0" w:type="auto"/>
            <w:vMerge w:val="restart"/>
            <w:tcBorders>
              <w:top w:val="nil"/>
              <w:left w:val="single" w:sz="4" w:space="0" w:color="auto"/>
              <w:bottom w:val="single" w:sz="4" w:space="0" w:color="auto"/>
              <w:right w:val="single" w:sz="4" w:space="0" w:color="auto"/>
            </w:tcBorders>
            <w:shd w:val="clear" w:color="000000" w:fill="DCE6F1"/>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23,80%</w:t>
            </w:r>
          </w:p>
        </w:tc>
      </w:tr>
      <w:tr w:rsidR="00C36A92"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Formación postgraduada (Doctorado)</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15,00</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14,96</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99,73%</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C36A92"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Formación postgraduada (Maestría)</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58,00</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53,54</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92,31%</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C36A92"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Formación en Pedagogía</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50,00</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51,57</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100,00%</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C36A92"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 xml:space="preserve">Formación en manejo de </w:t>
            </w:r>
            <w:proofErr w:type="spellStart"/>
            <w:r w:rsidRPr="00C36A92">
              <w:rPr>
                <w:rFonts w:eastAsia="Times New Roman" w:cs="Arial"/>
                <w:color w:val="000000"/>
                <w:sz w:val="16"/>
                <w:szCs w:val="16"/>
                <w:lang w:val="es-CO" w:eastAsia="es-CO"/>
              </w:rPr>
              <w:t>TIC’s</w:t>
            </w:r>
            <w:proofErr w:type="spellEnd"/>
            <w:r w:rsidRPr="00C36A92">
              <w:rPr>
                <w:rFonts w:eastAsia="Times New Roman" w:cs="Arial"/>
                <w:color w:val="000000"/>
                <w:sz w:val="16"/>
                <w:szCs w:val="16"/>
                <w:lang w:val="es-CO" w:eastAsia="es-CO"/>
              </w:rPr>
              <w:t xml:space="preserve"> (Nivel básico)</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45,00</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46,25</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100,00%</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C36A92"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 xml:space="preserve">Formación en manejo de </w:t>
            </w:r>
            <w:proofErr w:type="spellStart"/>
            <w:r w:rsidRPr="00C36A92">
              <w:rPr>
                <w:rFonts w:eastAsia="Times New Roman" w:cs="Arial"/>
                <w:color w:val="000000"/>
                <w:sz w:val="16"/>
                <w:szCs w:val="16"/>
                <w:lang w:val="es-CO" w:eastAsia="es-CO"/>
              </w:rPr>
              <w:t>TIC’s</w:t>
            </w:r>
            <w:proofErr w:type="spellEnd"/>
            <w:r w:rsidRPr="00C36A92">
              <w:rPr>
                <w:rFonts w:eastAsia="Times New Roman" w:cs="Arial"/>
                <w:color w:val="000000"/>
                <w:sz w:val="16"/>
                <w:szCs w:val="16"/>
                <w:lang w:val="es-CO" w:eastAsia="es-CO"/>
              </w:rPr>
              <w:t xml:space="preserve"> (Nivel profundización)</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25,00</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22,64</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90,56%</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C36A92"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Formación en Administración Educativa</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35,00</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31,88</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91,09%</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C36A92"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Formación permanente</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54,00</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52,36</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96,96%</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A533BF" w:rsidRPr="00C36A92" w:rsidTr="00ED4E7C">
        <w:trPr>
          <w:trHeight w:val="17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Enseñabilidad</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Nivel de satisfacción de los estudiantes con los profesores</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46,05</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44,60</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96,85%</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94,35%</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20,0%</w:t>
            </w:r>
          </w:p>
        </w:tc>
        <w:tc>
          <w:tcPr>
            <w:tcW w:w="0" w:type="auto"/>
            <w:vMerge w:val="restart"/>
            <w:tcBorders>
              <w:top w:val="nil"/>
              <w:left w:val="single" w:sz="4" w:space="0" w:color="auto"/>
              <w:bottom w:val="single" w:sz="4" w:space="0" w:color="auto"/>
              <w:right w:val="single" w:sz="4" w:space="0" w:color="auto"/>
            </w:tcBorders>
            <w:shd w:val="clear" w:color="000000" w:fill="DCE6F1"/>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18,87%</w:t>
            </w:r>
          </w:p>
        </w:tc>
      </w:tr>
      <w:tr w:rsidR="00C36A92"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Nivel de satisfacción de los egresados con el programa</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90,00</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92,00</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100,00%</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C36A92"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Nivel de satisfacción de los estudiantes con el programa</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66,67</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82,97</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100,00%</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C36A92"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Nivel de satisfacción de los empleadores con el programa</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85,40</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68,80</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80,56%</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A533BF" w:rsidRPr="00C36A92" w:rsidTr="00ED4E7C">
        <w:trPr>
          <w:trHeight w:val="17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Cobertura</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Estudiantes en cada nivel (Pregrado)</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85,00</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93,24</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100,00%</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82,57%</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10,0%</w:t>
            </w:r>
          </w:p>
        </w:tc>
        <w:tc>
          <w:tcPr>
            <w:tcW w:w="0" w:type="auto"/>
            <w:vMerge w:val="restart"/>
            <w:tcBorders>
              <w:top w:val="nil"/>
              <w:left w:val="single" w:sz="4" w:space="0" w:color="auto"/>
              <w:bottom w:val="single" w:sz="4" w:space="0" w:color="auto"/>
              <w:right w:val="single" w:sz="4" w:space="0" w:color="auto"/>
            </w:tcBorders>
            <w:shd w:val="clear" w:color="000000" w:fill="DCE6F1"/>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8,26%</w:t>
            </w:r>
          </w:p>
        </w:tc>
      </w:tr>
      <w:tr w:rsidR="00C36A92"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Programas de cada nivel (Pregrado)</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50,00</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50,00</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100,00%</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C36A92"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Estudiantes en cada nivel (Posgrado)</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15,00</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13,99</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93,27%</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C36A92"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Programas en cada nivel (Posgrado)</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50,00</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50,00</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100,00%</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C36A92"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Oferta de programas</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85,00</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81,82</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96,26%</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C36A92"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Planta docente (Planta Tiempo completo)</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25,97</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23,46</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90,34%</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C36A92"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Planta docente (Planta medio tiempo)</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1,80</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1,64</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91,11%</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C36A92"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Planta docente (Transitorio Tiempo Completo)</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10,83</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10,25</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94,64%</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C36A92"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Planta docente (Transitorio Medio Tiempo)</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7,00</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6,64</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94,86%</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C36A92"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Inversión (Estudiantes por equipo de cómputo)</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13,00</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12,41</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95,46%</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C36A92"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Inversión (Estudiantes por profesor en docencia directa)</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28,00</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28,03</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100,00%</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C36A92"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Planta docente (Catedrático)</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57,00</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58,33</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100,00%</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C36A92" w:rsidRPr="00C36A92" w:rsidTr="00ED4E7C">
        <w:trPr>
          <w:trHeight w:val="170"/>
        </w:trPr>
        <w:tc>
          <w:tcPr>
            <w:tcW w:w="0" w:type="auto"/>
            <w:gridSpan w:val="4"/>
            <w:tcBorders>
              <w:top w:val="single" w:sz="4" w:space="0" w:color="auto"/>
              <w:left w:val="single" w:sz="4" w:space="0" w:color="auto"/>
              <w:bottom w:val="single" w:sz="4" w:space="0" w:color="auto"/>
              <w:right w:val="single" w:sz="4" w:space="0" w:color="auto"/>
            </w:tcBorders>
            <w:shd w:val="clear" w:color="000000" w:fill="B8CCE4"/>
            <w:vAlign w:val="center"/>
            <w:hideMark/>
          </w:tcPr>
          <w:p w:rsidR="00C36A92" w:rsidRPr="00C36A92" w:rsidRDefault="00C36A92" w:rsidP="00A533BF">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TOTAL COMPONENTE</w:t>
            </w:r>
          </w:p>
        </w:tc>
        <w:tc>
          <w:tcPr>
            <w:tcW w:w="0" w:type="auto"/>
            <w:tcBorders>
              <w:top w:val="nil"/>
              <w:left w:val="nil"/>
              <w:bottom w:val="single" w:sz="4" w:space="0" w:color="auto"/>
              <w:right w:val="single" w:sz="4" w:space="0" w:color="auto"/>
            </w:tcBorders>
            <w:shd w:val="clear" w:color="000000" w:fill="B8CCE4"/>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 </w:t>
            </w:r>
          </w:p>
        </w:tc>
        <w:tc>
          <w:tcPr>
            <w:tcW w:w="0" w:type="auto"/>
            <w:tcBorders>
              <w:top w:val="nil"/>
              <w:left w:val="nil"/>
              <w:bottom w:val="single" w:sz="4" w:space="0" w:color="auto"/>
              <w:right w:val="single" w:sz="4" w:space="0" w:color="auto"/>
            </w:tcBorders>
            <w:shd w:val="clear" w:color="000000" w:fill="B8CCE4"/>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 </w:t>
            </w:r>
          </w:p>
        </w:tc>
        <w:tc>
          <w:tcPr>
            <w:tcW w:w="0" w:type="auto"/>
            <w:tcBorders>
              <w:top w:val="nil"/>
              <w:left w:val="nil"/>
              <w:bottom w:val="single" w:sz="4" w:space="0" w:color="auto"/>
              <w:right w:val="single" w:sz="4" w:space="0" w:color="auto"/>
            </w:tcBorders>
            <w:shd w:val="clear" w:color="000000" w:fill="B8CCE4"/>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 </w:t>
            </w:r>
          </w:p>
        </w:tc>
        <w:tc>
          <w:tcPr>
            <w:tcW w:w="0" w:type="auto"/>
            <w:tcBorders>
              <w:top w:val="nil"/>
              <w:left w:val="nil"/>
              <w:bottom w:val="single" w:sz="4" w:space="0" w:color="auto"/>
              <w:right w:val="single" w:sz="4" w:space="0" w:color="auto"/>
            </w:tcBorders>
            <w:shd w:val="clear" w:color="000000" w:fill="B8CCE4"/>
            <w:noWrap/>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95,93%</w:t>
            </w:r>
          </w:p>
        </w:tc>
      </w:tr>
    </w:tbl>
    <w:p w:rsidR="00A533BF" w:rsidRDefault="00A533BF" w:rsidP="00A533BF">
      <w:pPr>
        <w:jc w:val="center"/>
        <w:rPr>
          <w:b/>
          <w:sz w:val="20"/>
        </w:rPr>
      </w:pPr>
      <w:r w:rsidRPr="00BE4B67">
        <w:rPr>
          <w:b/>
          <w:sz w:val="20"/>
        </w:rPr>
        <w:t>Fuente: SIGOB</w:t>
      </w:r>
    </w:p>
    <w:p w:rsidR="00A533BF" w:rsidRDefault="00A533BF"/>
    <w:tbl>
      <w:tblPr>
        <w:tblW w:w="0" w:type="auto"/>
        <w:tblInd w:w="55" w:type="dxa"/>
        <w:tblCellMar>
          <w:left w:w="70" w:type="dxa"/>
          <w:right w:w="70" w:type="dxa"/>
        </w:tblCellMar>
        <w:tblLook w:val="04A0" w:firstRow="1" w:lastRow="0" w:firstColumn="1" w:lastColumn="0" w:noHBand="0" w:noVBand="1"/>
      </w:tblPr>
      <w:tblGrid>
        <w:gridCol w:w="1341"/>
        <w:gridCol w:w="1816"/>
        <w:gridCol w:w="716"/>
        <w:gridCol w:w="843"/>
        <w:gridCol w:w="932"/>
        <w:gridCol w:w="1073"/>
        <w:gridCol w:w="1086"/>
        <w:gridCol w:w="1116"/>
      </w:tblGrid>
      <w:tr w:rsidR="00C36A92" w:rsidRPr="00C36A92" w:rsidTr="00626432">
        <w:trPr>
          <w:trHeight w:val="170"/>
          <w:tblHeader/>
        </w:trPr>
        <w:tc>
          <w:tcPr>
            <w:tcW w:w="0" w:type="auto"/>
            <w:gridSpan w:val="2"/>
            <w:tcBorders>
              <w:top w:val="single" w:sz="4" w:space="0" w:color="auto"/>
              <w:left w:val="single" w:sz="4" w:space="0" w:color="auto"/>
              <w:bottom w:val="single" w:sz="4" w:space="0" w:color="auto"/>
              <w:right w:val="single" w:sz="4" w:space="0" w:color="auto"/>
            </w:tcBorders>
            <w:shd w:val="clear" w:color="000000" w:fill="B8CCE4"/>
            <w:noWrap/>
            <w:vAlign w:val="center"/>
            <w:hideMark/>
          </w:tcPr>
          <w:p w:rsidR="00C36A92" w:rsidRPr="00C36A92" w:rsidRDefault="00ED4E7C"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BIENESTAR INSTITUCIONAL</w:t>
            </w:r>
          </w:p>
        </w:tc>
        <w:tc>
          <w:tcPr>
            <w:tcW w:w="0" w:type="auto"/>
            <w:tcBorders>
              <w:top w:val="single" w:sz="4" w:space="0" w:color="auto"/>
              <w:left w:val="nil"/>
              <w:bottom w:val="single" w:sz="4" w:space="0" w:color="auto"/>
              <w:right w:val="single" w:sz="4" w:space="0" w:color="auto"/>
            </w:tcBorders>
            <w:shd w:val="clear" w:color="000000" w:fill="B8CCE4"/>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Meta 2012</w:t>
            </w:r>
          </w:p>
        </w:tc>
        <w:tc>
          <w:tcPr>
            <w:tcW w:w="0" w:type="auto"/>
            <w:tcBorders>
              <w:top w:val="single" w:sz="4" w:space="0" w:color="auto"/>
              <w:left w:val="nil"/>
              <w:bottom w:val="single" w:sz="4" w:space="0" w:color="auto"/>
              <w:right w:val="single" w:sz="4" w:space="0" w:color="auto"/>
            </w:tcBorders>
            <w:shd w:val="clear" w:color="000000" w:fill="B8CCE4"/>
            <w:vAlign w:val="center"/>
            <w:hideMark/>
          </w:tcPr>
          <w:p w:rsidR="00C36A92" w:rsidRPr="00C36A92" w:rsidRDefault="00C36A92" w:rsidP="00C36A92">
            <w:pPr>
              <w:spacing w:after="0"/>
              <w:jc w:val="center"/>
              <w:rPr>
                <w:rFonts w:eastAsia="Times New Roman" w:cs="Arial"/>
                <w:b/>
                <w:bCs/>
                <w:sz w:val="16"/>
                <w:szCs w:val="16"/>
                <w:lang w:val="es-CO" w:eastAsia="es-CO"/>
              </w:rPr>
            </w:pPr>
            <w:r>
              <w:rPr>
                <w:rFonts w:eastAsia="Times New Roman" w:cs="Arial"/>
                <w:b/>
                <w:bCs/>
                <w:sz w:val="16"/>
                <w:szCs w:val="16"/>
                <w:lang w:val="es-CO" w:eastAsia="es-CO"/>
              </w:rPr>
              <w:t>Resultado 2012</w:t>
            </w:r>
          </w:p>
        </w:tc>
        <w:tc>
          <w:tcPr>
            <w:tcW w:w="0" w:type="auto"/>
            <w:tcBorders>
              <w:top w:val="single" w:sz="4" w:space="0" w:color="auto"/>
              <w:left w:val="nil"/>
              <w:bottom w:val="single" w:sz="4" w:space="0" w:color="auto"/>
              <w:right w:val="single" w:sz="4" w:space="0" w:color="auto"/>
            </w:tcBorders>
            <w:shd w:val="clear" w:color="000000" w:fill="B8CCE4"/>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Porcentaje de Avance</w:t>
            </w:r>
          </w:p>
        </w:tc>
        <w:tc>
          <w:tcPr>
            <w:tcW w:w="0" w:type="auto"/>
            <w:tcBorders>
              <w:top w:val="single" w:sz="4" w:space="0" w:color="auto"/>
              <w:left w:val="nil"/>
              <w:bottom w:val="single" w:sz="4" w:space="0" w:color="auto"/>
              <w:right w:val="single" w:sz="4" w:space="0" w:color="auto"/>
            </w:tcBorders>
            <w:shd w:val="clear" w:color="000000" w:fill="B8CCE4"/>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Resultado Componente</w:t>
            </w:r>
          </w:p>
        </w:tc>
        <w:tc>
          <w:tcPr>
            <w:tcW w:w="0" w:type="auto"/>
            <w:tcBorders>
              <w:top w:val="single" w:sz="4" w:space="0" w:color="auto"/>
              <w:left w:val="nil"/>
              <w:bottom w:val="single" w:sz="4" w:space="0" w:color="auto"/>
              <w:right w:val="single" w:sz="4" w:space="0" w:color="auto"/>
            </w:tcBorders>
            <w:shd w:val="clear" w:color="000000" w:fill="B8CCE4"/>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Ponderador Componente</w:t>
            </w:r>
          </w:p>
        </w:tc>
        <w:tc>
          <w:tcPr>
            <w:tcW w:w="0" w:type="auto"/>
            <w:tcBorders>
              <w:top w:val="single" w:sz="4" w:space="0" w:color="auto"/>
              <w:left w:val="nil"/>
              <w:bottom w:val="single" w:sz="4" w:space="0" w:color="auto"/>
              <w:right w:val="single" w:sz="4" w:space="0" w:color="auto"/>
            </w:tcBorders>
            <w:shd w:val="clear" w:color="000000" w:fill="B8CCE4"/>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RESULTADOS DEL OBJETIVO</w:t>
            </w:r>
          </w:p>
        </w:tc>
      </w:tr>
      <w:tr w:rsidR="00C36A92" w:rsidRPr="00C36A92" w:rsidTr="00ED4E7C">
        <w:trPr>
          <w:trHeight w:val="17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Formación Integral</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Porcentaje de la comunidad universitaria que participa en eventos, acciones de gestión social en la formación integral</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65,00</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144,18</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100,00%</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100,00%</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20,0%</w:t>
            </w:r>
          </w:p>
        </w:tc>
        <w:tc>
          <w:tcPr>
            <w:tcW w:w="0" w:type="auto"/>
            <w:tcBorders>
              <w:top w:val="nil"/>
              <w:left w:val="nil"/>
              <w:bottom w:val="single" w:sz="4" w:space="0" w:color="auto"/>
              <w:right w:val="single" w:sz="4" w:space="0" w:color="auto"/>
            </w:tcBorders>
            <w:shd w:val="clear" w:color="000000" w:fill="DCE6F1"/>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20,00%</w:t>
            </w:r>
          </w:p>
        </w:tc>
      </w:tr>
      <w:tr w:rsidR="00C36A92" w:rsidRPr="00C36A92" w:rsidTr="00ED4E7C">
        <w:trPr>
          <w:trHeight w:val="17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Atención integral y cultura democrática, participativa e incluyente</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 xml:space="preserve">Porcentaje  de estudiantes en situación de vulnerabilidad que son atendidos por el </w:t>
            </w:r>
            <w:proofErr w:type="spellStart"/>
            <w:r w:rsidRPr="00C36A92">
              <w:rPr>
                <w:rFonts w:eastAsia="Times New Roman" w:cs="Arial"/>
                <w:sz w:val="16"/>
                <w:szCs w:val="16"/>
                <w:lang w:val="es-CO" w:eastAsia="es-CO"/>
              </w:rPr>
              <w:t>area</w:t>
            </w:r>
            <w:proofErr w:type="spellEnd"/>
            <w:r w:rsidRPr="00C36A92">
              <w:rPr>
                <w:rFonts w:eastAsia="Times New Roman" w:cs="Arial"/>
                <w:sz w:val="16"/>
                <w:szCs w:val="16"/>
                <w:lang w:val="es-CO" w:eastAsia="es-CO"/>
              </w:rPr>
              <w:t xml:space="preserve"> de Atención Integral e inclusión</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70,00</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88,00</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100,00%</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98,19%</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20,0%</w:t>
            </w:r>
          </w:p>
        </w:tc>
        <w:tc>
          <w:tcPr>
            <w:tcW w:w="0" w:type="auto"/>
            <w:vMerge w:val="restart"/>
            <w:tcBorders>
              <w:top w:val="nil"/>
              <w:left w:val="single" w:sz="4" w:space="0" w:color="auto"/>
              <w:bottom w:val="single" w:sz="4" w:space="0" w:color="auto"/>
              <w:right w:val="single" w:sz="4" w:space="0" w:color="auto"/>
            </w:tcBorders>
            <w:shd w:val="clear" w:color="000000" w:fill="DCE6F1"/>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19,64%</w:t>
            </w:r>
          </w:p>
        </w:tc>
      </w:tr>
      <w:tr w:rsidR="00C36A92"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 xml:space="preserve">Porcentaje de la </w:t>
            </w:r>
            <w:proofErr w:type="spellStart"/>
            <w:r w:rsidRPr="00C36A92">
              <w:rPr>
                <w:rFonts w:eastAsia="Times New Roman" w:cs="Arial"/>
                <w:sz w:val="16"/>
                <w:szCs w:val="16"/>
                <w:lang w:val="es-CO" w:eastAsia="es-CO"/>
              </w:rPr>
              <w:t>poblacion</w:t>
            </w:r>
            <w:proofErr w:type="spellEnd"/>
            <w:r w:rsidRPr="00C36A92">
              <w:rPr>
                <w:rFonts w:eastAsia="Times New Roman" w:cs="Arial"/>
                <w:sz w:val="16"/>
                <w:szCs w:val="16"/>
                <w:lang w:val="es-CO" w:eastAsia="es-CO"/>
              </w:rPr>
              <w:t xml:space="preserve"> universitaria vinculada en proyectos de servicio social y voluntariado</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70,00</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82,28</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100,00%</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C36A92"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Retención de estudiantes que reciben beneficios</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92,00</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87,00</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94,57%</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C36A92" w:rsidRPr="00C36A92" w:rsidTr="00ED4E7C">
        <w:trPr>
          <w:trHeight w:val="17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Salud Integral</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Participaciones en acciones de promoción de la vida saludable y el enfoque de género</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100,00</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86,00</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86,00%</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86,00%</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20,0%</w:t>
            </w:r>
          </w:p>
        </w:tc>
        <w:tc>
          <w:tcPr>
            <w:tcW w:w="0" w:type="auto"/>
            <w:tcBorders>
              <w:top w:val="nil"/>
              <w:left w:val="nil"/>
              <w:bottom w:val="single" w:sz="4" w:space="0" w:color="auto"/>
              <w:right w:val="single" w:sz="4" w:space="0" w:color="auto"/>
            </w:tcBorders>
            <w:shd w:val="clear" w:color="000000" w:fill="DCE6F1"/>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17,20%</w:t>
            </w:r>
          </w:p>
        </w:tc>
      </w:tr>
      <w:tr w:rsidR="00C36A92" w:rsidRPr="00C36A92" w:rsidTr="00ED4E7C">
        <w:trPr>
          <w:trHeight w:val="17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Observatorio Social</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Pertinencia de la información para la toma de decisiones</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50,00</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60,00</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100,00%</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100,00%</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20,0%</w:t>
            </w:r>
          </w:p>
        </w:tc>
        <w:tc>
          <w:tcPr>
            <w:tcW w:w="0" w:type="auto"/>
            <w:tcBorders>
              <w:top w:val="nil"/>
              <w:left w:val="nil"/>
              <w:bottom w:val="single" w:sz="4" w:space="0" w:color="auto"/>
              <w:right w:val="single" w:sz="4" w:space="0" w:color="auto"/>
            </w:tcBorders>
            <w:shd w:val="clear" w:color="000000" w:fill="DCE6F1"/>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20,00%</w:t>
            </w:r>
          </w:p>
        </w:tc>
      </w:tr>
      <w:tr w:rsidR="00C36A92" w:rsidRPr="00C36A92" w:rsidTr="00ED4E7C">
        <w:trPr>
          <w:trHeight w:val="17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Gestión Estratégica</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Gestión de recursos</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40,00</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97,76</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100,00%</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100,00%</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20,0%</w:t>
            </w:r>
          </w:p>
        </w:tc>
        <w:tc>
          <w:tcPr>
            <w:tcW w:w="0" w:type="auto"/>
            <w:tcBorders>
              <w:top w:val="nil"/>
              <w:left w:val="nil"/>
              <w:bottom w:val="single" w:sz="4" w:space="0" w:color="auto"/>
              <w:right w:val="single" w:sz="4" w:space="0" w:color="auto"/>
            </w:tcBorders>
            <w:shd w:val="clear" w:color="000000" w:fill="DCE6F1"/>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20,00%</w:t>
            </w:r>
          </w:p>
        </w:tc>
      </w:tr>
      <w:tr w:rsidR="00A533BF" w:rsidRPr="00C36A92" w:rsidTr="003647FB">
        <w:trPr>
          <w:trHeight w:val="170"/>
        </w:trPr>
        <w:tc>
          <w:tcPr>
            <w:tcW w:w="0" w:type="auto"/>
            <w:gridSpan w:val="7"/>
            <w:tcBorders>
              <w:top w:val="single" w:sz="4" w:space="0" w:color="auto"/>
              <w:left w:val="single" w:sz="4" w:space="0" w:color="auto"/>
              <w:bottom w:val="single" w:sz="4" w:space="0" w:color="auto"/>
              <w:right w:val="single" w:sz="4" w:space="0" w:color="auto"/>
            </w:tcBorders>
            <w:shd w:val="clear" w:color="000000" w:fill="B8CCE4"/>
            <w:vAlign w:val="center"/>
            <w:hideMark/>
          </w:tcPr>
          <w:p w:rsidR="00A533BF" w:rsidRPr="00C36A92" w:rsidRDefault="00A533BF" w:rsidP="00A533BF">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TOTAL COMPONENTE</w:t>
            </w:r>
          </w:p>
        </w:tc>
        <w:tc>
          <w:tcPr>
            <w:tcW w:w="0" w:type="auto"/>
            <w:tcBorders>
              <w:top w:val="nil"/>
              <w:left w:val="nil"/>
              <w:bottom w:val="single" w:sz="4" w:space="0" w:color="auto"/>
              <w:right w:val="single" w:sz="4" w:space="0" w:color="auto"/>
            </w:tcBorders>
            <w:shd w:val="clear" w:color="000000" w:fill="B8CCE4"/>
            <w:noWrap/>
            <w:vAlign w:val="center"/>
            <w:hideMark/>
          </w:tcPr>
          <w:p w:rsidR="00A533BF" w:rsidRPr="00C36A92" w:rsidRDefault="00A533BF"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96,84%</w:t>
            </w:r>
          </w:p>
        </w:tc>
      </w:tr>
      <w:tr w:rsidR="00C36A92" w:rsidRPr="00C36A92" w:rsidTr="00ED4E7C">
        <w:trPr>
          <w:trHeight w:val="170"/>
        </w:trPr>
        <w:tc>
          <w:tcPr>
            <w:tcW w:w="0" w:type="auto"/>
            <w:tcBorders>
              <w:top w:val="nil"/>
              <w:left w:val="nil"/>
              <w:bottom w:val="nil"/>
              <w:right w:val="nil"/>
            </w:tcBorders>
            <w:shd w:val="clear" w:color="auto" w:fill="auto"/>
            <w:noWrap/>
            <w:vAlign w:val="bottom"/>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nil"/>
              <w:right w:val="nil"/>
            </w:tcBorders>
            <w:shd w:val="clear" w:color="auto" w:fill="auto"/>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nil"/>
              <w:right w:val="nil"/>
            </w:tcBorders>
            <w:shd w:val="clear" w:color="auto" w:fill="auto"/>
            <w:vAlign w:val="center"/>
            <w:hideMark/>
          </w:tcPr>
          <w:p w:rsidR="00C36A92" w:rsidRPr="00C36A92" w:rsidRDefault="00C36A92" w:rsidP="00C36A92">
            <w:pPr>
              <w:spacing w:after="0"/>
              <w:jc w:val="center"/>
              <w:rPr>
                <w:rFonts w:eastAsia="Times New Roman" w:cs="Arial"/>
                <w:sz w:val="16"/>
                <w:szCs w:val="16"/>
                <w:lang w:val="es-CO" w:eastAsia="es-CO"/>
              </w:rPr>
            </w:pPr>
          </w:p>
        </w:tc>
        <w:tc>
          <w:tcPr>
            <w:tcW w:w="0" w:type="auto"/>
            <w:tcBorders>
              <w:top w:val="nil"/>
              <w:left w:val="nil"/>
              <w:bottom w:val="nil"/>
              <w:right w:val="nil"/>
            </w:tcBorders>
            <w:shd w:val="clear" w:color="auto" w:fill="auto"/>
            <w:vAlign w:val="center"/>
            <w:hideMark/>
          </w:tcPr>
          <w:p w:rsidR="00C36A92" w:rsidRPr="00C36A92" w:rsidRDefault="00C36A92" w:rsidP="00C36A92">
            <w:pPr>
              <w:spacing w:after="0"/>
              <w:jc w:val="center"/>
              <w:rPr>
                <w:rFonts w:eastAsia="Times New Roman" w:cs="Arial"/>
                <w:sz w:val="16"/>
                <w:szCs w:val="16"/>
                <w:lang w:val="es-CO" w:eastAsia="es-CO"/>
              </w:rPr>
            </w:pPr>
          </w:p>
        </w:tc>
        <w:tc>
          <w:tcPr>
            <w:tcW w:w="0" w:type="auto"/>
            <w:tcBorders>
              <w:top w:val="nil"/>
              <w:left w:val="nil"/>
              <w:bottom w:val="nil"/>
              <w:right w:val="nil"/>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p>
        </w:tc>
        <w:tc>
          <w:tcPr>
            <w:tcW w:w="0" w:type="auto"/>
            <w:tcBorders>
              <w:top w:val="nil"/>
              <w:left w:val="nil"/>
              <w:bottom w:val="nil"/>
              <w:right w:val="nil"/>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p>
        </w:tc>
        <w:tc>
          <w:tcPr>
            <w:tcW w:w="0" w:type="auto"/>
            <w:tcBorders>
              <w:top w:val="nil"/>
              <w:left w:val="nil"/>
              <w:bottom w:val="nil"/>
              <w:right w:val="nil"/>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p>
        </w:tc>
        <w:tc>
          <w:tcPr>
            <w:tcW w:w="0" w:type="auto"/>
            <w:tcBorders>
              <w:top w:val="nil"/>
              <w:left w:val="nil"/>
              <w:bottom w:val="nil"/>
              <w:right w:val="nil"/>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p>
        </w:tc>
      </w:tr>
    </w:tbl>
    <w:p w:rsidR="00A533BF" w:rsidRDefault="00A533BF" w:rsidP="00A533BF">
      <w:pPr>
        <w:jc w:val="center"/>
        <w:rPr>
          <w:b/>
          <w:sz w:val="20"/>
        </w:rPr>
      </w:pPr>
      <w:r w:rsidRPr="00BE4B67">
        <w:rPr>
          <w:b/>
          <w:sz w:val="20"/>
        </w:rPr>
        <w:t>Fuente: SIGOB</w:t>
      </w:r>
    </w:p>
    <w:p w:rsidR="00A533BF" w:rsidRDefault="00A533BF"/>
    <w:tbl>
      <w:tblPr>
        <w:tblW w:w="0" w:type="auto"/>
        <w:tblInd w:w="55" w:type="dxa"/>
        <w:tblCellMar>
          <w:left w:w="70" w:type="dxa"/>
          <w:right w:w="70" w:type="dxa"/>
        </w:tblCellMar>
        <w:tblLook w:val="04A0" w:firstRow="1" w:lastRow="0" w:firstColumn="1" w:lastColumn="0" w:noHBand="0" w:noVBand="1"/>
      </w:tblPr>
      <w:tblGrid>
        <w:gridCol w:w="1479"/>
        <w:gridCol w:w="1841"/>
        <w:gridCol w:w="621"/>
        <w:gridCol w:w="1167"/>
        <w:gridCol w:w="773"/>
        <w:gridCol w:w="1008"/>
        <w:gridCol w:w="1009"/>
        <w:gridCol w:w="1025"/>
      </w:tblGrid>
      <w:tr w:rsidR="00C36A92" w:rsidRPr="00C36A92" w:rsidTr="00626432">
        <w:trPr>
          <w:trHeight w:val="170"/>
          <w:tblHeader/>
        </w:trPr>
        <w:tc>
          <w:tcPr>
            <w:tcW w:w="0" w:type="auto"/>
            <w:gridSpan w:val="2"/>
            <w:tcBorders>
              <w:top w:val="single" w:sz="4" w:space="0" w:color="auto"/>
              <w:left w:val="single" w:sz="4" w:space="0" w:color="auto"/>
              <w:bottom w:val="single" w:sz="4" w:space="0" w:color="auto"/>
              <w:right w:val="single" w:sz="4" w:space="0" w:color="auto"/>
            </w:tcBorders>
            <w:shd w:val="clear" w:color="000000" w:fill="B8CCE4"/>
            <w:noWrap/>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INVESTIGACIONES</w:t>
            </w:r>
            <w:r w:rsidR="00ED4E7C">
              <w:rPr>
                <w:rFonts w:eastAsia="Times New Roman" w:cs="Arial"/>
                <w:b/>
                <w:bCs/>
                <w:sz w:val="16"/>
                <w:szCs w:val="16"/>
                <w:lang w:val="es-CO" w:eastAsia="es-CO"/>
              </w:rPr>
              <w:t>, INNOVACIÓN Y EXTENSIÓN</w:t>
            </w:r>
          </w:p>
        </w:tc>
        <w:tc>
          <w:tcPr>
            <w:tcW w:w="0" w:type="auto"/>
            <w:tcBorders>
              <w:top w:val="single" w:sz="4" w:space="0" w:color="auto"/>
              <w:left w:val="nil"/>
              <w:bottom w:val="single" w:sz="4" w:space="0" w:color="auto"/>
              <w:right w:val="single" w:sz="4" w:space="0" w:color="auto"/>
            </w:tcBorders>
            <w:shd w:val="clear" w:color="000000" w:fill="B8CCE4"/>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Meta 2012</w:t>
            </w:r>
          </w:p>
        </w:tc>
        <w:tc>
          <w:tcPr>
            <w:tcW w:w="0" w:type="auto"/>
            <w:tcBorders>
              <w:top w:val="single" w:sz="4" w:space="0" w:color="auto"/>
              <w:left w:val="nil"/>
              <w:bottom w:val="single" w:sz="4" w:space="0" w:color="auto"/>
              <w:right w:val="single" w:sz="4" w:space="0" w:color="auto"/>
            </w:tcBorders>
            <w:shd w:val="clear" w:color="000000" w:fill="B8CCE4"/>
            <w:noWrap/>
            <w:vAlign w:val="center"/>
            <w:hideMark/>
          </w:tcPr>
          <w:p w:rsidR="00C36A92" w:rsidRPr="00C36A92" w:rsidRDefault="00C36A92" w:rsidP="00C36A92">
            <w:pPr>
              <w:spacing w:after="0"/>
              <w:jc w:val="center"/>
              <w:rPr>
                <w:rFonts w:eastAsia="Times New Roman" w:cs="Arial"/>
                <w:b/>
                <w:bCs/>
                <w:sz w:val="16"/>
                <w:szCs w:val="16"/>
                <w:lang w:val="es-CO" w:eastAsia="es-CO"/>
              </w:rPr>
            </w:pPr>
            <w:r>
              <w:rPr>
                <w:rFonts w:eastAsia="Times New Roman" w:cs="Arial"/>
                <w:b/>
                <w:bCs/>
                <w:sz w:val="16"/>
                <w:szCs w:val="16"/>
                <w:lang w:val="es-CO" w:eastAsia="es-CO"/>
              </w:rPr>
              <w:t>Resultado 2012</w:t>
            </w:r>
          </w:p>
        </w:tc>
        <w:tc>
          <w:tcPr>
            <w:tcW w:w="0" w:type="auto"/>
            <w:tcBorders>
              <w:top w:val="single" w:sz="4" w:space="0" w:color="auto"/>
              <w:left w:val="nil"/>
              <w:bottom w:val="single" w:sz="4" w:space="0" w:color="auto"/>
              <w:right w:val="single" w:sz="4" w:space="0" w:color="auto"/>
            </w:tcBorders>
            <w:shd w:val="clear" w:color="000000" w:fill="B8CCE4"/>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Avance Indicador</w:t>
            </w:r>
          </w:p>
        </w:tc>
        <w:tc>
          <w:tcPr>
            <w:tcW w:w="0" w:type="auto"/>
            <w:tcBorders>
              <w:top w:val="single" w:sz="4" w:space="0" w:color="auto"/>
              <w:left w:val="nil"/>
              <w:bottom w:val="single" w:sz="4" w:space="0" w:color="auto"/>
              <w:right w:val="single" w:sz="4" w:space="0" w:color="auto"/>
            </w:tcBorders>
            <w:shd w:val="clear" w:color="000000" w:fill="B8CCE4"/>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Resultado Componente</w:t>
            </w:r>
          </w:p>
        </w:tc>
        <w:tc>
          <w:tcPr>
            <w:tcW w:w="0" w:type="auto"/>
            <w:tcBorders>
              <w:top w:val="single" w:sz="4" w:space="0" w:color="auto"/>
              <w:left w:val="nil"/>
              <w:bottom w:val="single" w:sz="4" w:space="0" w:color="auto"/>
              <w:right w:val="single" w:sz="4" w:space="0" w:color="auto"/>
            </w:tcBorders>
            <w:shd w:val="clear" w:color="000000" w:fill="B8CCE4"/>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Ponderador Componente</w:t>
            </w:r>
          </w:p>
        </w:tc>
        <w:tc>
          <w:tcPr>
            <w:tcW w:w="0" w:type="auto"/>
            <w:tcBorders>
              <w:top w:val="single" w:sz="4" w:space="0" w:color="auto"/>
              <w:left w:val="nil"/>
              <w:bottom w:val="single" w:sz="4" w:space="0" w:color="auto"/>
              <w:right w:val="single" w:sz="4" w:space="0" w:color="auto"/>
            </w:tcBorders>
            <w:shd w:val="clear" w:color="000000" w:fill="B8CCE4"/>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RESULTADOS DEL OBJETIVO</w:t>
            </w:r>
          </w:p>
        </w:tc>
      </w:tr>
      <w:tr w:rsidR="00A533BF" w:rsidRPr="00C36A92" w:rsidTr="00ED4E7C">
        <w:trPr>
          <w:trHeight w:val="17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Creación y transformación del conocimiento</w:t>
            </w:r>
          </w:p>
        </w:tc>
        <w:tc>
          <w:tcPr>
            <w:tcW w:w="0" w:type="auto"/>
            <w:tcBorders>
              <w:top w:val="nil"/>
              <w:left w:val="nil"/>
              <w:bottom w:val="single" w:sz="4" w:space="0" w:color="auto"/>
              <w:right w:val="single" w:sz="4" w:space="0" w:color="auto"/>
            </w:tcBorders>
            <w:shd w:val="clear" w:color="auto" w:fill="auto"/>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Número de obras de creación artística, libro o capítulo de libro resultado de investigación</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50F13" w:rsidP="00C36A92">
            <w:pPr>
              <w:spacing w:after="0"/>
              <w:jc w:val="center"/>
              <w:rPr>
                <w:rFonts w:eastAsia="Times New Roman" w:cs="Arial"/>
                <w:sz w:val="16"/>
                <w:szCs w:val="16"/>
                <w:lang w:val="es-CO" w:eastAsia="es-CO"/>
              </w:rPr>
            </w:pPr>
            <w:r>
              <w:rPr>
                <w:rFonts w:eastAsia="Times New Roman" w:cs="Arial"/>
                <w:sz w:val="16"/>
                <w:szCs w:val="16"/>
                <w:lang w:val="es-CO" w:eastAsia="es-CO"/>
              </w:rPr>
              <w:t>56</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50F13" w:rsidP="00C36A92">
            <w:pPr>
              <w:spacing w:after="0"/>
              <w:jc w:val="center"/>
              <w:rPr>
                <w:rFonts w:eastAsia="Times New Roman" w:cs="Arial"/>
                <w:color w:val="000000"/>
                <w:sz w:val="16"/>
                <w:szCs w:val="16"/>
                <w:lang w:val="es-CO" w:eastAsia="es-CO"/>
              </w:rPr>
            </w:pPr>
            <w:r>
              <w:rPr>
                <w:rFonts w:eastAsia="Times New Roman" w:cs="Arial"/>
                <w:color w:val="000000"/>
                <w:sz w:val="16"/>
                <w:szCs w:val="16"/>
                <w:lang w:val="es-CO" w:eastAsia="es-CO"/>
              </w:rPr>
              <w:t>28</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50,00%</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67%</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25,0%</w:t>
            </w:r>
          </w:p>
        </w:tc>
        <w:tc>
          <w:tcPr>
            <w:tcW w:w="0" w:type="auto"/>
            <w:vMerge w:val="restart"/>
            <w:tcBorders>
              <w:top w:val="nil"/>
              <w:left w:val="single" w:sz="4" w:space="0" w:color="auto"/>
              <w:bottom w:val="single" w:sz="4" w:space="0" w:color="auto"/>
              <w:right w:val="single" w:sz="4" w:space="0" w:color="auto"/>
            </w:tcBorders>
            <w:shd w:val="clear" w:color="000000" w:fill="DCE6F1"/>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16,67%</w:t>
            </w:r>
          </w:p>
        </w:tc>
      </w:tr>
      <w:tr w:rsidR="00A533BF"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Número de artículos publicados en revistas indexadas</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50F13" w:rsidP="00C36A92">
            <w:pPr>
              <w:spacing w:after="0"/>
              <w:jc w:val="center"/>
              <w:rPr>
                <w:rFonts w:eastAsia="Times New Roman" w:cs="Arial"/>
                <w:sz w:val="16"/>
                <w:szCs w:val="16"/>
                <w:lang w:val="es-CO" w:eastAsia="es-CO"/>
              </w:rPr>
            </w:pPr>
            <w:r>
              <w:rPr>
                <w:rFonts w:eastAsia="Times New Roman" w:cs="Arial"/>
                <w:sz w:val="16"/>
                <w:szCs w:val="16"/>
                <w:lang w:val="es-CO" w:eastAsia="es-CO"/>
              </w:rPr>
              <w:t>271</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50F13" w:rsidP="00C36A92">
            <w:pPr>
              <w:spacing w:after="0"/>
              <w:jc w:val="center"/>
              <w:rPr>
                <w:rFonts w:eastAsia="Times New Roman" w:cs="Arial"/>
                <w:color w:val="000000"/>
                <w:sz w:val="16"/>
                <w:szCs w:val="16"/>
                <w:lang w:val="es-CO" w:eastAsia="es-CO"/>
              </w:rPr>
            </w:pPr>
            <w:r>
              <w:rPr>
                <w:rFonts w:eastAsia="Times New Roman" w:cs="Arial"/>
                <w:color w:val="000000"/>
                <w:sz w:val="16"/>
                <w:szCs w:val="16"/>
                <w:lang w:val="es-CO" w:eastAsia="es-CO"/>
              </w:rPr>
              <w:t>226</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83,39%</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A533BF" w:rsidRPr="00C36A92" w:rsidTr="00ED4E7C">
        <w:trPr>
          <w:trHeight w:val="17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Transferencia o aplicación del conocimiento</w:t>
            </w:r>
          </w:p>
        </w:tc>
        <w:tc>
          <w:tcPr>
            <w:tcW w:w="0" w:type="auto"/>
            <w:tcBorders>
              <w:top w:val="nil"/>
              <w:left w:val="nil"/>
              <w:bottom w:val="single" w:sz="4" w:space="0" w:color="auto"/>
              <w:right w:val="single" w:sz="4" w:space="0" w:color="auto"/>
            </w:tcBorders>
            <w:shd w:val="clear" w:color="auto" w:fill="auto"/>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Registro de propiedad intelectual</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50F13" w:rsidP="00C36A92">
            <w:pPr>
              <w:spacing w:after="0"/>
              <w:jc w:val="center"/>
              <w:rPr>
                <w:rFonts w:eastAsia="Times New Roman" w:cs="Arial"/>
                <w:sz w:val="16"/>
                <w:szCs w:val="16"/>
                <w:lang w:val="es-CO" w:eastAsia="es-CO"/>
              </w:rPr>
            </w:pPr>
            <w:r>
              <w:rPr>
                <w:rFonts w:eastAsia="Times New Roman" w:cs="Arial"/>
                <w:sz w:val="16"/>
                <w:szCs w:val="16"/>
                <w:lang w:val="es-CO" w:eastAsia="es-CO"/>
              </w:rPr>
              <w:t>19</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50F13" w:rsidP="00C36A92">
            <w:pPr>
              <w:spacing w:after="0"/>
              <w:jc w:val="center"/>
              <w:rPr>
                <w:rFonts w:eastAsia="Times New Roman" w:cs="Arial"/>
                <w:color w:val="000000"/>
                <w:sz w:val="16"/>
                <w:szCs w:val="16"/>
                <w:lang w:val="es-CO" w:eastAsia="es-CO"/>
              </w:rPr>
            </w:pPr>
            <w:r>
              <w:rPr>
                <w:rFonts w:eastAsia="Times New Roman" w:cs="Arial"/>
                <w:color w:val="000000"/>
                <w:sz w:val="16"/>
                <w:szCs w:val="16"/>
                <w:lang w:val="es-CO" w:eastAsia="es-CO"/>
              </w:rPr>
              <w:t>27</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100,00%</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88,38%</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26,0%</w:t>
            </w:r>
          </w:p>
        </w:tc>
        <w:tc>
          <w:tcPr>
            <w:tcW w:w="0" w:type="auto"/>
            <w:vMerge w:val="restart"/>
            <w:tcBorders>
              <w:top w:val="nil"/>
              <w:left w:val="single" w:sz="4" w:space="0" w:color="auto"/>
              <w:bottom w:val="single" w:sz="4" w:space="0" w:color="auto"/>
              <w:right w:val="single" w:sz="4" w:space="0" w:color="auto"/>
            </w:tcBorders>
            <w:shd w:val="clear" w:color="000000" w:fill="DCE6F1"/>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22,98%</w:t>
            </w:r>
          </w:p>
        </w:tc>
      </w:tr>
      <w:tr w:rsidR="00A533BF"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Número de empresas de base tecnológica incubadas</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50F13" w:rsidP="00C36A92">
            <w:pPr>
              <w:spacing w:after="0"/>
              <w:jc w:val="center"/>
              <w:rPr>
                <w:rFonts w:eastAsia="Times New Roman" w:cs="Arial"/>
                <w:sz w:val="16"/>
                <w:szCs w:val="16"/>
                <w:lang w:val="es-CO" w:eastAsia="es-CO"/>
              </w:rPr>
            </w:pPr>
            <w:r>
              <w:rPr>
                <w:rFonts w:eastAsia="Times New Roman" w:cs="Arial"/>
                <w:sz w:val="16"/>
                <w:szCs w:val="16"/>
                <w:lang w:val="es-CO" w:eastAsia="es-CO"/>
              </w:rPr>
              <w:t>6</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50F13" w:rsidP="00C36A92">
            <w:pPr>
              <w:spacing w:after="0"/>
              <w:jc w:val="center"/>
              <w:rPr>
                <w:rFonts w:eastAsia="Times New Roman" w:cs="Arial"/>
                <w:color w:val="000000"/>
                <w:sz w:val="16"/>
                <w:szCs w:val="16"/>
                <w:lang w:val="es-CO" w:eastAsia="es-CO"/>
              </w:rPr>
            </w:pPr>
            <w:r>
              <w:rPr>
                <w:rFonts w:eastAsia="Times New Roman" w:cs="Arial"/>
                <w:color w:val="000000"/>
                <w:sz w:val="16"/>
                <w:szCs w:val="16"/>
                <w:lang w:val="es-CO" w:eastAsia="es-CO"/>
              </w:rPr>
              <w:t>5</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83,33%</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A533BF"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Porcentaje de proyectos de investigación donde se evidencie la implementación de nuevos procesos y/o servicios, creación de nuevos productos e inventos</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5,00</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3,51</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70,20%</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A533BF"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Número de citaciones de investigadores de la Universidad en revistas indexadas internacionales</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50F13" w:rsidP="00C36A92">
            <w:pPr>
              <w:spacing w:after="0"/>
              <w:jc w:val="center"/>
              <w:rPr>
                <w:rFonts w:eastAsia="Times New Roman" w:cs="Arial"/>
                <w:sz w:val="16"/>
                <w:szCs w:val="16"/>
                <w:lang w:val="es-CO" w:eastAsia="es-CO"/>
              </w:rPr>
            </w:pPr>
            <w:r>
              <w:rPr>
                <w:rFonts w:eastAsia="Times New Roman" w:cs="Arial"/>
                <w:sz w:val="16"/>
                <w:szCs w:val="16"/>
                <w:lang w:val="es-CO" w:eastAsia="es-CO"/>
              </w:rPr>
              <w:t>200</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50F13" w:rsidP="00C36A92">
            <w:pPr>
              <w:spacing w:after="0"/>
              <w:jc w:val="center"/>
              <w:rPr>
                <w:rFonts w:eastAsia="Times New Roman" w:cs="Arial"/>
                <w:color w:val="000000"/>
                <w:sz w:val="16"/>
                <w:szCs w:val="16"/>
                <w:lang w:val="es-CO" w:eastAsia="es-CO"/>
              </w:rPr>
            </w:pPr>
            <w:r>
              <w:rPr>
                <w:rFonts w:eastAsia="Times New Roman" w:cs="Arial"/>
                <w:color w:val="000000"/>
                <w:sz w:val="16"/>
                <w:szCs w:val="16"/>
                <w:lang w:val="es-CO" w:eastAsia="es-CO"/>
              </w:rPr>
              <w:t>227</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100,00%</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A533BF" w:rsidRPr="00C36A92" w:rsidTr="00ED4E7C">
        <w:trPr>
          <w:trHeight w:val="17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Generación de Desarrollo social y Cultura</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 xml:space="preserve">Porcentaje de proyectos de investigación que son utilizados como insumo para el </w:t>
            </w:r>
            <w:proofErr w:type="spellStart"/>
            <w:r w:rsidRPr="00C36A92">
              <w:rPr>
                <w:rFonts w:eastAsia="Times New Roman" w:cs="Arial"/>
                <w:color w:val="000000"/>
                <w:sz w:val="16"/>
                <w:szCs w:val="16"/>
                <w:lang w:val="es-CO" w:eastAsia="es-CO"/>
              </w:rPr>
              <w:t>desarollo</w:t>
            </w:r>
            <w:proofErr w:type="spellEnd"/>
            <w:r w:rsidRPr="00C36A92">
              <w:rPr>
                <w:rFonts w:eastAsia="Times New Roman" w:cs="Arial"/>
                <w:color w:val="000000"/>
                <w:sz w:val="16"/>
                <w:szCs w:val="16"/>
                <w:lang w:val="es-CO" w:eastAsia="es-CO"/>
              </w:rPr>
              <w:t xml:space="preserve"> de políticas públicas</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8,00</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10,00</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100,00%</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100,00%</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32,0%</w:t>
            </w:r>
          </w:p>
        </w:tc>
        <w:tc>
          <w:tcPr>
            <w:tcW w:w="0" w:type="auto"/>
            <w:vMerge w:val="restart"/>
            <w:tcBorders>
              <w:top w:val="nil"/>
              <w:left w:val="single" w:sz="4" w:space="0" w:color="auto"/>
              <w:bottom w:val="single" w:sz="4" w:space="0" w:color="auto"/>
              <w:right w:val="single" w:sz="4" w:space="0" w:color="auto"/>
            </w:tcBorders>
            <w:shd w:val="clear" w:color="000000" w:fill="DCE6F1"/>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32,00%</w:t>
            </w:r>
          </w:p>
        </w:tc>
      </w:tr>
      <w:tr w:rsidR="00A533BF"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Número de grupos de investigación que participan en observatorios sociales de impacto regional</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50F13" w:rsidP="00C36A92">
            <w:pPr>
              <w:spacing w:after="0"/>
              <w:jc w:val="center"/>
              <w:rPr>
                <w:rFonts w:eastAsia="Times New Roman" w:cs="Arial"/>
                <w:sz w:val="16"/>
                <w:szCs w:val="16"/>
                <w:lang w:val="es-CO" w:eastAsia="es-CO"/>
              </w:rPr>
            </w:pPr>
            <w:r>
              <w:rPr>
                <w:rFonts w:eastAsia="Times New Roman" w:cs="Arial"/>
                <w:sz w:val="16"/>
                <w:szCs w:val="16"/>
                <w:lang w:val="es-CO" w:eastAsia="es-CO"/>
              </w:rPr>
              <w:t>5</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50F13" w:rsidP="00C36A92">
            <w:pPr>
              <w:spacing w:after="0"/>
              <w:jc w:val="center"/>
              <w:rPr>
                <w:rFonts w:eastAsia="Times New Roman" w:cs="Arial"/>
                <w:color w:val="000000"/>
                <w:sz w:val="16"/>
                <w:szCs w:val="16"/>
                <w:lang w:val="es-CO" w:eastAsia="es-CO"/>
              </w:rPr>
            </w:pPr>
            <w:r>
              <w:rPr>
                <w:rFonts w:eastAsia="Times New Roman" w:cs="Arial"/>
                <w:color w:val="000000"/>
                <w:sz w:val="16"/>
                <w:szCs w:val="16"/>
                <w:lang w:val="es-CO" w:eastAsia="es-CO"/>
              </w:rPr>
              <w:t>5</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100,00%</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A533BF" w:rsidRPr="00C36A92" w:rsidTr="00ED4E7C">
        <w:trPr>
          <w:trHeight w:val="17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 xml:space="preserve">Desarrollo </w:t>
            </w:r>
            <w:r w:rsidRPr="00C36A92">
              <w:rPr>
                <w:rFonts w:eastAsia="Times New Roman" w:cs="Arial"/>
                <w:sz w:val="16"/>
                <w:szCs w:val="16"/>
                <w:lang w:val="es-CO" w:eastAsia="es-CO"/>
              </w:rPr>
              <w:lastRenderedPageBreak/>
              <w:t>institucional</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lastRenderedPageBreak/>
              <w:t xml:space="preserve">Número de grupos de </w:t>
            </w:r>
            <w:r w:rsidRPr="00C36A92">
              <w:rPr>
                <w:rFonts w:eastAsia="Times New Roman" w:cs="Arial"/>
                <w:color w:val="000000"/>
                <w:sz w:val="16"/>
                <w:szCs w:val="16"/>
                <w:lang w:val="es-CO" w:eastAsia="es-CO"/>
              </w:rPr>
              <w:lastRenderedPageBreak/>
              <w:t>investigación participando en redes</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50F13" w:rsidP="00C36A92">
            <w:pPr>
              <w:spacing w:after="0"/>
              <w:jc w:val="center"/>
              <w:rPr>
                <w:rFonts w:eastAsia="Times New Roman" w:cs="Arial"/>
                <w:sz w:val="16"/>
                <w:szCs w:val="16"/>
                <w:lang w:val="es-CO" w:eastAsia="es-CO"/>
              </w:rPr>
            </w:pPr>
            <w:r>
              <w:rPr>
                <w:rFonts w:eastAsia="Times New Roman" w:cs="Arial"/>
                <w:sz w:val="16"/>
                <w:szCs w:val="16"/>
                <w:lang w:val="es-CO" w:eastAsia="es-CO"/>
              </w:rPr>
              <w:lastRenderedPageBreak/>
              <w:t>20</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50F13" w:rsidP="00C36A92">
            <w:pPr>
              <w:spacing w:after="0"/>
              <w:jc w:val="center"/>
              <w:rPr>
                <w:rFonts w:eastAsia="Times New Roman" w:cs="Arial"/>
                <w:color w:val="000000"/>
                <w:sz w:val="16"/>
                <w:szCs w:val="16"/>
                <w:lang w:val="es-CO" w:eastAsia="es-CO"/>
              </w:rPr>
            </w:pPr>
            <w:r>
              <w:rPr>
                <w:rFonts w:eastAsia="Times New Roman" w:cs="Arial"/>
                <w:color w:val="000000"/>
                <w:sz w:val="16"/>
                <w:szCs w:val="16"/>
                <w:lang w:val="es-CO" w:eastAsia="es-CO"/>
              </w:rPr>
              <w:t>22</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100,00%</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94,13%</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17,0%</w:t>
            </w:r>
          </w:p>
        </w:tc>
        <w:tc>
          <w:tcPr>
            <w:tcW w:w="0" w:type="auto"/>
            <w:vMerge w:val="restart"/>
            <w:tcBorders>
              <w:top w:val="nil"/>
              <w:left w:val="single" w:sz="4" w:space="0" w:color="auto"/>
              <w:bottom w:val="single" w:sz="4" w:space="0" w:color="auto"/>
              <w:right w:val="single" w:sz="4" w:space="0" w:color="auto"/>
            </w:tcBorders>
            <w:shd w:val="clear" w:color="000000" w:fill="DCE6F1"/>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16,00%</w:t>
            </w:r>
          </w:p>
        </w:tc>
      </w:tr>
      <w:tr w:rsidR="00A533BF"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Porcentaje de grupos de investigación reconocidos por Colciencias</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77,00</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71,63</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93,03%</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A533BF"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Porcentaje de grupos de investigación vinculados en los programas de maestría y doctorado</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50,00</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44,68</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89,36%</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A533BF" w:rsidRPr="00C36A92" w:rsidTr="001B12FA">
        <w:trPr>
          <w:trHeight w:val="170"/>
        </w:trPr>
        <w:tc>
          <w:tcPr>
            <w:tcW w:w="0" w:type="auto"/>
            <w:gridSpan w:val="7"/>
            <w:tcBorders>
              <w:top w:val="single" w:sz="4" w:space="0" w:color="auto"/>
              <w:left w:val="single" w:sz="4" w:space="0" w:color="auto"/>
              <w:bottom w:val="single" w:sz="4" w:space="0" w:color="auto"/>
              <w:right w:val="single" w:sz="4" w:space="0" w:color="auto"/>
            </w:tcBorders>
            <w:shd w:val="clear" w:color="000000" w:fill="B8CCE4"/>
            <w:vAlign w:val="center"/>
            <w:hideMark/>
          </w:tcPr>
          <w:p w:rsidR="00A533BF" w:rsidRPr="00C36A92" w:rsidRDefault="00A533BF" w:rsidP="00A533BF">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TOTAL COMPONENTE</w:t>
            </w:r>
          </w:p>
        </w:tc>
        <w:tc>
          <w:tcPr>
            <w:tcW w:w="0" w:type="auto"/>
            <w:tcBorders>
              <w:top w:val="nil"/>
              <w:left w:val="nil"/>
              <w:bottom w:val="single" w:sz="4" w:space="0" w:color="auto"/>
              <w:right w:val="single" w:sz="4" w:space="0" w:color="auto"/>
            </w:tcBorders>
            <w:shd w:val="clear" w:color="000000" w:fill="B8CCE4"/>
            <w:noWrap/>
            <w:vAlign w:val="center"/>
            <w:hideMark/>
          </w:tcPr>
          <w:p w:rsidR="00A533BF" w:rsidRPr="00C36A92" w:rsidRDefault="00A533BF"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87,66%</w:t>
            </w:r>
          </w:p>
        </w:tc>
      </w:tr>
    </w:tbl>
    <w:p w:rsidR="00A533BF" w:rsidRDefault="00A533BF" w:rsidP="00A533BF">
      <w:pPr>
        <w:jc w:val="center"/>
        <w:rPr>
          <w:b/>
          <w:sz w:val="20"/>
        </w:rPr>
      </w:pPr>
      <w:r w:rsidRPr="00BE4B67">
        <w:rPr>
          <w:b/>
          <w:sz w:val="20"/>
        </w:rPr>
        <w:t>Fuente: SIGOB</w:t>
      </w:r>
    </w:p>
    <w:p w:rsidR="00A533BF" w:rsidRDefault="00A533BF"/>
    <w:tbl>
      <w:tblPr>
        <w:tblW w:w="0" w:type="auto"/>
        <w:tblInd w:w="55" w:type="dxa"/>
        <w:tblCellMar>
          <w:left w:w="70" w:type="dxa"/>
          <w:right w:w="70" w:type="dxa"/>
        </w:tblCellMar>
        <w:tblLook w:val="04A0" w:firstRow="1" w:lastRow="0" w:firstColumn="1" w:lastColumn="0" w:noHBand="0" w:noVBand="1"/>
      </w:tblPr>
      <w:tblGrid>
        <w:gridCol w:w="1522"/>
        <w:gridCol w:w="1474"/>
        <w:gridCol w:w="856"/>
        <w:gridCol w:w="1167"/>
        <w:gridCol w:w="789"/>
        <w:gridCol w:w="1028"/>
        <w:gridCol w:w="1033"/>
        <w:gridCol w:w="1054"/>
      </w:tblGrid>
      <w:tr w:rsidR="00C36A92" w:rsidRPr="00C36A92" w:rsidTr="00626432">
        <w:trPr>
          <w:trHeight w:val="170"/>
          <w:tblHeader/>
        </w:trPr>
        <w:tc>
          <w:tcPr>
            <w:tcW w:w="0" w:type="auto"/>
            <w:gridSpan w:val="2"/>
            <w:tcBorders>
              <w:top w:val="single" w:sz="4" w:space="0" w:color="auto"/>
              <w:left w:val="single" w:sz="4" w:space="0" w:color="auto"/>
              <w:bottom w:val="single" w:sz="4" w:space="0" w:color="auto"/>
              <w:right w:val="single" w:sz="4" w:space="0" w:color="auto"/>
            </w:tcBorders>
            <w:shd w:val="clear" w:color="000000" w:fill="B8CCE4"/>
            <w:noWrap/>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INTERNACIONALIZACIÓN</w:t>
            </w:r>
          </w:p>
        </w:tc>
        <w:tc>
          <w:tcPr>
            <w:tcW w:w="0" w:type="auto"/>
            <w:tcBorders>
              <w:top w:val="single" w:sz="4" w:space="0" w:color="auto"/>
              <w:left w:val="nil"/>
              <w:bottom w:val="single" w:sz="4" w:space="0" w:color="auto"/>
              <w:right w:val="single" w:sz="4" w:space="0" w:color="auto"/>
            </w:tcBorders>
            <w:shd w:val="clear" w:color="000000" w:fill="B8CCE4"/>
            <w:noWrap/>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Meta 2012</w:t>
            </w:r>
          </w:p>
        </w:tc>
        <w:tc>
          <w:tcPr>
            <w:tcW w:w="0" w:type="auto"/>
            <w:tcBorders>
              <w:top w:val="single" w:sz="4" w:space="0" w:color="auto"/>
              <w:left w:val="nil"/>
              <w:bottom w:val="single" w:sz="4" w:space="0" w:color="auto"/>
              <w:right w:val="single" w:sz="4" w:space="0" w:color="auto"/>
            </w:tcBorders>
            <w:shd w:val="clear" w:color="000000" w:fill="B8CCE4"/>
            <w:noWrap/>
            <w:vAlign w:val="center"/>
            <w:hideMark/>
          </w:tcPr>
          <w:p w:rsidR="00C36A92" w:rsidRPr="00C36A92" w:rsidRDefault="00C36A92" w:rsidP="00C36A92">
            <w:pPr>
              <w:spacing w:after="0"/>
              <w:jc w:val="center"/>
              <w:rPr>
                <w:rFonts w:eastAsia="Times New Roman" w:cs="Arial"/>
                <w:b/>
                <w:bCs/>
                <w:sz w:val="16"/>
                <w:szCs w:val="16"/>
                <w:lang w:val="es-CO" w:eastAsia="es-CO"/>
              </w:rPr>
            </w:pPr>
            <w:r>
              <w:rPr>
                <w:rFonts w:eastAsia="Times New Roman" w:cs="Arial"/>
                <w:b/>
                <w:bCs/>
                <w:sz w:val="16"/>
                <w:szCs w:val="16"/>
                <w:lang w:val="es-CO" w:eastAsia="es-CO"/>
              </w:rPr>
              <w:t>Resultado 2012</w:t>
            </w:r>
          </w:p>
        </w:tc>
        <w:tc>
          <w:tcPr>
            <w:tcW w:w="0" w:type="auto"/>
            <w:tcBorders>
              <w:top w:val="single" w:sz="4" w:space="0" w:color="auto"/>
              <w:left w:val="nil"/>
              <w:bottom w:val="single" w:sz="4" w:space="0" w:color="auto"/>
              <w:right w:val="single" w:sz="4" w:space="0" w:color="auto"/>
            </w:tcBorders>
            <w:shd w:val="clear" w:color="000000" w:fill="B8CCE4"/>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Avance Indicador</w:t>
            </w:r>
          </w:p>
        </w:tc>
        <w:tc>
          <w:tcPr>
            <w:tcW w:w="0" w:type="auto"/>
            <w:tcBorders>
              <w:top w:val="single" w:sz="4" w:space="0" w:color="auto"/>
              <w:left w:val="nil"/>
              <w:bottom w:val="single" w:sz="4" w:space="0" w:color="auto"/>
              <w:right w:val="single" w:sz="4" w:space="0" w:color="auto"/>
            </w:tcBorders>
            <w:shd w:val="clear" w:color="000000" w:fill="B8CCE4"/>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Resultado Componente</w:t>
            </w:r>
          </w:p>
        </w:tc>
        <w:tc>
          <w:tcPr>
            <w:tcW w:w="0" w:type="auto"/>
            <w:tcBorders>
              <w:top w:val="single" w:sz="4" w:space="0" w:color="auto"/>
              <w:left w:val="nil"/>
              <w:bottom w:val="single" w:sz="4" w:space="0" w:color="auto"/>
              <w:right w:val="single" w:sz="4" w:space="0" w:color="auto"/>
            </w:tcBorders>
            <w:shd w:val="clear" w:color="000000" w:fill="B8CCE4"/>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Ponderador Componente</w:t>
            </w:r>
          </w:p>
        </w:tc>
        <w:tc>
          <w:tcPr>
            <w:tcW w:w="0" w:type="auto"/>
            <w:tcBorders>
              <w:top w:val="single" w:sz="4" w:space="0" w:color="auto"/>
              <w:left w:val="nil"/>
              <w:bottom w:val="single" w:sz="4" w:space="0" w:color="auto"/>
              <w:right w:val="single" w:sz="4" w:space="0" w:color="auto"/>
            </w:tcBorders>
            <w:shd w:val="clear" w:color="000000" w:fill="B8CCE4"/>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RESULTADOS DEL OBJETIVO</w:t>
            </w:r>
          </w:p>
        </w:tc>
      </w:tr>
      <w:tr w:rsidR="00A533BF" w:rsidRPr="00C36A92" w:rsidTr="00ED4E7C">
        <w:trPr>
          <w:trHeight w:val="17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Nivel de internacionalización</w:t>
            </w:r>
          </w:p>
        </w:tc>
        <w:tc>
          <w:tcPr>
            <w:tcW w:w="0" w:type="auto"/>
            <w:tcBorders>
              <w:top w:val="nil"/>
              <w:left w:val="nil"/>
              <w:bottom w:val="single" w:sz="4" w:space="0" w:color="auto"/>
              <w:right w:val="single" w:sz="4" w:space="0" w:color="auto"/>
            </w:tcBorders>
            <w:shd w:val="clear" w:color="auto" w:fill="auto"/>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Desarrollo y promoción del bilingüismo (Estudiantes)</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10,00</w:t>
            </w:r>
            <w:r w:rsidR="00C50F13">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7,10</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71,00%</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95,63%</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70%</w:t>
            </w:r>
          </w:p>
        </w:tc>
        <w:tc>
          <w:tcPr>
            <w:tcW w:w="0" w:type="auto"/>
            <w:vMerge w:val="restart"/>
            <w:tcBorders>
              <w:top w:val="nil"/>
              <w:left w:val="single" w:sz="4" w:space="0" w:color="auto"/>
              <w:bottom w:val="single" w:sz="4" w:space="0" w:color="auto"/>
              <w:right w:val="single" w:sz="4" w:space="0" w:color="auto"/>
            </w:tcBorders>
            <w:shd w:val="clear" w:color="000000" w:fill="DCE6F1"/>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66,94%</w:t>
            </w:r>
          </w:p>
        </w:tc>
      </w:tr>
      <w:tr w:rsidR="00A533BF"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Desarrollo y promoción del bilingüismo (Administrativos)</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40,00</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61,00</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100,00%</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A533BF"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Desarrollo y promoción del bilingüismo (Docentes)</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80,00</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79,00</w:t>
            </w:r>
            <w:r w:rsidR="00C50F13">
              <w:rPr>
                <w:rFonts w:eastAsia="Times New Roman" w:cs="Arial"/>
                <w:color w:val="000000"/>
                <w:sz w:val="16"/>
                <w:szCs w:val="16"/>
                <w:lang w:val="es-CO" w:eastAsia="es-CO"/>
              </w:rPr>
              <w:t>%</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98,75%</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A533BF"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Convenios internacionales</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50F13" w:rsidP="00C36A92">
            <w:pPr>
              <w:spacing w:after="0"/>
              <w:jc w:val="center"/>
              <w:rPr>
                <w:rFonts w:eastAsia="Times New Roman" w:cs="Arial"/>
                <w:sz w:val="16"/>
                <w:szCs w:val="16"/>
                <w:lang w:val="es-CO" w:eastAsia="es-CO"/>
              </w:rPr>
            </w:pPr>
            <w:r>
              <w:rPr>
                <w:rFonts w:eastAsia="Times New Roman" w:cs="Arial"/>
                <w:sz w:val="16"/>
                <w:szCs w:val="16"/>
                <w:lang w:val="es-CO" w:eastAsia="es-CO"/>
              </w:rPr>
              <w:t>65</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50F13" w:rsidP="00C36A92">
            <w:pPr>
              <w:spacing w:after="0"/>
              <w:jc w:val="center"/>
              <w:rPr>
                <w:rFonts w:eastAsia="Times New Roman" w:cs="Arial"/>
                <w:color w:val="000000"/>
                <w:sz w:val="16"/>
                <w:szCs w:val="16"/>
                <w:lang w:val="es-CO" w:eastAsia="es-CO"/>
              </w:rPr>
            </w:pPr>
            <w:r>
              <w:rPr>
                <w:rFonts w:eastAsia="Times New Roman" w:cs="Arial"/>
                <w:color w:val="000000"/>
                <w:sz w:val="16"/>
                <w:szCs w:val="16"/>
                <w:lang w:val="es-CO" w:eastAsia="es-CO"/>
              </w:rPr>
              <w:t>65</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100,00%</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A533BF"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Grupos registrados y reconocidos por Colciencias Pertenecientes a Redes de Investigación internacionales</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50F13" w:rsidP="00C36A92">
            <w:pPr>
              <w:spacing w:after="0"/>
              <w:jc w:val="center"/>
              <w:rPr>
                <w:rFonts w:eastAsia="Times New Roman" w:cs="Arial"/>
                <w:sz w:val="16"/>
                <w:szCs w:val="16"/>
                <w:lang w:val="es-CO" w:eastAsia="es-CO"/>
              </w:rPr>
            </w:pPr>
            <w:r>
              <w:rPr>
                <w:rFonts w:eastAsia="Times New Roman" w:cs="Arial"/>
                <w:sz w:val="16"/>
                <w:szCs w:val="16"/>
                <w:lang w:val="es-CO" w:eastAsia="es-CO"/>
              </w:rPr>
              <w:t>12</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50F13" w:rsidP="00C36A92">
            <w:pPr>
              <w:spacing w:after="0"/>
              <w:jc w:val="center"/>
              <w:rPr>
                <w:rFonts w:eastAsia="Times New Roman" w:cs="Arial"/>
                <w:color w:val="000000"/>
                <w:sz w:val="16"/>
                <w:szCs w:val="16"/>
                <w:lang w:val="es-CO" w:eastAsia="es-CO"/>
              </w:rPr>
            </w:pPr>
            <w:r>
              <w:rPr>
                <w:rFonts w:eastAsia="Times New Roman" w:cs="Arial"/>
                <w:color w:val="000000"/>
                <w:sz w:val="16"/>
                <w:szCs w:val="16"/>
                <w:lang w:val="es-CO" w:eastAsia="es-CO"/>
              </w:rPr>
              <w:t>14</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100,00%</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A533BF"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Movilidad de estudiantes (Estudiantes UTP en el extranjero)</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50F13" w:rsidP="00C36A92">
            <w:pPr>
              <w:spacing w:after="0"/>
              <w:jc w:val="center"/>
              <w:rPr>
                <w:rFonts w:eastAsia="Times New Roman" w:cs="Arial"/>
                <w:sz w:val="16"/>
                <w:szCs w:val="16"/>
                <w:lang w:val="es-CO" w:eastAsia="es-CO"/>
              </w:rPr>
            </w:pPr>
            <w:r>
              <w:rPr>
                <w:rFonts w:eastAsia="Times New Roman" w:cs="Arial"/>
                <w:sz w:val="16"/>
                <w:szCs w:val="16"/>
                <w:lang w:val="es-CO" w:eastAsia="es-CO"/>
              </w:rPr>
              <w:t>20</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50F13" w:rsidP="00C36A92">
            <w:pPr>
              <w:spacing w:after="0"/>
              <w:jc w:val="center"/>
              <w:rPr>
                <w:rFonts w:eastAsia="Times New Roman" w:cs="Arial"/>
                <w:color w:val="000000"/>
                <w:sz w:val="16"/>
                <w:szCs w:val="16"/>
                <w:lang w:val="es-CO" w:eastAsia="es-CO"/>
              </w:rPr>
            </w:pPr>
            <w:r>
              <w:rPr>
                <w:rFonts w:eastAsia="Times New Roman" w:cs="Arial"/>
                <w:color w:val="000000"/>
                <w:sz w:val="16"/>
                <w:szCs w:val="16"/>
                <w:lang w:val="es-CO" w:eastAsia="es-CO"/>
              </w:rPr>
              <w:t>28</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100,00%</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A533BF"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Movilidad de estudiantes (Estudiantes extranjeros en la UTP)</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50F13" w:rsidP="00C36A92">
            <w:pPr>
              <w:spacing w:after="0"/>
              <w:jc w:val="center"/>
              <w:rPr>
                <w:rFonts w:eastAsia="Times New Roman" w:cs="Arial"/>
                <w:sz w:val="16"/>
                <w:szCs w:val="16"/>
                <w:lang w:val="es-CO" w:eastAsia="es-CO"/>
              </w:rPr>
            </w:pPr>
            <w:r>
              <w:rPr>
                <w:rFonts w:eastAsia="Times New Roman" w:cs="Arial"/>
                <w:sz w:val="16"/>
                <w:szCs w:val="16"/>
                <w:lang w:val="es-CO" w:eastAsia="es-CO"/>
              </w:rPr>
              <w:t>12</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50F13" w:rsidP="00C36A92">
            <w:pPr>
              <w:spacing w:after="0"/>
              <w:jc w:val="center"/>
              <w:rPr>
                <w:rFonts w:eastAsia="Times New Roman" w:cs="Arial"/>
                <w:color w:val="000000"/>
                <w:sz w:val="16"/>
                <w:szCs w:val="16"/>
                <w:lang w:val="es-CO" w:eastAsia="es-CO"/>
              </w:rPr>
            </w:pPr>
            <w:r>
              <w:rPr>
                <w:rFonts w:eastAsia="Times New Roman" w:cs="Arial"/>
                <w:color w:val="000000"/>
                <w:sz w:val="16"/>
                <w:szCs w:val="16"/>
                <w:lang w:val="es-CO" w:eastAsia="es-CO"/>
              </w:rPr>
              <w:t>20</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100,00%</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A533BF"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N° de docentes que salen al exterior</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50F13" w:rsidP="00C36A92">
            <w:pPr>
              <w:spacing w:after="0"/>
              <w:jc w:val="center"/>
              <w:rPr>
                <w:rFonts w:eastAsia="Times New Roman" w:cs="Arial"/>
                <w:sz w:val="16"/>
                <w:szCs w:val="16"/>
                <w:lang w:val="es-CO" w:eastAsia="es-CO"/>
              </w:rPr>
            </w:pPr>
            <w:r>
              <w:rPr>
                <w:rFonts w:eastAsia="Times New Roman" w:cs="Arial"/>
                <w:sz w:val="16"/>
                <w:szCs w:val="16"/>
                <w:lang w:val="es-CO" w:eastAsia="es-CO"/>
              </w:rPr>
              <w:t>200</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50F13" w:rsidP="00C36A92">
            <w:pPr>
              <w:spacing w:after="0"/>
              <w:jc w:val="center"/>
              <w:rPr>
                <w:rFonts w:eastAsia="Times New Roman" w:cs="Arial"/>
                <w:color w:val="000000"/>
                <w:sz w:val="16"/>
                <w:szCs w:val="16"/>
                <w:lang w:val="es-CO" w:eastAsia="es-CO"/>
              </w:rPr>
            </w:pPr>
            <w:r>
              <w:rPr>
                <w:rFonts w:eastAsia="Times New Roman" w:cs="Arial"/>
                <w:color w:val="000000"/>
                <w:sz w:val="16"/>
                <w:szCs w:val="16"/>
                <w:lang w:val="es-CO" w:eastAsia="es-CO"/>
              </w:rPr>
              <w:t>187</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93,50%</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A533BF"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Pares académicos</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50F13" w:rsidP="00C36A92">
            <w:pPr>
              <w:spacing w:after="0"/>
              <w:jc w:val="center"/>
              <w:rPr>
                <w:rFonts w:eastAsia="Times New Roman" w:cs="Arial"/>
                <w:sz w:val="16"/>
                <w:szCs w:val="16"/>
                <w:lang w:val="es-CO" w:eastAsia="es-CO"/>
              </w:rPr>
            </w:pPr>
            <w:r>
              <w:rPr>
                <w:rFonts w:eastAsia="Times New Roman" w:cs="Arial"/>
                <w:sz w:val="16"/>
                <w:szCs w:val="16"/>
                <w:lang w:val="es-CO" w:eastAsia="es-CO"/>
              </w:rPr>
              <w:t>15</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50F13" w:rsidP="00C36A92">
            <w:pPr>
              <w:spacing w:after="0"/>
              <w:jc w:val="center"/>
              <w:rPr>
                <w:rFonts w:eastAsia="Times New Roman" w:cs="Arial"/>
                <w:color w:val="000000"/>
                <w:sz w:val="16"/>
                <w:szCs w:val="16"/>
                <w:lang w:val="es-CO" w:eastAsia="es-CO"/>
              </w:rPr>
            </w:pPr>
            <w:r>
              <w:rPr>
                <w:rFonts w:eastAsia="Times New Roman" w:cs="Arial"/>
                <w:color w:val="000000"/>
                <w:sz w:val="16"/>
                <w:szCs w:val="16"/>
                <w:lang w:val="es-CO" w:eastAsia="es-CO"/>
              </w:rPr>
              <w:t>16</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100,00%</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A533BF"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Asignaturas orientadas por profesores extranjeros visitantes</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50F13" w:rsidP="00C36A92">
            <w:pPr>
              <w:spacing w:after="0"/>
              <w:jc w:val="center"/>
              <w:rPr>
                <w:rFonts w:eastAsia="Times New Roman" w:cs="Arial"/>
                <w:sz w:val="16"/>
                <w:szCs w:val="16"/>
                <w:lang w:val="es-CO" w:eastAsia="es-CO"/>
              </w:rPr>
            </w:pPr>
            <w:r>
              <w:rPr>
                <w:rFonts w:eastAsia="Times New Roman" w:cs="Arial"/>
                <w:sz w:val="16"/>
                <w:szCs w:val="16"/>
                <w:lang w:val="es-CO" w:eastAsia="es-CO"/>
              </w:rPr>
              <w:t>3</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50F13" w:rsidP="00C36A92">
            <w:pPr>
              <w:spacing w:after="0"/>
              <w:jc w:val="center"/>
              <w:rPr>
                <w:rFonts w:eastAsia="Times New Roman" w:cs="Arial"/>
                <w:color w:val="000000"/>
                <w:sz w:val="16"/>
                <w:szCs w:val="16"/>
                <w:lang w:val="es-CO" w:eastAsia="es-CO"/>
              </w:rPr>
            </w:pPr>
            <w:r>
              <w:rPr>
                <w:rFonts w:eastAsia="Times New Roman" w:cs="Arial"/>
                <w:color w:val="000000"/>
                <w:sz w:val="16"/>
                <w:szCs w:val="16"/>
                <w:lang w:val="es-CO" w:eastAsia="es-CO"/>
              </w:rPr>
              <w:t>7</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100,00%</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A533BF"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Organización de eventos internacionales</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50F13" w:rsidP="00C36A92">
            <w:pPr>
              <w:spacing w:after="0"/>
              <w:jc w:val="center"/>
              <w:rPr>
                <w:rFonts w:eastAsia="Times New Roman" w:cs="Arial"/>
                <w:sz w:val="16"/>
                <w:szCs w:val="16"/>
                <w:lang w:val="es-CO" w:eastAsia="es-CO"/>
              </w:rPr>
            </w:pPr>
            <w:r>
              <w:rPr>
                <w:rFonts w:eastAsia="Times New Roman" w:cs="Arial"/>
                <w:sz w:val="16"/>
                <w:szCs w:val="16"/>
                <w:lang w:val="es-CO" w:eastAsia="es-CO"/>
              </w:rPr>
              <w:t>4</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50F13" w:rsidP="00C36A92">
            <w:pPr>
              <w:spacing w:after="0"/>
              <w:jc w:val="center"/>
              <w:rPr>
                <w:rFonts w:eastAsia="Times New Roman" w:cs="Arial"/>
                <w:color w:val="000000"/>
                <w:sz w:val="16"/>
                <w:szCs w:val="16"/>
                <w:lang w:val="es-CO" w:eastAsia="es-CO"/>
              </w:rPr>
            </w:pPr>
            <w:r>
              <w:rPr>
                <w:rFonts w:eastAsia="Times New Roman" w:cs="Arial"/>
                <w:color w:val="000000"/>
                <w:sz w:val="16"/>
                <w:szCs w:val="16"/>
                <w:lang w:val="es-CO" w:eastAsia="es-CO"/>
              </w:rPr>
              <w:t>5</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100,00%</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A533BF"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N° de docentes que dan ponencias</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50F13" w:rsidP="00C36A92">
            <w:pPr>
              <w:spacing w:after="0"/>
              <w:jc w:val="center"/>
              <w:rPr>
                <w:rFonts w:eastAsia="Times New Roman" w:cs="Arial"/>
                <w:sz w:val="16"/>
                <w:szCs w:val="16"/>
                <w:lang w:val="es-CO" w:eastAsia="es-CO"/>
              </w:rPr>
            </w:pPr>
            <w:r>
              <w:rPr>
                <w:rFonts w:eastAsia="Times New Roman" w:cs="Arial"/>
                <w:sz w:val="16"/>
                <w:szCs w:val="16"/>
                <w:lang w:val="es-CO" w:eastAsia="es-CO"/>
              </w:rPr>
              <w:t>35</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50F13" w:rsidP="00C36A92">
            <w:pPr>
              <w:spacing w:after="0"/>
              <w:jc w:val="center"/>
              <w:rPr>
                <w:rFonts w:eastAsia="Times New Roman" w:cs="Arial"/>
                <w:color w:val="000000"/>
                <w:sz w:val="16"/>
                <w:szCs w:val="16"/>
                <w:lang w:val="es-CO" w:eastAsia="es-CO"/>
              </w:rPr>
            </w:pPr>
            <w:r>
              <w:rPr>
                <w:rFonts w:eastAsia="Times New Roman" w:cs="Arial"/>
                <w:color w:val="000000"/>
                <w:sz w:val="16"/>
                <w:szCs w:val="16"/>
                <w:lang w:val="es-CO" w:eastAsia="es-CO"/>
              </w:rPr>
              <w:t>52</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100,00%</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A533BF"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Membresías y participaciones en asociaciones internacionales</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50F13" w:rsidP="00C36A92">
            <w:pPr>
              <w:spacing w:after="0"/>
              <w:jc w:val="center"/>
              <w:rPr>
                <w:rFonts w:eastAsia="Times New Roman" w:cs="Arial"/>
                <w:sz w:val="16"/>
                <w:szCs w:val="16"/>
                <w:lang w:val="es-CO" w:eastAsia="es-CO"/>
              </w:rPr>
            </w:pPr>
            <w:r>
              <w:rPr>
                <w:rFonts w:eastAsia="Times New Roman" w:cs="Arial"/>
                <w:sz w:val="16"/>
                <w:szCs w:val="16"/>
                <w:lang w:val="es-CO" w:eastAsia="es-CO"/>
              </w:rPr>
              <w:t>5</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50F13" w:rsidP="00C36A92">
            <w:pPr>
              <w:spacing w:after="0"/>
              <w:jc w:val="center"/>
              <w:rPr>
                <w:rFonts w:eastAsia="Times New Roman" w:cs="Arial"/>
                <w:color w:val="000000"/>
                <w:sz w:val="16"/>
                <w:szCs w:val="16"/>
                <w:lang w:val="es-CO" w:eastAsia="es-CO"/>
              </w:rPr>
            </w:pPr>
            <w:r>
              <w:rPr>
                <w:rFonts w:eastAsia="Times New Roman" w:cs="Arial"/>
                <w:color w:val="000000"/>
                <w:sz w:val="16"/>
                <w:szCs w:val="16"/>
                <w:lang w:val="es-CO" w:eastAsia="es-CO"/>
              </w:rPr>
              <w:t>4</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80,00%</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A533BF" w:rsidRPr="00C36A92" w:rsidTr="00ED4E7C">
        <w:trPr>
          <w:trHeight w:val="17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Gestión de la Información en Internacionalización</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Gestión de la información</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50F13" w:rsidP="00C36A92">
            <w:pPr>
              <w:spacing w:after="0"/>
              <w:jc w:val="center"/>
              <w:rPr>
                <w:rFonts w:eastAsia="Times New Roman" w:cs="Arial"/>
                <w:sz w:val="16"/>
                <w:szCs w:val="16"/>
                <w:lang w:val="es-CO" w:eastAsia="es-CO"/>
              </w:rPr>
            </w:pPr>
            <w:r>
              <w:rPr>
                <w:rFonts w:eastAsia="Times New Roman" w:cs="Arial"/>
                <w:sz w:val="16"/>
                <w:szCs w:val="16"/>
                <w:lang w:val="es-CO" w:eastAsia="es-CO"/>
              </w:rPr>
              <w:t>50</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50F13" w:rsidP="00C36A92">
            <w:pPr>
              <w:spacing w:after="0"/>
              <w:jc w:val="center"/>
              <w:rPr>
                <w:rFonts w:eastAsia="Times New Roman" w:cs="Arial"/>
                <w:color w:val="000000"/>
                <w:sz w:val="16"/>
                <w:szCs w:val="16"/>
                <w:lang w:val="es-CO" w:eastAsia="es-CO"/>
              </w:rPr>
            </w:pPr>
            <w:r>
              <w:rPr>
                <w:rFonts w:eastAsia="Times New Roman" w:cs="Arial"/>
                <w:color w:val="000000"/>
                <w:sz w:val="16"/>
                <w:szCs w:val="16"/>
                <w:lang w:val="es-CO" w:eastAsia="es-CO"/>
              </w:rPr>
              <w:t>15</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30,00%</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30,00%</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30%</w:t>
            </w:r>
          </w:p>
        </w:tc>
        <w:tc>
          <w:tcPr>
            <w:tcW w:w="0" w:type="auto"/>
            <w:tcBorders>
              <w:top w:val="nil"/>
              <w:left w:val="nil"/>
              <w:bottom w:val="single" w:sz="4" w:space="0" w:color="auto"/>
              <w:right w:val="single" w:sz="4" w:space="0" w:color="auto"/>
            </w:tcBorders>
            <w:shd w:val="clear" w:color="000000" w:fill="DCE6F1"/>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9,00%</w:t>
            </w:r>
          </w:p>
        </w:tc>
      </w:tr>
      <w:tr w:rsidR="00A533BF" w:rsidRPr="00C36A92" w:rsidTr="00ED4E7C">
        <w:trPr>
          <w:trHeight w:val="170"/>
        </w:trPr>
        <w:tc>
          <w:tcPr>
            <w:tcW w:w="0" w:type="auto"/>
            <w:gridSpan w:val="7"/>
            <w:tcBorders>
              <w:top w:val="single" w:sz="4" w:space="0" w:color="auto"/>
              <w:left w:val="single" w:sz="4" w:space="0" w:color="auto"/>
              <w:bottom w:val="single" w:sz="4" w:space="0" w:color="auto"/>
              <w:right w:val="single" w:sz="4" w:space="0" w:color="auto"/>
            </w:tcBorders>
            <w:shd w:val="clear" w:color="000000" w:fill="B8CCE4"/>
            <w:vAlign w:val="center"/>
            <w:hideMark/>
          </w:tcPr>
          <w:p w:rsidR="00C36A92" w:rsidRPr="00C36A92" w:rsidRDefault="00C36A92" w:rsidP="00A533BF">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TOTAL COMPONENTE</w:t>
            </w:r>
          </w:p>
        </w:tc>
        <w:tc>
          <w:tcPr>
            <w:tcW w:w="0" w:type="auto"/>
            <w:tcBorders>
              <w:top w:val="nil"/>
              <w:left w:val="nil"/>
              <w:bottom w:val="single" w:sz="4" w:space="0" w:color="auto"/>
              <w:right w:val="single" w:sz="4" w:space="0" w:color="auto"/>
            </w:tcBorders>
            <w:shd w:val="clear" w:color="000000" w:fill="B8CCE4"/>
            <w:noWrap/>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75,94%</w:t>
            </w:r>
          </w:p>
        </w:tc>
      </w:tr>
    </w:tbl>
    <w:p w:rsidR="00A533BF" w:rsidRDefault="00A533BF" w:rsidP="00A533BF">
      <w:pPr>
        <w:jc w:val="center"/>
        <w:rPr>
          <w:b/>
          <w:sz w:val="20"/>
        </w:rPr>
      </w:pPr>
      <w:r w:rsidRPr="00BE4B67">
        <w:rPr>
          <w:b/>
          <w:sz w:val="20"/>
        </w:rPr>
        <w:t>Fuente: SIGOB</w:t>
      </w:r>
    </w:p>
    <w:p w:rsidR="00A533BF" w:rsidRDefault="00A533BF"/>
    <w:tbl>
      <w:tblPr>
        <w:tblW w:w="0" w:type="auto"/>
        <w:tblInd w:w="55" w:type="dxa"/>
        <w:tblCellMar>
          <w:left w:w="70" w:type="dxa"/>
          <w:right w:w="70" w:type="dxa"/>
        </w:tblCellMar>
        <w:tblLook w:val="04A0" w:firstRow="1" w:lastRow="0" w:firstColumn="1" w:lastColumn="0" w:noHBand="0" w:noVBand="1"/>
      </w:tblPr>
      <w:tblGrid>
        <w:gridCol w:w="1510"/>
        <w:gridCol w:w="1432"/>
        <w:gridCol w:w="856"/>
        <w:gridCol w:w="1167"/>
        <w:gridCol w:w="798"/>
        <w:gridCol w:w="1041"/>
        <w:gridCol w:w="1048"/>
        <w:gridCol w:w="1071"/>
      </w:tblGrid>
      <w:tr w:rsidR="00C36A92" w:rsidRPr="00C36A92" w:rsidTr="00626432">
        <w:trPr>
          <w:trHeight w:val="170"/>
          <w:tblHeader/>
        </w:trPr>
        <w:tc>
          <w:tcPr>
            <w:tcW w:w="0" w:type="auto"/>
            <w:gridSpan w:val="2"/>
            <w:tcBorders>
              <w:top w:val="single" w:sz="4" w:space="0" w:color="auto"/>
              <w:left w:val="single" w:sz="4" w:space="0" w:color="auto"/>
              <w:bottom w:val="single" w:sz="4" w:space="0" w:color="auto"/>
              <w:right w:val="single" w:sz="4" w:space="0" w:color="auto"/>
            </w:tcBorders>
            <w:shd w:val="clear" w:color="000000" w:fill="B8CCE4"/>
            <w:noWrap/>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IMPACTO REGIONAL</w:t>
            </w:r>
          </w:p>
        </w:tc>
        <w:tc>
          <w:tcPr>
            <w:tcW w:w="0" w:type="auto"/>
            <w:tcBorders>
              <w:top w:val="single" w:sz="4" w:space="0" w:color="auto"/>
              <w:left w:val="nil"/>
              <w:bottom w:val="single" w:sz="4" w:space="0" w:color="auto"/>
              <w:right w:val="single" w:sz="4" w:space="0" w:color="auto"/>
            </w:tcBorders>
            <w:shd w:val="clear" w:color="000000" w:fill="B8CCE4"/>
            <w:noWrap/>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Meta 2012</w:t>
            </w:r>
          </w:p>
        </w:tc>
        <w:tc>
          <w:tcPr>
            <w:tcW w:w="0" w:type="auto"/>
            <w:tcBorders>
              <w:top w:val="single" w:sz="4" w:space="0" w:color="auto"/>
              <w:left w:val="nil"/>
              <w:bottom w:val="single" w:sz="4" w:space="0" w:color="auto"/>
              <w:right w:val="single" w:sz="4" w:space="0" w:color="auto"/>
            </w:tcBorders>
            <w:shd w:val="clear" w:color="000000" w:fill="B8CCE4"/>
            <w:noWrap/>
            <w:vAlign w:val="center"/>
            <w:hideMark/>
          </w:tcPr>
          <w:p w:rsidR="00C36A92" w:rsidRPr="00C36A92" w:rsidRDefault="00C36A92" w:rsidP="00C36A92">
            <w:pPr>
              <w:spacing w:after="0"/>
              <w:jc w:val="center"/>
              <w:rPr>
                <w:rFonts w:eastAsia="Times New Roman" w:cs="Arial"/>
                <w:b/>
                <w:bCs/>
                <w:sz w:val="16"/>
                <w:szCs w:val="16"/>
                <w:lang w:val="es-CO" w:eastAsia="es-CO"/>
              </w:rPr>
            </w:pPr>
            <w:r>
              <w:rPr>
                <w:rFonts w:eastAsia="Times New Roman" w:cs="Arial"/>
                <w:b/>
                <w:bCs/>
                <w:sz w:val="16"/>
                <w:szCs w:val="16"/>
                <w:lang w:val="es-CO" w:eastAsia="es-CO"/>
              </w:rPr>
              <w:t>Resultado 2012</w:t>
            </w:r>
          </w:p>
        </w:tc>
        <w:tc>
          <w:tcPr>
            <w:tcW w:w="0" w:type="auto"/>
            <w:tcBorders>
              <w:top w:val="single" w:sz="4" w:space="0" w:color="auto"/>
              <w:left w:val="nil"/>
              <w:bottom w:val="single" w:sz="4" w:space="0" w:color="auto"/>
              <w:right w:val="single" w:sz="4" w:space="0" w:color="auto"/>
            </w:tcBorders>
            <w:shd w:val="clear" w:color="000000" w:fill="B8CCE4"/>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Avance Indicador</w:t>
            </w:r>
          </w:p>
        </w:tc>
        <w:tc>
          <w:tcPr>
            <w:tcW w:w="0" w:type="auto"/>
            <w:tcBorders>
              <w:top w:val="single" w:sz="4" w:space="0" w:color="auto"/>
              <w:left w:val="nil"/>
              <w:bottom w:val="single" w:sz="4" w:space="0" w:color="auto"/>
              <w:right w:val="single" w:sz="4" w:space="0" w:color="auto"/>
            </w:tcBorders>
            <w:shd w:val="clear" w:color="000000" w:fill="B8CCE4"/>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Resultado Componente</w:t>
            </w:r>
          </w:p>
        </w:tc>
        <w:tc>
          <w:tcPr>
            <w:tcW w:w="0" w:type="auto"/>
            <w:tcBorders>
              <w:top w:val="single" w:sz="4" w:space="0" w:color="auto"/>
              <w:left w:val="nil"/>
              <w:bottom w:val="single" w:sz="4" w:space="0" w:color="auto"/>
              <w:right w:val="single" w:sz="4" w:space="0" w:color="auto"/>
            </w:tcBorders>
            <w:shd w:val="clear" w:color="000000" w:fill="B8CCE4"/>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Ponderador Componente</w:t>
            </w:r>
          </w:p>
        </w:tc>
        <w:tc>
          <w:tcPr>
            <w:tcW w:w="0" w:type="auto"/>
            <w:tcBorders>
              <w:top w:val="single" w:sz="4" w:space="0" w:color="auto"/>
              <w:left w:val="nil"/>
              <w:bottom w:val="single" w:sz="4" w:space="0" w:color="auto"/>
              <w:right w:val="single" w:sz="4" w:space="0" w:color="auto"/>
            </w:tcBorders>
            <w:shd w:val="clear" w:color="000000" w:fill="B8CCE4"/>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RESULTADOS DEL OBJETIVO</w:t>
            </w:r>
          </w:p>
        </w:tc>
      </w:tr>
      <w:tr w:rsidR="00A533BF" w:rsidRPr="00C36A92" w:rsidTr="00ED4E7C">
        <w:trPr>
          <w:trHeight w:val="17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Direccionamiento estratégico de los ámbitos de la Tecnología y la Producción</w:t>
            </w:r>
          </w:p>
        </w:tc>
        <w:tc>
          <w:tcPr>
            <w:tcW w:w="0" w:type="auto"/>
            <w:tcBorders>
              <w:top w:val="nil"/>
              <w:left w:val="nil"/>
              <w:bottom w:val="single" w:sz="4" w:space="0" w:color="auto"/>
              <w:right w:val="single" w:sz="4" w:space="0" w:color="auto"/>
            </w:tcBorders>
            <w:shd w:val="clear" w:color="auto" w:fill="auto"/>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Transferencia de conocimiento al sector productivo</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50F13" w:rsidP="00C36A92">
            <w:pPr>
              <w:spacing w:after="0"/>
              <w:jc w:val="center"/>
              <w:rPr>
                <w:rFonts w:eastAsia="Times New Roman" w:cs="Arial"/>
                <w:sz w:val="16"/>
                <w:szCs w:val="16"/>
                <w:lang w:val="es-CO" w:eastAsia="es-CO"/>
              </w:rPr>
            </w:pPr>
            <w:r>
              <w:rPr>
                <w:rFonts w:eastAsia="Times New Roman" w:cs="Arial"/>
                <w:sz w:val="16"/>
                <w:szCs w:val="16"/>
                <w:lang w:val="es-CO" w:eastAsia="es-CO"/>
              </w:rPr>
              <w:t>8</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50F13" w:rsidP="00C36A92">
            <w:pPr>
              <w:spacing w:after="0"/>
              <w:jc w:val="center"/>
              <w:rPr>
                <w:rFonts w:eastAsia="Times New Roman" w:cs="Arial"/>
                <w:color w:val="000000"/>
                <w:sz w:val="16"/>
                <w:szCs w:val="16"/>
                <w:lang w:val="es-CO" w:eastAsia="es-CO"/>
              </w:rPr>
            </w:pPr>
            <w:r>
              <w:rPr>
                <w:rFonts w:eastAsia="Times New Roman" w:cs="Arial"/>
                <w:color w:val="000000"/>
                <w:sz w:val="16"/>
                <w:szCs w:val="16"/>
                <w:lang w:val="es-CO" w:eastAsia="es-CO"/>
              </w:rPr>
              <w:t>7</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87,50%</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87,5%</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43,3%</w:t>
            </w:r>
          </w:p>
        </w:tc>
        <w:tc>
          <w:tcPr>
            <w:tcW w:w="0" w:type="auto"/>
            <w:tcBorders>
              <w:top w:val="nil"/>
              <w:left w:val="nil"/>
              <w:bottom w:val="single" w:sz="4" w:space="0" w:color="auto"/>
              <w:right w:val="single" w:sz="4" w:space="0" w:color="auto"/>
            </w:tcBorders>
            <w:shd w:val="clear" w:color="000000" w:fill="DCE6F1"/>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37,89%</w:t>
            </w:r>
          </w:p>
        </w:tc>
      </w:tr>
      <w:tr w:rsidR="00A533BF" w:rsidRPr="00C36A92" w:rsidTr="00ED4E7C">
        <w:trPr>
          <w:trHeight w:val="17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Direccionamiento estratégico del ámbito del Conocimiento</w:t>
            </w:r>
          </w:p>
        </w:tc>
        <w:tc>
          <w:tcPr>
            <w:tcW w:w="0" w:type="auto"/>
            <w:tcBorders>
              <w:top w:val="nil"/>
              <w:left w:val="nil"/>
              <w:bottom w:val="single" w:sz="4" w:space="0" w:color="auto"/>
              <w:right w:val="single" w:sz="4" w:space="0" w:color="auto"/>
            </w:tcBorders>
            <w:shd w:val="clear" w:color="auto" w:fill="auto"/>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Conocimiento científico y académico de carácter regional y en red puesto a disposición de la región</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50F13" w:rsidP="00C36A92">
            <w:pPr>
              <w:spacing w:after="0"/>
              <w:jc w:val="center"/>
              <w:rPr>
                <w:rFonts w:eastAsia="Times New Roman" w:cs="Arial"/>
                <w:sz w:val="16"/>
                <w:szCs w:val="16"/>
                <w:lang w:val="es-CO" w:eastAsia="es-CO"/>
              </w:rPr>
            </w:pPr>
            <w:r>
              <w:rPr>
                <w:rFonts w:eastAsia="Times New Roman" w:cs="Arial"/>
                <w:sz w:val="16"/>
                <w:szCs w:val="16"/>
                <w:lang w:val="es-CO" w:eastAsia="es-CO"/>
              </w:rPr>
              <w:t>18</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50F13" w:rsidP="00C36A92">
            <w:pPr>
              <w:spacing w:after="0"/>
              <w:jc w:val="center"/>
              <w:rPr>
                <w:rFonts w:eastAsia="Times New Roman" w:cs="Arial"/>
                <w:color w:val="000000"/>
                <w:sz w:val="16"/>
                <w:szCs w:val="16"/>
                <w:lang w:val="es-CO" w:eastAsia="es-CO"/>
              </w:rPr>
            </w:pPr>
            <w:r>
              <w:rPr>
                <w:rFonts w:eastAsia="Times New Roman" w:cs="Arial"/>
                <w:color w:val="000000"/>
                <w:sz w:val="16"/>
                <w:szCs w:val="16"/>
                <w:lang w:val="es-CO" w:eastAsia="es-CO"/>
              </w:rPr>
              <w:t>18</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100,00%</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100,00%</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36,7%</w:t>
            </w:r>
          </w:p>
        </w:tc>
        <w:tc>
          <w:tcPr>
            <w:tcW w:w="0" w:type="auto"/>
            <w:vMerge w:val="restart"/>
            <w:tcBorders>
              <w:top w:val="nil"/>
              <w:left w:val="single" w:sz="4" w:space="0" w:color="auto"/>
              <w:bottom w:val="single" w:sz="4" w:space="0" w:color="auto"/>
              <w:right w:val="single" w:sz="4" w:space="0" w:color="auto"/>
            </w:tcBorders>
            <w:shd w:val="clear" w:color="000000" w:fill="DCE6F1"/>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36,70%</w:t>
            </w:r>
          </w:p>
        </w:tc>
      </w:tr>
      <w:tr w:rsidR="00A533BF"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tcBorders>
              <w:top w:val="nil"/>
              <w:left w:val="nil"/>
              <w:bottom w:val="single" w:sz="4" w:space="0" w:color="auto"/>
              <w:right w:val="single" w:sz="4" w:space="0" w:color="auto"/>
            </w:tcBorders>
            <w:shd w:val="clear" w:color="auto" w:fill="auto"/>
            <w:vAlign w:val="bottom"/>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Políticas públicas formuladas o intervenidas a nivel regional</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50F13" w:rsidP="00C36A92">
            <w:pPr>
              <w:spacing w:after="0"/>
              <w:jc w:val="center"/>
              <w:rPr>
                <w:rFonts w:eastAsia="Times New Roman" w:cs="Arial"/>
                <w:sz w:val="16"/>
                <w:szCs w:val="16"/>
                <w:lang w:val="es-CO" w:eastAsia="es-CO"/>
              </w:rPr>
            </w:pPr>
            <w:r>
              <w:rPr>
                <w:rFonts w:eastAsia="Times New Roman" w:cs="Arial"/>
                <w:sz w:val="16"/>
                <w:szCs w:val="16"/>
                <w:lang w:val="es-CO" w:eastAsia="es-CO"/>
              </w:rPr>
              <w:t>3</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50F13" w:rsidP="00C36A92">
            <w:pPr>
              <w:spacing w:after="0"/>
              <w:jc w:val="center"/>
              <w:rPr>
                <w:rFonts w:eastAsia="Times New Roman" w:cs="Arial"/>
                <w:color w:val="000000"/>
                <w:sz w:val="16"/>
                <w:szCs w:val="16"/>
                <w:lang w:val="es-CO" w:eastAsia="es-CO"/>
              </w:rPr>
            </w:pPr>
            <w:r>
              <w:rPr>
                <w:rFonts w:eastAsia="Times New Roman" w:cs="Arial"/>
                <w:color w:val="000000"/>
                <w:sz w:val="16"/>
                <w:szCs w:val="16"/>
                <w:lang w:val="es-CO" w:eastAsia="es-CO"/>
              </w:rPr>
              <w:t>3</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100,00%</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A533BF" w:rsidRPr="00C36A92" w:rsidTr="00ED4E7C">
        <w:trPr>
          <w:trHeight w:val="17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Direccionamiento estratégico del ámbito de la Sociedad y el Ambiente</w:t>
            </w:r>
          </w:p>
        </w:tc>
        <w:tc>
          <w:tcPr>
            <w:tcW w:w="0" w:type="auto"/>
            <w:tcBorders>
              <w:top w:val="nil"/>
              <w:left w:val="nil"/>
              <w:bottom w:val="single" w:sz="4" w:space="0" w:color="auto"/>
              <w:right w:val="single" w:sz="4" w:space="0" w:color="auto"/>
            </w:tcBorders>
            <w:shd w:val="clear" w:color="auto" w:fill="auto"/>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Aporte de la UTP en proyectos y/o actividades a nivel regional del componente ambiental de la agenda de la Ecorregión</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50F13" w:rsidP="00C36A92">
            <w:pPr>
              <w:spacing w:after="0"/>
              <w:jc w:val="center"/>
              <w:rPr>
                <w:rFonts w:eastAsia="Times New Roman" w:cs="Arial"/>
                <w:sz w:val="16"/>
                <w:szCs w:val="16"/>
                <w:lang w:val="es-CO" w:eastAsia="es-CO"/>
              </w:rPr>
            </w:pPr>
            <w:r>
              <w:rPr>
                <w:rFonts w:eastAsia="Times New Roman" w:cs="Arial"/>
                <w:sz w:val="16"/>
                <w:szCs w:val="16"/>
                <w:lang w:val="es-CO" w:eastAsia="es-CO"/>
              </w:rPr>
              <w:t>27</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50F13" w:rsidP="00C36A92">
            <w:pPr>
              <w:spacing w:after="0"/>
              <w:jc w:val="center"/>
              <w:rPr>
                <w:rFonts w:eastAsia="Times New Roman" w:cs="Arial"/>
                <w:color w:val="000000"/>
                <w:sz w:val="16"/>
                <w:szCs w:val="16"/>
                <w:lang w:val="es-CO" w:eastAsia="es-CO"/>
              </w:rPr>
            </w:pPr>
            <w:r>
              <w:rPr>
                <w:rFonts w:eastAsia="Times New Roman" w:cs="Arial"/>
                <w:color w:val="000000"/>
                <w:sz w:val="16"/>
                <w:szCs w:val="16"/>
                <w:lang w:val="es-CO" w:eastAsia="es-CO"/>
              </w:rPr>
              <w:t>27</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100,00%</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20,0%</w:t>
            </w:r>
          </w:p>
        </w:tc>
        <w:tc>
          <w:tcPr>
            <w:tcW w:w="0" w:type="auto"/>
            <w:tcBorders>
              <w:top w:val="nil"/>
              <w:left w:val="nil"/>
              <w:bottom w:val="single" w:sz="4" w:space="0" w:color="auto"/>
              <w:right w:val="single" w:sz="4" w:space="0" w:color="auto"/>
            </w:tcBorders>
            <w:shd w:val="clear" w:color="000000" w:fill="DCE6F1"/>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20,00%</w:t>
            </w:r>
          </w:p>
        </w:tc>
      </w:tr>
      <w:tr w:rsidR="00A533BF" w:rsidRPr="00C36A92" w:rsidTr="00BF02C7">
        <w:trPr>
          <w:trHeight w:val="170"/>
        </w:trPr>
        <w:tc>
          <w:tcPr>
            <w:tcW w:w="0" w:type="auto"/>
            <w:gridSpan w:val="7"/>
            <w:tcBorders>
              <w:top w:val="single" w:sz="4" w:space="0" w:color="auto"/>
              <w:left w:val="single" w:sz="4" w:space="0" w:color="auto"/>
              <w:bottom w:val="single" w:sz="4" w:space="0" w:color="auto"/>
              <w:right w:val="single" w:sz="4" w:space="0" w:color="auto"/>
            </w:tcBorders>
            <w:shd w:val="clear" w:color="000000" w:fill="B8CCE4"/>
            <w:vAlign w:val="center"/>
            <w:hideMark/>
          </w:tcPr>
          <w:p w:rsidR="00A533BF" w:rsidRPr="00C36A92" w:rsidRDefault="00A533BF" w:rsidP="00A533BF">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TOTAL COMPONENTE</w:t>
            </w:r>
          </w:p>
        </w:tc>
        <w:tc>
          <w:tcPr>
            <w:tcW w:w="0" w:type="auto"/>
            <w:tcBorders>
              <w:top w:val="nil"/>
              <w:left w:val="nil"/>
              <w:bottom w:val="single" w:sz="4" w:space="0" w:color="auto"/>
              <w:right w:val="single" w:sz="4" w:space="0" w:color="auto"/>
            </w:tcBorders>
            <w:shd w:val="clear" w:color="000000" w:fill="B8CCE4"/>
            <w:noWrap/>
            <w:vAlign w:val="center"/>
            <w:hideMark/>
          </w:tcPr>
          <w:p w:rsidR="00A533BF" w:rsidRPr="00C36A92" w:rsidRDefault="00A533BF"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94,59%</w:t>
            </w:r>
          </w:p>
        </w:tc>
      </w:tr>
    </w:tbl>
    <w:p w:rsidR="00A533BF" w:rsidRDefault="00A533BF" w:rsidP="00A533BF">
      <w:pPr>
        <w:jc w:val="center"/>
        <w:rPr>
          <w:b/>
          <w:sz w:val="20"/>
        </w:rPr>
      </w:pPr>
      <w:r w:rsidRPr="00BE4B67">
        <w:rPr>
          <w:b/>
          <w:sz w:val="20"/>
        </w:rPr>
        <w:t>Fuente: SIGOB</w:t>
      </w:r>
    </w:p>
    <w:p w:rsidR="00A533BF" w:rsidRDefault="00A533BF"/>
    <w:tbl>
      <w:tblPr>
        <w:tblW w:w="0" w:type="auto"/>
        <w:tblInd w:w="55" w:type="dxa"/>
        <w:tblCellMar>
          <w:left w:w="70" w:type="dxa"/>
          <w:right w:w="70" w:type="dxa"/>
        </w:tblCellMar>
        <w:tblLook w:val="04A0" w:firstRow="1" w:lastRow="0" w:firstColumn="1" w:lastColumn="0" w:noHBand="0" w:noVBand="1"/>
      </w:tblPr>
      <w:tblGrid>
        <w:gridCol w:w="1336"/>
        <w:gridCol w:w="1466"/>
        <w:gridCol w:w="856"/>
        <w:gridCol w:w="1167"/>
        <w:gridCol w:w="822"/>
        <w:gridCol w:w="1074"/>
        <w:gridCol w:w="1086"/>
        <w:gridCol w:w="1116"/>
      </w:tblGrid>
      <w:tr w:rsidR="00C36A92" w:rsidRPr="00C36A92" w:rsidTr="00626432">
        <w:trPr>
          <w:trHeight w:val="170"/>
          <w:tblHeader/>
        </w:trPr>
        <w:tc>
          <w:tcPr>
            <w:tcW w:w="0" w:type="auto"/>
            <w:gridSpan w:val="2"/>
            <w:tcBorders>
              <w:top w:val="single" w:sz="4" w:space="0" w:color="auto"/>
              <w:left w:val="single" w:sz="4" w:space="0" w:color="auto"/>
              <w:bottom w:val="single" w:sz="4" w:space="0" w:color="auto"/>
              <w:right w:val="single" w:sz="4" w:space="0" w:color="auto"/>
            </w:tcBorders>
            <w:shd w:val="clear" w:color="000000" w:fill="B8CCE4"/>
            <w:noWrap/>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ALIANZAS ESTRATEGICAS</w:t>
            </w:r>
          </w:p>
        </w:tc>
        <w:tc>
          <w:tcPr>
            <w:tcW w:w="0" w:type="auto"/>
            <w:tcBorders>
              <w:top w:val="single" w:sz="4" w:space="0" w:color="auto"/>
              <w:left w:val="nil"/>
              <w:bottom w:val="single" w:sz="4" w:space="0" w:color="auto"/>
              <w:right w:val="single" w:sz="4" w:space="0" w:color="auto"/>
            </w:tcBorders>
            <w:shd w:val="clear" w:color="000000" w:fill="B8CCE4"/>
            <w:noWrap/>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Meta 2012</w:t>
            </w:r>
          </w:p>
        </w:tc>
        <w:tc>
          <w:tcPr>
            <w:tcW w:w="0" w:type="auto"/>
            <w:tcBorders>
              <w:top w:val="single" w:sz="4" w:space="0" w:color="auto"/>
              <w:left w:val="nil"/>
              <w:bottom w:val="single" w:sz="4" w:space="0" w:color="auto"/>
              <w:right w:val="single" w:sz="4" w:space="0" w:color="auto"/>
            </w:tcBorders>
            <w:shd w:val="clear" w:color="000000" w:fill="B8CCE4"/>
            <w:noWrap/>
            <w:vAlign w:val="center"/>
            <w:hideMark/>
          </w:tcPr>
          <w:p w:rsidR="00C36A92" w:rsidRPr="00C36A92" w:rsidRDefault="00C36A92" w:rsidP="00C36A92">
            <w:pPr>
              <w:spacing w:after="0"/>
              <w:jc w:val="center"/>
              <w:rPr>
                <w:rFonts w:eastAsia="Times New Roman" w:cs="Arial"/>
                <w:b/>
                <w:bCs/>
                <w:sz w:val="16"/>
                <w:szCs w:val="16"/>
                <w:lang w:val="es-CO" w:eastAsia="es-CO"/>
              </w:rPr>
            </w:pPr>
            <w:r>
              <w:rPr>
                <w:rFonts w:eastAsia="Times New Roman" w:cs="Arial"/>
                <w:b/>
                <w:bCs/>
                <w:sz w:val="16"/>
                <w:szCs w:val="16"/>
                <w:lang w:val="es-CO" w:eastAsia="es-CO"/>
              </w:rPr>
              <w:t>Resultado 2012</w:t>
            </w:r>
          </w:p>
        </w:tc>
        <w:tc>
          <w:tcPr>
            <w:tcW w:w="0" w:type="auto"/>
            <w:tcBorders>
              <w:top w:val="single" w:sz="4" w:space="0" w:color="auto"/>
              <w:left w:val="nil"/>
              <w:bottom w:val="single" w:sz="4" w:space="0" w:color="auto"/>
              <w:right w:val="single" w:sz="4" w:space="0" w:color="auto"/>
            </w:tcBorders>
            <w:shd w:val="clear" w:color="000000" w:fill="B8CCE4"/>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Avance Indicador</w:t>
            </w:r>
          </w:p>
        </w:tc>
        <w:tc>
          <w:tcPr>
            <w:tcW w:w="0" w:type="auto"/>
            <w:tcBorders>
              <w:top w:val="single" w:sz="4" w:space="0" w:color="auto"/>
              <w:left w:val="nil"/>
              <w:bottom w:val="single" w:sz="4" w:space="0" w:color="auto"/>
              <w:right w:val="single" w:sz="4" w:space="0" w:color="auto"/>
            </w:tcBorders>
            <w:shd w:val="clear" w:color="000000" w:fill="B8CCE4"/>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Resultado Componente</w:t>
            </w:r>
          </w:p>
        </w:tc>
        <w:tc>
          <w:tcPr>
            <w:tcW w:w="0" w:type="auto"/>
            <w:tcBorders>
              <w:top w:val="single" w:sz="4" w:space="0" w:color="auto"/>
              <w:left w:val="nil"/>
              <w:bottom w:val="single" w:sz="4" w:space="0" w:color="auto"/>
              <w:right w:val="single" w:sz="4" w:space="0" w:color="auto"/>
            </w:tcBorders>
            <w:shd w:val="clear" w:color="000000" w:fill="B8CCE4"/>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Ponderador Componente</w:t>
            </w:r>
          </w:p>
        </w:tc>
        <w:tc>
          <w:tcPr>
            <w:tcW w:w="0" w:type="auto"/>
            <w:tcBorders>
              <w:top w:val="single" w:sz="4" w:space="0" w:color="auto"/>
              <w:left w:val="nil"/>
              <w:bottom w:val="single" w:sz="4" w:space="0" w:color="auto"/>
              <w:right w:val="single" w:sz="4" w:space="0" w:color="auto"/>
            </w:tcBorders>
            <w:shd w:val="clear" w:color="000000" w:fill="B8CCE4"/>
            <w:vAlign w:val="center"/>
            <w:hideMark/>
          </w:tcPr>
          <w:p w:rsidR="00C36A92" w:rsidRPr="00C36A92" w:rsidRDefault="00C36A92"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RESULTADOS DEL OBJETIVO</w:t>
            </w:r>
          </w:p>
        </w:tc>
      </w:tr>
      <w:tr w:rsidR="00A533BF" w:rsidRPr="00C36A92" w:rsidTr="00ED4E7C">
        <w:trPr>
          <w:trHeight w:val="17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Vigilancia e Inteligencia Competitiva y del entorno</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Vigilancia e inteligencia competitiva (Identificación de información) (Días)</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50F13" w:rsidP="00C36A92">
            <w:pPr>
              <w:spacing w:after="0"/>
              <w:jc w:val="center"/>
              <w:rPr>
                <w:rFonts w:eastAsia="Times New Roman" w:cs="Arial"/>
                <w:sz w:val="16"/>
                <w:szCs w:val="16"/>
                <w:lang w:val="es-CO" w:eastAsia="es-CO"/>
              </w:rPr>
            </w:pPr>
            <w:r>
              <w:rPr>
                <w:rFonts w:eastAsia="Times New Roman" w:cs="Arial"/>
                <w:sz w:val="16"/>
                <w:szCs w:val="16"/>
                <w:lang w:val="es-CO" w:eastAsia="es-CO"/>
              </w:rPr>
              <w:t>180</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50F13" w:rsidP="00C36A92">
            <w:pPr>
              <w:spacing w:after="0"/>
              <w:jc w:val="center"/>
              <w:rPr>
                <w:rFonts w:eastAsia="Times New Roman" w:cs="Arial"/>
                <w:color w:val="000000"/>
                <w:sz w:val="16"/>
                <w:szCs w:val="16"/>
                <w:lang w:val="es-CO" w:eastAsia="es-CO"/>
              </w:rPr>
            </w:pPr>
            <w:r>
              <w:rPr>
                <w:rFonts w:eastAsia="Times New Roman" w:cs="Arial"/>
                <w:color w:val="000000"/>
                <w:sz w:val="16"/>
                <w:szCs w:val="16"/>
                <w:lang w:val="es-CO" w:eastAsia="es-CO"/>
              </w:rPr>
              <w:t>63</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100,00%</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100,00%</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35%</w:t>
            </w:r>
          </w:p>
        </w:tc>
        <w:tc>
          <w:tcPr>
            <w:tcW w:w="0" w:type="auto"/>
            <w:tcBorders>
              <w:top w:val="nil"/>
              <w:left w:val="nil"/>
              <w:bottom w:val="single" w:sz="4" w:space="0" w:color="auto"/>
              <w:right w:val="single" w:sz="4" w:space="0" w:color="auto"/>
            </w:tcBorders>
            <w:shd w:val="clear" w:color="000000" w:fill="DCE6F1"/>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35,00%</w:t>
            </w:r>
          </w:p>
        </w:tc>
      </w:tr>
      <w:tr w:rsidR="00A533BF" w:rsidRPr="00C36A92" w:rsidTr="00ED4E7C">
        <w:trPr>
          <w:trHeight w:val="17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color w:val="000000"/>
                <w:sz w:val="16"/>
                <w:szCs w:val="16"/>
                <w:lang w:val="es-CO" w:eastAsia="es-CO"/>
              </w:rPr>
            </w:pPr>
            <w:r w:rsidRPr="00C36A92">
              <w:rPr>
                <w:rFonts w:eastAsia="Times New Roman" w:cs="Arial"/>
                <w:color w:val="000000"/>
                <w:sz w:val="16"/>
                <w:szCs w:val="16"/>
                <w:lang w:val="es-CO" w:eastAsia="es-CO"/>
              </w:rPr>
              <w:t>Gestión del Marketing Social</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Acuerdos generados para trabajo conjunto en la movilización (</w:t>
            </w:r>
            <w:proofErr w:type="spellStart"/>
            <w:r w:rsidRPr="00C36A92">
              <w:rPr>
                <w:rFonts w:eastAsia="Times New Roman" w:cs="Arial"/>
                <w:sz w:val="16"/>
                <w:szCs w:val="16"/>
                <w:lang w:val="es-CO" w:eastAsia="es-CO"/>
              </w:rPr>
              <w:t>Reeditores</w:t>
            </w:r>
            <w:proofErr w:type="spellEnd"/>
            <w:r w:rsidRPr="00C36A92">
              <w:rPr>
                <w:rFonts w:eastAsia="Times New Roman" w:cs="Arial"/>
                <w:sz w:val="16"/>
                <w:szCs w:val="16"/>
                <w:lang w:val="es-CO"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50F13" w:rsidP="00C36A92">
            <w:pPr>
              <w:spacing w:after="0"/>
              <w:jc w:val="center"/>
              <w:rPr>
                <w:rFonts w:eastAsia="Times New Roman" w:cs="Arial"/>
                <w:sz w:val="16"/>
                <w:szCs w:val="16"/>
                <w:lang w:val="es-CO" w:eastAsia="es-CO"/>
              </w:rPr>
            </w:pPr>
            <w:r>
              <w:rPr>
                <w:rFonts w:eastAsia="Times New Roman" w:cs="Arial"/>
                <w:sz w:val="16"/>
                <w:szCs w:val="16"/>
                <w:lang w:val="es-CO" w:eastAsia="es-CO"/>
              </w:rPr>
              <w:t>31</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50F13" w:rsidP="00C36A92">
            <w:pPr>
              <w:spacing w:after="0"/>
              <w:jc w:val="center"/>
              <w:rPr>
                <w:rFonts w:eastAsia="Times New Roman" w:cs="Arial"/>
                <w:color w:val="000000"/>
                <w:sz w:val="16"/>
                <w:szCs w:val="16"/>
                <w:lang w:val="es-CO" w:eastAsia="es-CO"/>
              </w:rPr>
            </w:pPr>
            <w:r>
              <w:rPr>
                <w:rFonts w:eastAsia="Times New Roman" w:cs="Arial"/>
                <w:color w:val="000000"/>
                <w:sz w:val="16"/>
                <w:szCs w:val="16"/>
                <w:lang w:val="es-CO" w:eastAsia="es-CO"/>
              </w:rPr>
              <w:t>30</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96,77%</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86%</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35%</w:t>
            </w:r>
          </w:p>
        </w:tc>
        <w:tc>
          <w:tcPr>
            <w:tcW w:w="0" w:type="auto"/>
            <w:vMerge w:val="restart"/>
            <w:tcBorders>
              <w:top w:val="nil"/>
              <w:left w:val="single" w:sz="4" w:space="0" w:color="auto"/>
              <w:bottom w:val="single" w:sz="4" w:space="0" w:color="auto"/>
              <w:right w:val="single" w:sz="4" w:space="0" w:color="auto"/>
            </w:tcBorders>
            <w:shd w:val="clear" w:color="000000" w:fill="DCE6F1"/>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30,06%</w:t>
            </w:r>
          </w:p>
        </w:tc>
      </w:tr>
      <w:tr w:rsidR="00A533BF"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color w:val="000000"/>
                <w:sz w:val="16"/>
                <w:szCs w:val="16"/>
                <w:lang w:val="es-CO" w:eastAsia="es-CO"/>
              </w:rPr>
            </w:pP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Políticas públicas nuevas o mejoradas</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50F13" w:rsidP="00C36A92">
            <w:pPr>
              <w:spacing w:after="0"/>
              <w:jc w:val="center"/>
              <w:rPr>
                <w:rFonts w:eastAsia="Times New Roman" w:cs="Arial"/>
                <w:sz w:val="16"/>
                <w:szCs w:val="16"/>
                <w:lang w:val="es-CO" w:eastAsia="es-CO"/>
              </w:rPr>
            </w:pPr>
            <w:r>
              <w:rPr>
                <w:rFonts w:eastAsia="Times New Roman" w:cs="Arial"/>
                <w:sz w:val="16"/>
                <w:szCs w:val="16"/>
                <w:lang w:val="es-CO" w:eastAsia="es-CO"/>
              </w:rPr>
              <w:t>4</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50F13" w:rsidP="00C36A92">
            <w:pPr>
              <w:spacing w:after="0"/>
              <w:jc w:val="center"/>
              <w:rPr>
                <w:rFonts w:eastAsia="Times New Roman" w:cs="Arial"/>
                <w:color w:val="000000"/>
                <w:sz w:val="16"/>
                <w:szCs w:val="16"/>
                <w:lang w:val="es-CO" w:eastAsia="es-CO"/>
              </w:rPr>
            </w:pPr>
            <w:r>
              <w:rPr>
                <w:rFonts w:eastAsia="Times New Roman" w:cs="Arial"/>
                <w:color w:val="000000"/>
                <w:sz w:val="16"/>
                <w:szCs w:val="16"/>
                <w:lang w:val="es-CO" w:eastAsia="es-CO"/>
              </w:rPr>
              <w:t>3</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75,00%</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A533BF" w:rsidRPr="00C36A92" w:rsidTr="00ED4E7C">
        <w:trPr>
          <w:trHeight w:val="17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Gestión Humana y Organizacional</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Número de Alianzas articuladas</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50F13" w:rsidP="00C36A92">
            <w:pPr>
              <w:spacing w:after="0"/>
              <w:jc w:val="center"/>
              <w:rPr>
                <w:rFonts w:eastAsia="Times New Roman" w:cs="Arial"/>
                <w:sz w:val="16"/>
                <w:szCs w:val="16"/>
                <w:lang w:val="es-CO" w:eastAsia="es-CO"/>
              </w:rPr>
            </w:pPr>
            <w:r>
              <w:rPr>
                <w:rFonts w:eastAsia="Times New Roman" w:cs="Arial"/>
                <w:sz w:val="16"/>
                <w:szCs w:val="16"/>
                <w:lang w:val="es-CO" w:eastAsia="es-CO"/>
              </w:rPr>
              <w:t>12</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50F13" w:rsidP="00C36A92">
            <w:pPr>
              <w:spacing w:after="0"/>
              <w:jc w:val="center"/>
              <w:rPr>
                <w:rFonts w:eastAsia="Times New Roman" w:cs="Arial"/>
                <w:color w:val="000000"/>
                <w:sz w:val="16"/>
                <w:szCs w:val="16"/>
                <w:lang w:val="es-CO" w:eastAsia="es-CO"/>
              </w:rPr>
            </w:pPr>
            <w:r>
              <w:rPr>
                <w:rFonts w:eastAsia="Times New Roman" w:cs="Arial"/>
                <w:color w:val="000000"/>
                <w:sz w:val="16"/>
                <w:szCs w:val="16"/>
                <w:lang w:val="es-CO" w:eastAsia="es-CO"/>
              </w:rPr>
              <w:t>10</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83,33%</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67%</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30%</w:t>
            </w:r>
          </w:p>
        </w:tc>
        <w:tc>
          <w:tcPr>
            <w:tcW w:w="0" w:type="auto"/>
            <w:vMerge w:val="restart"/>
            <w:tcBorders>
              <w:top w:val="nil"/>
              <w:left w:val="single" w:sz="4" w:space="0" w:color="auto"/>
              <w:bottom w:val="single" w:sz="4" w:space="0" w:color="auto"/>
              <w:right w:val="single" w:sz="4" w:space="0" w:color="auto"/>
            </w:tcBorders>
            <w:shd w:val="clear" w:color="000000" w:fill="DCE6F1"/>
            <w:noWrap/>
            <w:vAlign w:val="center"/>
            <w:hideMark/>
          </w:tcPr>
          <w:p w:rsidR="00C36A92" w:rsidRPr="00C36A92" w:rsidRDefault="00C36A92" w:rsidP="00C36A92">
            <w:pPr>
              <w:spacing w:after="0"/>
              <w:jc w:val="center"/>
              <w:rPr>
                <w:rFonts w:eastAsia="Times New Roman" w:cs="Arial"/>
                <w:sz w:val="16"/>
                <w:szCs w:val="16"/>
                <w:lang w:val="es-CO" w:eastAsia="es-CO"/>
              </w:rPr>
            </w:pPr>
            <w:r w:rsidRPr="00C36A92">
              <w:rPr>
                <w:rFonts w:eastAsia="Times New Roman" w:cs="Arial"/>
                <w:sz w:val="16"/>
                <w:szCs w:val="16"/>
                <w:lang w:val="es-CO" w:eastAsia="es-CO"/>
              </w:rPr>
              <w:t>20,00%</w:t>
            </w:r>
          </w:p>
        </w:tc>
      </w:tr>
      <w:tr w:rsidR="00A533BF" w:rsidRPr="00C36A92" w:rsidTr="00ED4E7C">
        <w:trPr>
          <w:trHeight w:val="170"/>
        </w:trPr>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left"/>
              <w:rPr>
                <w:rFonts w:eastAsia="Times New Roman" w:cs="Arial"/>
                <w:sz w:val="16"/>
                <w:szCs w:val="16"/>
                <w:lang w:val="es-CO" w:eastAsia="es-CO"/>
              </w:rPr>
            </w:pPr>
            <w:r w:rsidRPr="00C36A92">
              <w:rPr>
                <w:rFonts w:eastAsia="Times New Roman" w:cs="Arial"/>
                <w:sz w:val="16"/>
                <w:szCs w:val="16"/>
                <w:lang w:val="es-CO" w:eastAsia="es-CO"/>
              </w:rPr>
              <w:t>Facultades involucradas en las alianzas establecidas</w:t>
            </w:r>
          </w:p>
        </w:tc>
        <w:tc>
          <w:tcPr>
            <w:tcW w:w="0" w:type="auto"/>
            <w:tcBorders>
              <w:top w:val="nil"/>
              <w:left w:val="nil"/>
              <w:bottom w:val="single" w:sz="4" w:space="0" w:color="auto"/>
              <w:right w:val="single" w:sz="4" w:space="0" w:color="auto"/>
            </w:tcBorders>
            <w:shd w:val="clear" w:color="auto" w:fill="auto"/>
            <w:noWrap/>
            <w:vAlign w:val="center"/>
            <w:hideMark/>
          </w:tcPr>
          <w:p w:rsidR="00C36A92" w:rsidRPr="00C36A92" w:rsidRDefault="00C50F13" w:rsidP="00C36A92">
            <w:pPr>
              <w:spacing w:after="0"/>
              <w:jc w:val="center"/>
              <w:rPr>
                <w:rFonts w:eastAsia="Times New Roman" w:cs="Arial"/>
                <w:sz w:val="16"/>
                <w:szCs w:val="16"/>
                <w:lang w:val="es-CO" w:eastAsia="es-CO"/>
              </w:rPr>
            </w:pPr>
            <w:r>
              <w:rPr>
                <w:rFonts w:eastAsia="Times New Roman" w:cs="Arial"/>
                <w:sz w:val="16"/>
                <w:szCs w:val="16"/>
                <w:lang w:val="es-CO" w:eastAsia="es-CO"/>
              </w:rPr>
              <w:t>4</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50F13" w:rsidP="00C36A92">
            <w:pPr>
              <w:spacing w:after="0"/>
              <w:jc w:val="center"/>
              <w:rPr>
                <w:rFonts w:eastAsia="Times New Roman" w:cs="Arial"/>
                <w:color w:val="000000"/>
                <w:sz w:val="16"/>
                <w:szCs w:val="16"/>
                <w:lang w:val="es-CO" w:eastAsia="es-CO"/>
              </w:rPr>
            </w:pPr>
            <w:r>
              <w:rPr>
                <w:rFonts w:eastAsia="Times New Roman" w:cs="Arial"/>
                <w:color w:val="000000"/>
                <w:sz w:val="16"/>
                <w:szCs w:val="16"/>
                <w:lang w:val="es-CO" w:eastAsia="es-CO"/>
              </w:rPr>
              <w:t>2</w:t>
            </w:r>
          </w:p>
        </w:tc>
        <w:tc>
          <w:tcPr>
            <w:tcW w:w="0" w:type="auto"/>
            <w:tcBorders>
              <w:top w:val="nil"/>
              <w:left w:val="nil"/>
              <w:bottom w:val="single" w:sz="4" w:space="0" w:color="auto"/>
              <w:right w:val="single" w:sz="4" w:space="0" w:color="auto"/>
            </w:tcBorders>
            <w:shd w:val="clear" w:color="auto" w:fill="auto"/>
            <w:vAlign w:val="center"/>
            <w:hideMark/>
          </w:tcPr>
          <w:p w:rsidR="00C36A92" w:rsidRPr="00C36A92" w:rsidRDefault="00C36A92" w:rsidP="00C36A92">
            <w:pPr>
              <w:spacing w:after="0"/>
              <w:jc w:val="center"/>
              <w:rPr>
                <w:rFonts w:eastAsia="Times New Roman" w:cs="Arial"/>
                <w:color w:val="000000"/>
                <w:sz w:val="16"/>
                <w:szCs w:val="16"/>
                <w:lang w:val="es-CO" w:eastAsia="es-CO"/>
              </w:rPr>
            </w:pPr>
            <w:r w:rsidRPr="00C36A92">
              <w:rPr>
                <w:rFonts w:eastAsia="Times New Roman" w:cs="Arial"/>
                <w:color w:val="000000"/>
                <w:sz w:val="16"/>
                <w:szCs w:val="16"/>
                <w:lang w:val="es-CO" w:eastAsia="es-CO"/>
              </w:rPr>
              <w:t>50,00%</w:t>
            </w: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c>
          <w:tcPr>
            <w:tcW w:w="0" w:type="auto"/>
            <w:vMerge/>
            <w:tcBorders>
              <w:top w:val="nil"/>
              <w:left w:val="single" w:sz="4" w:space="0" w:color="auto"/>
              <w:bottom w:val="single" w:sz="4" w:space="0" w:color="auto"/>
              <w:right w:val="single" w:sz="4" w:space="0" w:color="auto"/>
            </w:tcBorders>
            <w:vAlign w:val="center"/>
            <w:hideMark/>
          </w:tcPr>
          <w:p w:rsidR="00C36A92" w:rsidRPr="00C36A92" w:rsidRDefault="00C36A92" w:rsidP="00C36A92">
            <w:pPr>
              <w:spacing w:after="0"/>
              <w:jc w:val="left"/>
              <w:rPr>
                <w:rFonts w:eastAsia="Times New Roman" w:cs="Arial"/>
                <w:sz w:val="16"/>
                <w:szCs w:val="16"/>
                <w:lang w:val="es-CO" w:eastAsia="es-CO"/>
              </w:rPr>
            </w:pPr>
          </w:p>
        </w:tc>
      </w:tr>
      <w:tr w:rsidR="00A533BF" w:rsidRPr="00C36A92" w:rsidTr="00C77AA8">
        <w:trPr>
          <w:trHeight w:val="170"/>
        </w:trPr>
        <w:tc>
          <w:tcPr>
            <w:tcW w:w="0" w:type="auto"/>
            <w:gridSpan w:val="7"/>
            <w:tcBorders>
              <w:top w:val="single" w:sz="4" w:space="0" w:color="auto"/>
              <w:left w:val="single" w:sz="4" w:space="0" w:color="auto"/>
              <w:bottom w:val="single" w:sz="4" w:space="0" w:color="auto"/>
              <w:right w:val="single" w:sz="4" w:space="0" w:color="auto"/>
            </w:tcBorders>
            <w:shd w:val="clear" w:color="000000" w:fill="B8CCE4"/>
            <w:vAlign w:val="center"/>
            <w:hideMark/>
          </w:tcPr>
          <w:p w:rsidR="00A533BF" w:rsidRPr="00C36A92" w:rsidRDefault="00A533BF" w:rsidP="00A533BF">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TOTAL COMPONENTE</w:t>
            </w:r>
          </w:p>
        </w:tc>
        <w:tc>
          <w:tcPr>
            <w:tcW w:w="0" w:type="auto"/>
            <w:tcBorders>
              <w:top w:val="nil"/>
              <w:left w:val="nil"/>
              <w:bottom w:val="single" w:sz="4" w:space="0" w:color="auto"/>
              <w:right w:val="single" w:sz="4" w:space="0" w:color="auto"/>
            </w:tcBorders>
            <w:shd w:val="clear" w:color="000000" w:fill="B8CCE4"/>
            <w:noWrap/>
            <w:vAlign w:val="center"/>
            <w:hideMark/>
          </w:tcPr>
          <w:p w:rsidR="00A533BF" w:rsidRPr="00C36A92" w:rsidRDefault="00A533BF" w:rsidP="00C36A92">
            <w:pPr>
              <w:spacing w:after="0"/>
              <w:jc w:val="center"/>
              <w:rPr>
                <w:rFonts w:eastAsia="Times New Roman" w:cs="Arial"/>
                <w:b/>
                <w:bCs/>
                <w:sz w:val="16"/>
                <w:szCs w:val="16"/>
                <w:lang w:val="es-CO" w:eastAsia="es-CO"/>
              </w:rPr>
            </w:pPr>
            <w:r w:rsidRPr="00C36A92">
              <w:rPr>
                <w:rFonts w:eastAsia="Times New Roman" w:cs="Arial"/>
                <w:b/>
                <w:bCs/>
                <w:sz w:val="16"/>
                <w:szCs w:val="16"/>
                <w:lang w:val="es-CO" w:eastAsia="es-CO"/>
              </w:rPr>
              <w:t>85,06%</w:t>
            </w:r>
          </w:p>
        </w:tc>
      </w:tr>
    </w:tbl>
    <w:p w:rsidR="00A533BF" w:rsidRDefault="00A533BF" w:rsidP="00A533BF">
      <w:pPr>
        <w:jc w:val="center"/>
        <w:rPr>
          <w:b/>
          <w:sz w:val="20"/>
        </w:rPr>
      </w:pPr>
      <w:r w:rsidRPr="00BE4B67">
        <w:rPr>
          <w:b/>
          <w:sz w:val="20"/>
        </w:rPr>
        <w:t>Fuente: SIGOB</w:t>
      </w:r>
    </w:p>
    <w:p w:rsidR="003D0496" w:rsidRPr="00BE4B67" w:rsidRDefault="003D0496" w:rsidP="00BE4B67">
      <w:r w:rsidRPr="00BE4B67">
        <w:br w:type="page"/>
      </w:r>
    </w:p>
    <w:p w:rsidR="00477C33" w:rsidRPr="00477C33" w:rsidRDefault="00477C33" w:rsidP="00477C33">
      <w:pPr>
        <w:pStyle w:val="Ttulo1"/>
        <w:numPr>
          <w:ilvl w:val="0"/>
          <w:numId w:val="21"/>
        </w:numPr>
        <w:rPr>
          <w:rFonts w:eastAsia="Times New Roman"/>
          <w:lang w:eastAsia="es-ES"/>
        </w:rPr>
      </w:pPr>
      <w:bookmarkStart w:id="165" w:name="_Toc354671375"/>
      <w:bookmarkEnd w:id="156"/>
      <w:bookmarkEnd w:id="157"/>
      <w:r w:rsidRPr="00477C33">
        <w:rPr>
          <w:rFonts w:eastAsia="Times New Roman"/>
          <w:lang w:eastAsia="es-ES"/>
        </w:rPr>
        <w:lastRenderedPageBreak/>
        <w:t>PROCESO DE AJUSTE A LA CADENA DE LOGRO DEL PLAN DE DESARROLLO INSTITUCIONAL 2009 - 2019</w:t>
      </w:r>
      <w:bookmarkEnd w:id="165"/>
    </w:p>
    <w:p w:rsidR="00477C33" w:rsidRPr="00477C33" w:rsidRDefault="00477C33" w:rsidP="00477C33">
      <w:pPr>
        <w:autoSpaceDE w:val="0"/>
        <w:autoSpaceDN w:val="0"/>
        <w:adjustRightInd w:val="0"/>
        <w:spacing w:after="0"/>
        <w:rPr>
          <w:rFonts w:asciiTheme="minorHAnsi" w:eastAsia="Times New Roman" w:hAnsiTheme="minorHAnsi" w:cs="Arial"/>
          <w:color w:val="000000"/>
          <w:lang w:val="es-CO" w:eastAsia="es-ES"/>
        </w:rPr>
      </w:pPr>
    </w:p>
    <w:p w:rsidR="00477C33" w:rsidRPr="00477C33" w:rsidRDefault="00477C33" w:rsidP="00477C33">
      <w:pPr>
        <w:autoSpaceDE w:val="0"/>
        <w:autoSpaceDN w:val="0"/>
        <w:adjustRightInd w:val="0"/>
        <w:spacing w:after="0"/>
        <w:rPr>
          <w:rFonts w:asciiTheme="minorHAnsi" w:eastAsia="Times New Roman" w:hAnsiTheme="minorHAnsi" w:cs="Arial"/>
          <w:color w:val="000000"/>
          <w:lang w:val="es-CO" w:eastAsia="es-ES"/>
        </w:rPr>
      </w:pPr>
    </w:p>
    <w:p w:rsidR="00477C33" w:rsidRPr="00477C33" w:rsidRDefault="00477C33" w:rsidP="00477C33">
      <w:pPr>
        <w:autoSpaceDE w:val="0"/>
        <w:autoSpaceDN w:val="0"/>
        <w:adjustRightInd w:val="0"/>
        <w:spacing w:after="0"/>
        <w:rPr>
          <w:rFonts w:asciiTheme="minorHAnsi" w:eastAsia="Times New Roman" w:hAnsiTheme="minorHAnsi" w:cs="Arial"/>
          <w:color w:val="000000"/>
          <w:lang w:val="es-CO" w:eastAsia="es-ES"/>
        </w:rPr>
      </w:pPr>
      <w:r w:rsidRPr="00477C33">
        <w:rPr>
          <w:rFonts w:asciiTheme="minorHAnsi" w:eastAsia="Times New Roman" w:hAnsiTheme="minorHAnsi" w:cs="Arial"/>
          <w:color w:val="000000"/>
          <w:lang w:val="es-CO" w:eastAsia="es-ES"/>
        </w:rPr>
        <w:t xml:space="preserve">La Universidad Tecnológica de Pereira (UTP) a través de su plan de Desarrollo 2009 – 2019 ha planteado su direccionamiento estratégico en el largo plazo, y dentro de sus principales fines, se ha propuesto contribuir desde su quehacer institucional hacia la generación de desarrollo social, económico, competitivo, científico, tecnológico y financiero de la región de manera sostenible. Lo anterior implica grandes retos, y la inmersión definitiva de la UTP en el contexto local y regional para crear condiciones hacia la transformación económica y social. </w:t>
      </w:r>
    </w:p>
    <w:p w:rsidR="00477C33" w:rsidRPr="00477C33" w:rsidRDefault="00477C33" w:rsidP="00477C33">
      <w:pPr>
        <w:pStyle w:val="NormalWeb"/>
        <w:shd w:val="clear" w:color="auto" w:fill="FFFFFF"/>
        <w:spacing w:after="0" w:afterAutospacing="0"/>
        <w:jc w:val="both"/>
        <w:rPr>
          <w:rFonts w:asciiTheme="minorHAnsi" w:hAnsiTheme="minorHAnsi" w:cs="Arial"/>
          <w:color w:val="000000"/>
          <w:sz w:val="22"/>
          <w:szCs w:val="22"/>
          <w:lang w:val="es-CO"/>
        </w:rPr>
      </w:pPr>
      <w:r w:rsidRPr="00477C33">
        <w:rPr>
          <w:rFonts w:asciiTheme="minorHAnsi" w:hAnsiTheme="minorHAnsi" w:cs="Arial"/>
          <w:color w:val="000000"/>
          <w:sz w:val="22"/>
          <w:szCs w:val="22"/>
          <w:lang w:val="es-CO"/>
        </w:rPr>
        <w:t xml:space="preserve">La Universidad Tecnológica de Pereira viene implementando su Plan de Desarrollo Institucional (PDI) 2009 – 2019, dentro del cual cada objetivo institucional definió sus apuestas en su direccionamiento estratégico. Estos objetivos son: Cobertura con calidad de la oferta educativa; Desarrollo Institucional; Bienestar Institucional; Investigaciones, innovación y extensión; Internacionalización; Impacto Regional; y Alianzas Estratégicas. </w:t>
      </w:r>
    </w:p>
    <w:p w:rsidR="00477C33" w:rsidRPr="00477C33" w:rsidRDefault="00477C33" w:rsidP="00477C33">
      <w:pPr>
        <w:pStyle w:val="NormalWeb"/>
        <w:shd w:val="clear" w:color="auto" w:fill="FFFFFF"/>
        <w:spacing w:after="0" w:afterAutospacing="0"/>
        <w:jc w:val="both"/>
        <w:rPr>
          <w:rFonts w:asciiTheme="minorHAnsi" w:hAnsiTheme="minorHAnsi" w:cs="Arial"/>
          <w:color w:val="000000"/>
          <w:sz w:val="22"/>
          <w:szCs w:val="22"/>
          <w:lang w:val="es-CO"/>
        </w:rPr>
      </w:pPr>
      <w:r w:rsidRPr="00477C33">
        <w:rPr>
          <w:rFonts w:asciiTheme="minorHAnsi" w:hAnsiTheme="minorHAnsi" w:cs="Arial"/>
          <w:color w:val="000000"/>
          <w:sz w:val="22"/>
          <w:szCs w:val="22"/>
          <w:lang w:val="es-CO"/>
        </w:rPr>
        <w:t>Este plan posee un direccionamiento estratégico 2009 - 2019, el cual fue construido colectivamente por diversas mesas temáticas y la ciudadanía en general mediante su participación de foros masivos y paneles con sectores de la sociedad civil (colegios, minorías, gremios, medios de comunicación, sectores sociales), quienes plasmaron las apuestas de la UTP durante 11 años.</w:t>
      </w:r>
    </w:p>
    <w:p w:rsidR="00477C33" w:rsidRPr="00477C33" w:rsidRDefault="00477C33" w:rsidP="00477C33">
      <w:pPr>
        <w:spacing w:after="0"/>
        <w:rPr>
          <w:rFonts w:asciiTheme="minorHAnsi" w:eastAsia="Times New Roman" w:hAnsiTheme="minorHAnsi" w:cs="Arial"/>
          <w:color w:val="000000"/>
          <w:lang w:val="es-CO" w:eastAsia="es-ES"/>
        </w:rPr>
      </w:pPr>
    </w:p>
    <w:p w:rsidR="00477C33" w:rsidRDefault="00477C33" w:rsidP="00477C33">
      <w:pPr>
        <w:spacing w:after="0"/>
        <w:rPr>
          <w:rFonts w:asciiTheme="minorHAnsi" w:eastAsia="Times New Roman" w:hAnsiTheme="minorHAnsi" w:cs="Arial"/>
          <w:color w:val="000000"/>
          <w:lang w:val="es-CO" w:eastAsia="es-ES"/>
        </w:rPr>
      </w:pPr>
      <w:r w:rsidRPr="00477C33">
        <w:rPr>
          <w:rFonts w:asciiTheme="minorHAnsi" w:eastAsia="Times New Roman" w:hAnsiTheme="minorHAnsi" w:cs="Arial"/>
          <w:color w:val="000000"/>
          <w:lang w:val="es-CO" w:eastAsia="es-ES"/>
        </w:rPr>
        <w:t>Para lograr las metas planteadas en el direccionamiento estratégico, cada objetivo institucional formuló sus proyectos institucionales con un primer corte hasta el año 2012 con indicadores, metas y presupuesto para un total de 29 proyectos. Para este año, se realizó el proceso de ajuste a la cadena de logro y actualización de proyectos institucionales para el período 2013 – 2019, lo que corresponde a una parada técnica con el fin de revisar, ajustar, mejorar y aportar al direccionamiento estratégico formulado al año 2019</w:t>
      </w:r>
      <w:r w:rsidR="00B772BF">
        <w:rPr>
          <w:rFonts w:asciiTheme="minorHAnsi" w:eastAsia="Times New Roman" w:hAnsiTheme="minorHAnsi" w:cs="Arial"/>
          <w:color w:val="000000"/>
          <w:lang w:val="es-CO" w:eastAsia="es-ES"/>
        </w:rPr>
        <w:t>.</w:t>
      </w:r>
    </w:p>
    <w:p w:rsidR="00B772BF" w:rsidRDefault="00B772BF" w:rsidP="00477C33">
      <w:pPr>
        <w:spacing w:after="0"/>
        <w:rPr>
          <w:rFonts w:asciiTheme="minorHAnsi" w:eastAsia="Times New Roman" w:hAnsiTheme="minorHAnsi" w:cs="Arial"/>
          <w:color w:val="000000"/>
          <w:lang w:val="es-CO" w:eastAsia="es-ES"/>
        </w:rPr>
      </w:pPr>
    </w:p>
    <w:p w:rsidR="00B772BF" w:rsidRPr="00477C33" w:rsidRDefault="00B772BF" w:rsidP="00477C33">
      <w:pPr>
        <w:spacing w:after="0"/>
        <w:rPr>
          <w:rFonts w:asciiTheme="minorHAnsi" w:eastAsia="Times New Roman" w:hAnsiTheme="minorHAnsi" w:cs="Arial"/>
          <w:color w:val="000000"/>
          <w:lang w:val="es-CO" w:eastAsia="es-ES"/>
        </w:rPr>
      </w:pPr>
      <w:r w:rsidRPr="00B772BF">
        <w:rPr>
          <w:noProof/>
          <w:lang w:val="es-CO" w:eastAsia="es-CO"/>
        </w:rPr>
        <w:lastRenderedPageBreak/>
        <w:drawing>
          <wp:inline distT="0" distB="0" distL="0" distR="0">
            <wp:extent cx="5612130" cy="3105523"/>
            <wp:effectExtent l="0" t="0" r="7620" b="0"/>
            <wp:docPr id="22530" name="Imagen 22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612130" cy="3105523"/>
                    </a:xfrm>
                    <a:prstGeom prst="rect">
                      <a:avLst/>
                    </a:prstGeom>
                    <a:noFill/>
                    <a:ln>
                      <a:noFill/>
                    </a:ln>
                  </pic:spPr>
                </pic:pic>
              </a:graphicData>
            </a:graphic>
          </wp:inline>
        </w:drawing>
      </w:r>
    </w:p>
    <w:p w:rsidR="00477C33" w:rsidRPr="00477C33" w:rsidRDefault="00477C33" w:rsidP="00477C33">
      <w:pPr>
        <w:rPr>
          <w:rFonts w:asciiTheme="minorHAnsi" w:hAnsiTheme="minorHAnsi" w:cs="Arial"/>
        </w:rPr>
      </w:pPr>
    </w:p>
    <w:p w:rsidR="00477C33" w:rsidRDefault="00477C33" w:rsidP="00477C33">
      <w:pPr>
        <w:pStyle w:val="NormalWeb"/>
        <w:shd w:val="clear" w:color="auto" w:fill="FFFFFF"/>
        <w:spacing w:after="0" w:afterAutospacing="0"/>
        <w:jc w:val="both"/>
        <w:rPr>
          <w:rFonts w:asciiTheme="minorHAnsi" w:hAnsiTheme="minorHAnsi" w:cs="Arial"/>
          <w:color w:val="000000"/>
          <w:sz w:val="22"/>
          <w:szCs w:val="22"/>
          <w:lang w:val="es-CO"/>
        </w:rPr>
      </w:pPr>
      <w:r w:rsidRPr="00477C33">
        <w:rPr>
          <w:rFonts w:asciiTheme="minorHAnsi" w:hAnsiTheme="minorHAnsi" w:cs="Arial"/>
          <w:color w:val="000000"/>
          <w:sz w:val="22"/>
          <w:szCs w:val="22"/>
          <w:lang w:val="es-CO"/>
        </w:rPr>
        <w:t>El proceso de ajuste a los proyectos 2013 – 2019 del Plan de Desarrollo se realizó mediante las siguientes fases:</w:t>
      </w:r>
    </w:p>
    <w:p w:rsidR="00477C33" w:rsidRPr="00477C33" w:rsidRDefault="0071345F" w:rsidP="00477C33">
      <w:pPr>
        <w:pStyle w:val="NormalWeb"/>
        <w:shd w:val="clear" w:color="auto" w:fill="FFFFFF"/>
        <w:spacing w:after="0" w:afterAutospacing="0"/>
        <w:jc w:val="both"/>
        <w:rPr>
          <w:rFonts w:asciiTheme="minorHAnsi" w:hAnsiTheme="minorHAnsi" w:cs="Arial"/>
          <w:color w:val="000000"/>
          <w:sz w:val="22"/>
          <w:szCs w:val="22"/>
          <w:lang w:val="es-CO"/>
        </w:rPr>
      </w:pPr>
      <w:r w:rsidRPr="0071345F">
        <w:rPr>
          <w:noProof/>
          <w:lang w:val="es-CO" w:eastAsia="es-CO"/>
        </w:rPr>
        <w:lastRenderedPageBreak/>
        <w:drawing>
          <wp:inline distT="0" distB="0" distL="0" distR="0">
            <wp:extent cx="5612130" cy="4011908"/>
            <wp:effectExtent l="0" t="0" r="7620" b="0"/>
            <wp:docPr id="22531" name="Imagen 22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612130" cy="4011908"/>
                    </a:xfrm>
                    <a:prstGeom prst="rect">
                      <a:avLst/>
                    </a:prstGeom>
                    <a:noFill/>
                    <a:ln>
                      <a:noFill/>
                    </a:ln>
                  </pic:spPr>
                </pic:pic>
              </a:graphicData>
            </a:graphic>
          </wp:inline>
        </w:drawing>
      </w:r>
    </w:p>
    <w:p w:rsidR="00477C33" w:rsidRPr="00477C33" w:rsidRDefault="00477C33" w:rsidP="00477C33">
      <w:pPr>
        <w:pStyle w:val="NormalWeb"/>
        <w:shd w:val="clear" w:color="auto" w:fill="FFFFFF"/>
        <w:spacing w:after="0" w:afterAutospacing="0"/>
        <w:jc w:val="center"/>
        <w:rPr>
          <w:rFonts w:asciiTheme="minorHAnsi" w:hAnsiTheme="minorHAnsi" w:cs="Arial"/>
          <w:color w:val="000000"/>
          <w:sz w:val="22"/>
          <w:szCs w:val="22"/>
          <w:lang w:val="es-CO"/>
        </w:rPr>
      </w:pPr>
    </w:p>
    <w:p w:rsidR="00477C33" w:rsidRPr="00477C33" w:rsidRDefault="00477C33" w:rsidP="00477C33">
      <w:pPr>
        <w:pStyle w:val="Prrafodelista"/>
        <w:numPr>
          <w:ilvl w:val="0"/>
          <w:numId w:val="57"/>
        </w:numPr>
        <w:spacing w:after="0"/>
        <w:rPr>
          <w:rFonts w:eastAsia="Times New Roman" w:cs="Arial"/>
          <w:color w:val="000000"/>
          <w:u w:val="single"/>
          <w:lang w:eastAsia="es-ES"/>
        </w:rPr>
      </w:pPr>
      <w:r w:rsidRPr="00477C33">
        <w:rPr>
          <w:rFonts w:eastAsia="Times New Roman" w:cs="Arial"/>
          <w:color w:val="000000"/>
          <w:u w:val="single"/>
          <w:lang w:eastAsia="es-ES"/>
        </w:rPr>
        <w:t>Análisis de la cadena de logro por objetivos:</w:t>
      </w:r>
      <w:r w:rsidRPr="00477C33">
        <w:rPr>
          <w:rFonts w:eastAsia="Times New Roman" w:cs="Arial"/>
          <w:color w:val="000000"/>
          <w:lang w:eastAsia="es-ES"/>
        </w:rPr>
        <w:t xml:space="preserve"> Este proceso fue realizado en las dos últimas semanas del mes de mayo como insumo previo al proceso de ajuste a los proyectos institucionales con los equipos técnicos de los objetivos y el coordinador respectivo, y tuvo como resultado el panorama actual del aporte de los proyectos a la cadena de logro y los posibles aspectos a ajustar una vez inicie el proceso.</w:t>
      </w:r>
    </w:p>
    <w:p w:rsidR="00477C33" w:rsidRPr="00477C33" w:rsidRDefault="00477C33" w:rsidP="00477C33">
      <w:pPr>
        <w:pStyle w:val="Prrafodelista"/>
        <w:spacing w:after="0"/>
        <w:rPr>
          <w:rFonts w:eastAsia="Times New Roman" w:cs="Arial"/>
          <w:color w:val="000000"/>
          <w:u w:val="single"/>
          <w:lang w:eastAsia="es-ES"/>
        </w:rPr>
      </w:pPr>
    </w:p>
    <w:p w:rsidR="00477C33" w:rsidRPr="00477C33" w:rsidRDefault="00477C33" w:rsidP="00477C33">
      <w:pPr>
        <w:pStyle w:val="Prrafodelista"/>
        <w:numPr>
          <w:ilvl w:val="0"/>
          <w:numId w:val="57"/>
        </w:numPr>
        <w:spacing w:after="0"/>
        <w:rPr>
          <w:rFonts w:eastAsia="Times New Roman" w:cs="Arial"/>
          <w:color w:val="000000"/>
          <w:u w:val="single"/>
          <w:lang w:eastAsia="es-ES"/>
        </w:rPr>
      </w:pPr>
      <w:r w:rsidRPr="00477C33">
        <w:rPr>
          <w:rFonts w:eastAsia="Times New Roman" w:cs="Arial"/>
          <w:color w:val="000000"/>
          <w:u w:val="single"/>
          <w:lang w:eastAsia="es-ES"/>
        </w:rPr>
        <w:t>Aprestamiento:</w:t>
      </w:r>
      <w:r w:rsidRPr="00477C33">
        <w:rPr>
          <w:rFonts w:eastAsia="Times New Roman" w:cs="Arial"/>
          <w:color w:val="000000"/>
          <w:lang w:eastAsia="es-ES"/>
        </w:rPr>
        <w:t xml:space="preserve"> Dentro de esta fase se construyeron las herramientas técnicas y metodológicas, así como el levantamiento de referentes que sirvieran de insumo en donde fuera necesario para la articulación de los proyectos actualizados con el contexto local, regional y nacional. Posterior a ello, </w:t>
      </w:r>
      <w:r w:rsidRPr="00477C33">
        <w:rPr>
          <w:rFonts w:eastAsia="Times New Roman" w:cs="Arial"/>
          <w:lang w:eastAsia="es-ES"/>
        </w:rPr>
        <w:t xml:space="preserve">la Oficina de Planeación convocó a todas las redes de trabajo de cada objetivo institucional con el fin de presentar la metodología de abordaje del proceso. Esta jornada se realizó entre el 4 y 7 de junio, y se explicó la metodología del proceso, el cronograma de trabajo y se entregaron los insumos metodológicos, técnicos y financieros. Los insumos quedaron también disponibles en la página Web: </w:t>
      </w:r>
      <w:hyperlink r:id="rId100" w:history="1">
        <w:r w:rsidRPr="00477C33">
          <w:rPr>
            <w:rStyle w:val="Hipervnculo"/>
            <w:rFonts w:eastAsia="Times New Roman" w:cs="Arial"/>
            <w:lang w:eastAsia="es-ES"/>
          </w:rPr>
          <w:t>http://www.utp.edu.co/pdi/insumos_actualizacion.htm</w:t>
        </w:r>
      </w:hyperlink>
      <w:r w:rsidRPr="00477C33">
        <w:rPr>
          <w:rFonts w:eastAsia="Times New Roman" w:cs="Arial"/>
          <w:lang w:eastAsia="es-ES"/>
        </w:rPr>
        <w:t xml:space="preserve"> </w:t>
      </w:r>
    </w:p>
    <w:p w:rsidR="00477C33" w:rsidRPr="00477C33" w:rsidRDefault="00477C33" w:rsidP="00477C33">
      <w:pPr>
        <w:pStyle w:val="Prrafodelista"/>
        <w:spacing w:after="0"/>
        <w:rPr>
          <w:rFonts w:eastAsia="Times New Roman" w:cs="Arial"/>
          <w:u w:val="single"/>
          <w:lang w:eastAsia="es-ES"/>
        </w:rPr>
      </w:pPr>
    </w:p>
    <w:p w:rsidR="00477C33" w:rsidRPr="00477C33" w:rsidRDefault="00477C33" w:rsidP="00477C33">
      <w:pPr>
        <w:pStyle w:val="Prrafodelista"/>
        <w:numPr>
          <w:ilvl w:val="0"/>
          <w:numId w:val="57"/>
        </w:numPr>
        <w:spacing w:after="0"/>
        <w:rPr>
          <w:rFonts w:eastAsia="Times New Roman" w:cs="Arial"/>
          <w:color w:val="000000"/>
          <w:u w:val="single"/>
          <w:lang w:eastAsia="es-ES"/>
        </w:rPr>
      </w:pPr>
      <w:r w:rsidRPr="00477C33">
        <w:rPr>
          <w:rFonts w:eastAsia="Times New Roman" w:cs="Arial"/>
          <w:u w:val="single"/>
          <w:lang w:eastAsia="es-ES"/>
        </w:rPr>
        <w:t>Ajuste de proyectos y presupuesto</w:t>
      </w:r>
      <w:r w:rsidRPr="00477C33">
        <w:rPr>
          <w:rFonts w:eastAsia="Times New Roman" w:cs="Arial"/>
          <w:lang w:eastAsia="es-ES"/>
        </w:rPr>
        <w:t xml:space="preserve">: en esta fase cada coordinador de proyecto institucional con su equipo técnico realizó una revisión a los proyectos actuales y los ajustes necesarios teniendo en cuenta el aporte real a los componentes y/o propósitos de su respectivo objetivo institucional. Producto de este análisis, ajustaron los proyectos en la </w:t>
      </w:r>
      <w:r w:rsidRPr="00477C33">
        <w:rPr>
          <w:rFonts w:eastAsia="Times New Roman" w:cs="Arial"/>
          <w:lang w:eastAsia="es-ES"/>
        </w:rPr>
        <w:lastRenderedPageBreak/>
        <w:t xml:space="preserve">ficha técnica de conformidad con los parámetros de formulación establecidos en el artículo 24 del acuerdo 30 de octubre de 2006 y presentados en la ficha del proyecto. Igualmente definieron el presupuesto plurianual hasta el año 2019 identificando recursos propios, de gestión y posibles fuentes de financiación. Posterior a este ejercicio de actualización, se realizaron tres jornadas de trabajo los días 16, 23 y 30 de julio para la retroalimentación de proyectos con los decanos de las facultades. </w:t>
      </w:r>
    </w:p>
    <w:p w:rsidR="00477C33" w:rsidRPr="00477C33" w:rsidRDefault="00477C33" w:rsidP="00477C33">
      <w:pPr>
        <w:pStyle w:val="Prrafodelista"/>
        <w:spacing w:after="0"/>
        <w:rPr>
          <w:rFonts w:eastAsia="Times New Roman" w:cs="Arial"/>
          <w:color w:val="000000"/>
          <w:u w:val="single"/>
          <w:lang w:eastAsia="es-ES"/>
        </w:rPr>
      </w:pPr>
    </w:p>
    <w:p w:rsidR="00477C33" w:rsidRPr="00477C33" w:rsidRDefault="00477C33" w:rsidP="00477C33">
      <w:pPr>
        <w:pStyle w:val="Prrafodelista"/>
        <w:spacing w:after="0"/>
        <w:rPr>
          <w:rFonts w:eastAsia="Times New Roman" w:cs="Arial"/>
          <w:color w:val="000000"/>
          <w:lang w:eastAsia="es-ES"/>
        </w:rPr>
      </w:pPr>
      <w:r w:rsidRPr="00477C33">
        <w:rPr>
          <w:rFonts w:eastAsia="Times New Roman" w:cs="Arial"/>
          <w:color w:val="000000"/>
          <w:lang w:eastAsia="es-ES"/>
        </w:rPr>
        <w:t>Producto de este ejercicio, incorporaron los ajustes pertinentes y fueron entregados a la Oficina de Planeación para la revisión y emisión del concepto técnico, previo a la presentación de los proyectos ante el Consejo académico y Superior.</w:t>
      </w:r>
    </w:p>
    <w:p w:rsidR="00477C33" w:rsidRPr="00477C33" w:rsidRDefault="00477C33" w:rsidP="00477C33">
      <w:pPr>
        <w:pStyle w:val="Prrafodelista"/>
        <w:spacing w:after="0"/>
        <w:rPr>
          <w:rFonts w:eastAsia="Times New Roman" w:cs="Arial"/>
          <w:color w:val="000000"/>
          <w:lang w:eastAsia="es-ES"/>
        </w:rPr>
      </w:pPr>
    </w:p>
    <w:p w:rsidR="00477C33" w:rsidRPr="00477C33" w:rsidRDefault="00477C33" w:rsidP="00477C33">
      <w:pPr>
        <w:pStyle w:val="Prrafodelista"/>
        <w:numPr>
          <w:ilvl w:val="0"/>
          <w:numId w:val="57"/>
        </w:numPr>
        <w:spacing w:after="0"/>
        <w:rPr>
          <w:rFonts w:eastAsia="Times New Roman" w:cs="Arial"/>
          <w:color w:val="000000"/>
          <w:lang w:eastAsia="es-ES"/>
        </w:rPr>
      </w:pPr>
      <w:r w:rsidRPr="00477C33">
        <w:rPr>
          <w:rFonts w:eastAsia="Times New Roman" w:cs="Arial"/>
          <w:color w:val="000000"/>
          <w:u w:val="single"/>
          <w:lang w:eastAsia="es-ES"/>
        </w:rPr>
        <w:t>Recomendación y aprobación:</w:t>
      </w:r>
      <w:r w:rsidRPr="00477C33">
        <w:rPr>
          <w:rFonts w:eastAsia="Times New Roman" w:cs="Arial"/>
          <w:color w:val="000000"/>
          <w:lang w:eastAsia="es-ES"/>
        </w:rPr>
        <w:t xml:space="preserve"> luego de haber emitido el concepto técnico a cada objetivo institucional y de realizarse los ajustes se levanta el concepto técnico al proceso de ajuste a la cadena de logro con la respectiva actualización de los proyectos institucionales del Plan de Desarrollo.</w:t>
      </w:r>
    </w:p>
    <w:p w:rsidR="00477C33" w:rsidRPr="00477C33" w:rsidRDefault="00477C33" w:rsidP="00477C33">
      <w:pPr>
        <w:rPr>
          <w:rFonts w:asciiTheme="minorHAnsi" w:hAnsiTheme="minorHAnsi" w:cs="Arial"/>
        </w:rPr>
      </w:pPr>
    </w:p>
    <w:p w:rsidR="00477C33" w:rsidRPr="00477C33" w:rsidRDefault="00477C33" w:rsidP="00477C33">
      <w:pPr>
        <w:rPr>
          <w:rFonts w:asciiTheme="minorHAnsi" w:hAnsiTheme="minorHAnsi" w:cs="Arial"/>
        </w:rPr>
      </w:pPr>
      <w:r w:rsidRPr="00477C33">
        <w:rPr>
          <w:rFonts w:asciiTheme="minorHAnsi" w:hAnsiTheme="minorHAnsi" w:cs="Arial"/>
          <w:lang w:val="es-CO"/>
        </w:rPr>
        <w:t xml:space="preserve">En términos generales </w:t>
      </w:r>
      <w:r w:rsidRPr="00477C33">
        <w:rPr>
          <w:rFonts w:asciiTheme="minorHAnsi" w:hAnsiTheme="minorHAnsi" w:cs="Arial"/>
          <w:bCs/>
          <w:lang w:val="es-CO"/>
        </w:rPr>
        <w:t>no hubo ajustes estructurales al Plan de Desarrollo Institucional 2009 – 2019</w:t>
      </w:r>
      <w:r w:rsidRPr="00477C33">
        <w:rPr>
          <w:rFonts w:asciiTheme="minorHAnsi" w:hAnsiTheme="minorHAnsi" w:cs="Arial"/>
          <w:lang w:val="es-CO"/>
        </w:rPr>
        <w:t xml:space="preserve">, </w:t>
      </w:r>
      <w:r w:rsidRPr="00477C33">
        <w:rPr>
          <w:rFonts w:asciiTheme="minorHAnsi" w:hAnsiTheme="minorHAnsi" w:cs="Arial"/>
          <w:bCs/>
          <w:lang w:val="es-CO"/>
        </w:rPr>
        <w:t xml:space="preserve">manteniendo los acuerdos </w:t>
      </w:r>
      <w:r w:rsidRPr="00477C33">
        <w:rPr>
          <w:rFonts w:asciiTheme="minorHAnsi" w:hAnsiTheme="minorHAnsi" w:cs="Arial"/>
          <w:lang w:val="es-CO"/>
        </w:rPr>
        <w:t>planteados por los actores que participaron en su formulación (2007 – 2008), por el contrario, se procuró fortalecer de forma la medición de los resultados, aportando a la cadena de logro y en el caso de ajuste a metas planteadas inicialmente en el proceso de formulación del plan, se incorporó la respectiva justificación.</w:t>
      </w:r>
    </w:p>
    <w:p w:rsidR="00477C33" w:rsidRDefault="00477C33" w:rsidP="00477C33">
      <w:pPr>
        <w:rPr>
          <w:rFonts w:asciiTheme="minorHAnsi" w:hAnsiTheme="minorHAnsi" w:cs="Arial"/>
          <w:lang w:val="es-CO"/>
        </w:rPr>
      </w:pPr>
      <w:r w:rsidRPr="00477C33">
        <w:rPr>
          <w:rFonts w:asciiTheme="minorHAnsi" w:hAnsiTheme="minorHAnsi" w:cs="Arial"/>
          <w:lang w:val="es-CO"/>
        </w:rPr>
        <w:t xml:space="preserve">Se mantienen </w:t>
      </w:r>
      <w:r w:rsidRPr="00477C33">
        <w:rPr>
          <w:rFonts w:asciiTheme="minorHAnsi" w:hAnsiTheme="minorHAnsi" w:cs="Arial"/>
          <w:bCs/>
          <w:lang w:val="es-CO"/>
        </w:rPr>
        <w:t xml:space="preserve">los </w:t>
      </w:r>
      <w:r w:rsidRPr="00922360">
        <w:rPr>
          <w:rFonts w:asciiTheme="minorHAnsi" w:hAnsiTheme="minorHAnsi" w:cs="Arial"/>
          <w:b/>
          <w:bCs/>
          <w:lang w:val="es-CO"/>
        </w:rPr>
        <w:t>29</w:t>
      </w:r>
      <w:r w:rsidRPr="00477C33">
        <w:rPr>
          <w:rFonts w:asciiTheme="minorHAnsi" w:hAnsiTheme="minorHAnsi" w:cs="Arial"/>
          <w:bCs/>
          <w:lang w:val="es-CO"/>
        </w:rPr>
        <w:t xml:space="preserve"> proyectos institucionales</w:t>
      </w:r>
      <w:r w:rsidRPr="00477C33">
        <w:rPr>
          <w:rFonts w:asciiTheme="minorHAnsi" w:hAnsiTheme="minorHAnsi" w:cs="Arial"/>
          <w:lang w:val="es-CO"/>
        </w:rPr>
        <w:t>, en algunos de ellos se estructuran en los objetivos  nuevos planes operativos y se proyectan metas en tres horizontes de tiempo: 2013, 2016 y 2019. La estructura de los proyectos institucionales se presenta a continuación:</w:t>
      </w:r>
    </w:p>
    <w:p w:rsidR="004B2402" w:rsidRPr="00477C33" w:rsidRDefault="004B2402" w:rsidP="00477C33">
      <w:pPr>
        <w:rPr>
          <w:rFonts w:asciiTheme="minorHAnsi" w:hAnsiTheme="minorHAnsi" w:cs="Arial"/>
          <w:lang w:val="es-CO"/>
        </w:rPr>
      </w:pPr>
    </w:p>
    <w:tbl>
      <w:tblPr>
        <w:tblStyle w:val="Cuadrculaclara-nfasis1"/>
        <w:tblW w:w="8379" w:type="dxa"/>
        <w:jc w:val="center"/>
        <w:tblLook w:val="04A0" w:firstRow="1" w:lastRow="0" w:firstColumn="1" w:lastColumn="0" w:noHBand="0" w:noVBand="1"/>
      </w:tblPr>
      <w:tblGrid>
        <w:gridCol w:w="1908"/>
        <w:gridCol w:w="6471"/>
      </w:tblGrid>
      <w:tr w:rsidR="00477C33" w:rsidRPr="00477C33" w:rsidTr="004B2402">
        <w:trPr>
          <w:cnfStyle w:val="100000000000" w:firstRow="1" w:lastRow="0" w:firstColumn="0" w:lastColumn="0" w:oddVBand="0" w:evenVBand="0" w:oddHBand="0" w:evenHBand="0" w:firstRowFirstColumn="0" w:firstRowLastColumn="0" w:lastRowFirstColumn="0" w:lastRowLastColumn="0"/>
          <w:trHeight w:val="56"/>
          <w:tblHeader/>
          <w:jc w:val="center"/>
        </w:trPr>
        <w:tc>
          <w:tcPr>
            <w:cnfStyle w:val="001000000000" w:firstRow="0" w:lastRow="0" w:firstColumn="1" w:lastColumn="0" w:oddVBand="0" w:evenVBand="0" w:oddHBand="0" w:evenHBand="0" w:firstRowFirstColumn="0" w:firstRowLastColumn="0" w:lastRowFirstColumn="0" w:lastRowLastColumn="0"/>
            <w:tcW w:w="1908" w:type="dxa"/>
            <w:vMerge w:val="restart"/>
            <w:vAlign w:val="center"/>
            <w:hideMark/>
          </w:tcPr>
          <w:p w:rsidR="00477C33" w:rsidRPr="00477C33" w:rsidRDefault="00477C33" w:rsidP="004B2402">
            <w:pPr>
              <w:spacing w:after="0"/>
              <w:jc w:val="center"/>
              <w:rPr>
                <w:rFonts w:asciiTheme="minorHAnsi" w:eastAsia="Times New Roman" w:hAnsiTheme="minorHAnsi" w:cs="Arial"/>
                <w:b w:val="0"/>
                <w:bCs w:val="0"/>
                <w:color w:val="000000"/>
                <w:sz w:val="18"/>
                <w:szCs w:val="18"/>
                <w:lang w:val="es-CO" w:eastAsia="es-CO"/>
              </w:rPr>
            </w:pPr>
            <w:r w:rsidRPr="00477C33">
              <w:rPr>
                <w:rFonts w:asciiTheme="minorHAnsi" w:eastAsia="Times New Roman" w:hAnsiTheme="minorHAnsi" w:cs="Arial"/>
                <w:color w:val="000000"/>
                <w:sz w:val="18"/>
                <w:szCs w:val="18"/>
                <w:lang w:eastAsia="es-CO"/>
              </w:rPr>
              <w:t>Objetivo Institucional</w:t>
            </w:r>
          </w:p>
        </w:tc>
        <w:tc>
          <w:tcPr>
            <w:tcW w:w="6471" w:type="dxa"/>
            <w:noWrap/>
            <w:vAlign w:val="center"/>
            <w:hideMark/>
          </w:tcPr>
          <w:p w:rsidR="00477C33" w:rsidRPr="00477C33" w:rsidRDefault="00477C33" w:rsidP="004B2402">
            <w:pPr>
              <w:spacing w:after="0"/>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Arial"/>
                <w:b w:val="0"/>
                <w:bCs w:val="0"/>
                <w:color w:val="000000"/>
                <w:sz w:val="18"/>
                <w:szCs w:val="18"/>
                <w:lang w:val="es-CO" w:eastAsia="es-CO"/>
              </w:rPr>
            </w:pPr>
            <w:r w:rsidRPr="00477C33">
              <w:rPr>
                <w:rFonts w:asciiTheme="minorHAnsi" w:eastAsia="Times New Roman" w:hAnsiTheme="minorHAnsi" w:cs="Arial"/>
                <w:color w:val="000000"/>
                <w:sz w:val="18"/>
                <w:szCs w:val="18"/>
                <w:lang w:eastAsia="es-CO"/>
              </w:rPr>
              <w:t>Proyectos institucionales 2013 - 2019</w:t>
            </w:r>
          </w:p>
        </w:tc>
      </w:tr>
      <w:tr w:rsidR="00477C33" w:rsidRPr="00477C33" w:rsidTr="004B2402">
        <w:trPr>
          <w:cnfStyle w:val="100000000000" w:firstRow="1" w:lastRow="0" w:firstColumn="0" w:lastColumn="0" w:oddVBand="0" w:evenVBand="0" w:oddHBand="0" w:evenHBand="0" w:firstRowFirstColumn="0" w:firstRowLastColumn="0" w:lastRowFirstColumn="0" w:lastRowLastColumn="0"/>
          <w:trHeight w:val="300"/>
          <w:tblHeader/>
          <w:jc w:val="center"/>
        </w:trPr>
        <w:tc>
          <w:tcPr>
            <w:cnfStyle w:val="001000000000" w:firstRow="0" w:lastRow="0" w:firstColumn="1" w:lastColumn="0" w:oddVBand="0" w:evenVBand="0" w:oddHBand="0" w:evenHBand="0" w:firstRowFirstColumn="0" w:firstRowLastColumn="0" w:lastRowFirstColumn="0" w:lastRowLastColumn="0"/>
            <w:tcW w:w="1908" w:type="dxa"/>
            <w:vMerge/>
            <w:hideMark/>
          </w:tcPr>
          <w:p w:rsidR="00477C33" w:rsidRPr="00477C33" w:rsidRDefault="00477C33" w:rsidP="005678E7">
            <w:pPr>
              <w:spacing w:after="0"/>
              <w:rPr>
                <w:rFonts w:asciiTheme="minorHAnsi" w:eastAsia="Times New Roman" w:hAnsiTheme="minorHAnsi" w:cs="Arial"/>
                <w:b w:val="0"/>
                <w:bCs w:val="0"/>
                <w:color w:val="000000"/>
                <w:sz w:val="18"/>
                <w:szCs w:val="18"/>
                <w:lang w:val="es-CO" w:eastAsia="es-CO"/>
              </w:rPr>
            </w:pPr>
          </w:p>
        </w:tc>
        <w:tc>
          <w:tcPr>
            <w:tcW w:w="6471" w:type="dxa"/>
            <w:vAlign w:val="center"/>
            <w:hideMark/>
          </w:tcPr>
          <w:p w:rsidR="00477C33" w:rsidRPr="00477C33" w:rsidRDefault="00477C33" w:rsidP="004B2402">
            <w:pPr>
              <w:spacing w:after="0"/>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Arial"/>
                <w:b w:val="0"/>
                <w:bCs w:val="0"/>
                <w:color w:val="000000"/>
                <w:sz w:val="18"/>
                <w:szCs w:val="18"/>
                <w:lang w:val="es-CO" w:eastAsia="es-CO"/>
              </w:rPr>
            </w:pPr>
            <w:r w:rsidRPr="00477C33">
              <w:rPr>
                <w:rFonts w:asciiTheme="minorHAnsi" w:eastAsia="Times New Roman" w:hAnsiTheme="minorHAnsi" w:cs="Arial"/>
                <w:color w:val="000000"/>
                <w:sz w:val="18"/>
                <w:szCs w:val="18"/>
                <w:lang w:eastAsia="es-CO"/>
              </w:rPr>
              <w:t>Proyecto</w:t>
            </w:r>
          </w:p>
        </w:tc>
      </w:tr>
      <w:tr w:rsidR="00477C33" w:rsidRPr="00477C33" w:rsidTr="00477C33">
        <w:trPr>
          <w:cnfStyle w:val="000000100000" w:firstRow="0" w:lastRow="0" w:firstColumn="0" w:lastColumn="0" w:oddVBand="0" w:evenVBand="0" w:oddHBand="1" w:evenHBand="0" w:firstRowFirstColumn="0" w:firstRowLastColumn="0" w:lastRowFirstColumn="0" w:lastRowLastColumn="0"/>
          <w:trHeight w:val="70"/>
          <w:jc w:val="center"/>
        </w:trPr>
        <w:tc>
          <w:tcPr>
            <w:cnfStyle w:val="001000000000" w:firstRow="0" w:lastRow="0" w:firstColumn="1" w:lastColumn="0" w:oddVBand="0" w:evenVBand="0" w:oddHBand="0" w:evenHBand="0" w:firstRowFirstColumn="0" w:firstRowLastColumn="0" w:lastRowFirstColumn="0" w:lastRowLastColumn="0"/>
            <w:tcW w:w="1908" w:type="dxa"/>
            <w:vMerge w:val="restart"/>
            <w:hideMark/>
          </w:tcPr>
          <w:p w:rsidR="00477C33" w:rsidRPr="00477C33" w:rsidRDefault="00477C33" w:rsidP="005678E7">
            <w:pPr>
              <w:spacing w:after="0"/>
              <w:jc w:val="center"/>
              <w:rPr>
                <w:rFonts w:asciiTheme="minorHAnsi" w:eastAsia="Times New Roman" w:hAnsiTheme="minorHAnsi" w:cs="Arial"/>
                <w:color w:val="000000"/>
                <w:sz w:val="18"/>
                <w:szCs w:val="18"/>
                <w:lang w:val="es-CO" w:eastAsia="es-CO"/>
              </w:rPr>
            </w:pPr>
            <w:r w:rsidRPr="00477C33">
              <w:rPr>
                <w:rFonts w:asciiTheme="minorHAnsi" w:eastAsia="Times New Roman" w:hAnsiTheme="minorHAnsi" w:cs="Arial"/>
                <w:color w:val="000000"/>
                <w:sz w:val="18"/>
                <w:szCs w:val="18"/>
                <w:lang w:eastAsia="es-CO"/>
              </w:rPr>
              <w:t>Desarrollo Institucional</w:t>
            </w:r>
          </w:p>
        </w:tc>
        <w:tc>
          <w:tcPr>
            <w:tcW w:w="6471" w:type="dxa"/>
            <w:hideMark/>
          </w:tcPr>
          <w:p w:rsidR="00477C33" w:rsidRPr="00477C33" w:rsidRDefault="00477C33" w:rsidP="005678E7">
            <w:pPr>
              <w:spacing w:after="0"/>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Arial"/>
                <w:color w:val="000000"/>
                <w:sz w:val="18"/>
                <w:szCs w:val="18"/>
                <w:lang w:val="es-CO" w:eastAsia="es-CO"/>
              </w:rPr>
            </w:pPr>
            <w:r w:rsidRPr="00477C33">
              <w:rPr>
                <w:rFonts w:asciiTheme="minorHAnsi" w:eastAsia="Times New Roman" w:hAnsiTheme="minorHAnsi" w:cs="Arial"/>
                <w:color w:val="000000"/>
                <w:sz w:val="18"/>
                <w:szCs w:val="18"/>
                <w:lang w:eastAsia="es-CO"/>
              </w:rPr>
              <w:t xml:space="preserve">Desarrollo Físico y sostenibilidad Ambiental </w:t>
            </w:r>
          </w:p>
        </w:tc>
      </w:tr>
      <w:tr w:rsidR="00477C33" w:rsidRPr="00477C33" w:rsidTr="00477C33">
        <w:trPr>
          <w:cnfStyle w:val="000000010000" w:firstRow="0" w:lastRow="0" w:firstColumn="0" w:lastColumn="0" w:oddVBand="0" w:evenVBand="0" w:oddHBand="0" w:evenHBand="1" w:firstRowFirstColumn="0" w:firstRowLastColumn="0" w:lastRowFirstColumn="0" w:lastRowLastColumn="0"/>
          <w:trHeight w:val="70"/>
          <w:jc w:val="center"/>
        </w:trPr>
        <w:tc>
          <w:tcPr>
            <w:cnfStyle w:val="001000000000" w:firstRow="0" w:lastRow="0" w:firstColumn="1" w:lastColumn="0" w:oddVBand="0" w:evenVBand="0" w:oddHBand="0" w:evenHBand="0" w:firstRowFirstColumn="0" w:firstRowLastColumn="0" w:lastRowFirstColumn="0" w:lastRowLastColumn="0"/>
            <w:tcW w:w="1908" w:type="dxa"/>
            <w:vMerge/>
            <w:hideMark/>
          </w:tcPr>
          <w:p w:rsidR="00477C33" w:rsidRPr="00477C33" w:rsidRDefault="00477C33" w:rsidP="005678E7">
            <w:pPr>
              <w:spacing w:after="0"/>
              <w:rPr>
                <w:rFonts w:asciiTheme="minorHAnsi" w:eastAsia="Times New Roman" w:hAnsiTheme="minorHAnsi" w:cs="Arial"/>
                <w:color w:val="000000"/>
                <w:sz w:val="18"/>
                <w:szCs w:val="18"/>
                <w:lang w:val="es-CO" w:eastAsia="es-CO"/>
              </w:rPr>
            </w:pPr>
          </w:p>
        </w:tc>
        <w:tc>
          <w:tcPr>
            <w:tcW w:w="6471" w:type="dxa"/>
            <w:hideMark/>
          </w:tcPr>
          <w:p w:rsidR="00477C33" w:rsidRPr="00477C33" w:rsidRDefault="00477C33" w:rsidP="005678E7">
            <w:pPr>
              <w:spacing w:after="0"/>
              <w:jc w:val="cente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s="Arial"/>
                <w:color w:val="000000"/>
                <w:sz w:val="18"/>
                <w:szCs w:val="18"/>
                <w:lang w:val="es-CO" w:eastAsia="es-CO"/>
              </w:rPr>
            </w:pPr>
            <w:r w:rsidRPr="00477C33">
              <w:rPr>
                <w:rFonts w:asciiTheme="minorHAnsi" w:eastAsia="Times New Roman" w:hAnsiTheme="minorHAnsi" w:cs="Arial"/>
                <w:color w:val="000000"/>
                <w:sz w:val="18"/>
                <w:szCs w:val="18"/>
                <w:lang w:eastAsia="es-CO"/>
              </w:rPr>
              <w:t>Desarrollo Tecnológico</w:t>
            </w:r>
          </w:p>
        </w:tc>
      </w:tr>
      <w:tr w:rsidR="00477C33" w:rsidRPr="00477C33" w:rsidTr="00477C33">
        <w:trPr>
          <w:cnfStyle w:val="000000100000" w:firstRow="0" w:lastRow="0" w:firstColumn="0" w:lastColumn="0" w:oddVBand="0" w:evenVBand="0" w:oddHBand="1" w:evenHBand="0" w:firstRowFirstColumn="0" w:firstRowLastColumn="0" w:lastRowFirstColumn="0" w:lastRowLastColumn="0"/>
          <w:trHeight w:val="70"/>
          <w:jc w:val="center"/>
        </w:trPr>
        <w:tc>
          <w:tcPr>
            <w:cnfStyle w:val="001000000000" w:firstRow="0" w:lastRow="0" w:firstColumn="1" w:lastColumn="0" w:oddVBand="0" w:evenVBand="0" w:oddHBand="0" w:evenHBand="0" w:firstRowFirstColumn="0" w:firstRowLastColumn="0" w:lastRowFirstColumn="0" w:lastRowLastColumn="0"/>
            <w:tcW w:w="1908" w:type="dxa"/>
            <w:vMerge/>
            <w:hideMark/>
          </w:tcPr>
          <w:p w:rsidR="00477C33" w:rsidRPr="00477C33" w:rsidRDefault="00477C33" w:rsidP="005678E7">
            <w:pPr>
              <w:spacing w:after="0"/>
              <w:rPr>
                <w:rFonts w:asciiTheme="minorHAnsi" w:eastAsia="Times New Roman" w:hAnsiTheme="minorHAnsi" w:cs="Arial"/>
                <w:color w:val="000000"/>
                <w:sz w:val="18"/>
                <w:szCs w:val="18"/>
                <w:lang w:val="es-CO" w:eastAsia="es-CO"/>
              </w:rPr>
            </w:pPr>
          </w:p>
        </w:tc>
        <w:tc>
          <w:tcPr>
            <w:tcW w:w="6471" w:type="dxa"/>
            <w:hideMark/>
          </w:tcPr>
          <w:p w:rsidR="00477C33" w:rsidRPr="00477C33" w:rsidRDefault="00477C33" w:rsidP="005678E7">
            <w:pPr>
              <w:spacing w:after="0"/>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Arial"/>
                <w:color w:val="000000"/>
                <w:sz w:val="18"/>
                <w:szCs w:val="18"/>
                <w:lang w:val="es-CO" w:eastAsia="es-CO"/>
              </w:rPr>
            </w:pPr>
            <w:r w:rsidRPr="00477C33">
              <w:rPr>
                <w:rFonts w:asciiTheme="minorHAnsi" w:eastAsia="Times New Roman" w:hAnsiTheme="minorHAnsi" w:cs="Arial"/>
                <w:color w:val="000000"/>
                <w:sz w:val="18"/>
                <w:szCs w:val="18"/>
                <w:lang w:eastAsia="es-CO"/>
              </w:rPr>
              <w:t>Gestión Organizacional</w:t>
            </w:r>
          </w:p>
        </w:tc>
      </w:tr>
      <w:tr w:rsidR="00477C33" w:rsidRPr="00477C33" w:rsidTr="00477C33">
        <w:trPr>
          <w:cnfStyle w:val="000000010000" w:firstRow="0" w:lastRow="0" w:firstColumn="0" w:lastColumn="0" w:oddVBand="0" w:evenVBand="0" w:oddHBand="0" w:evenHBand="1" w:firstRowFirstColumn="0" w:firstRowLastColumn="0" w:lastRowFirstColumn="0" w:lastRowLastColumn="0"/>
          <w:trHeight w:val="70"/>
          <w:jc w:val="center"/>
        </w:trPr>
        <w:tc>
          <w:tcPr>
            <w:cnfStyle w:val="001000000000" w:firstRow="0" w:lastRow="0" w:firstColumn="1" w:lastColumn="0" w:oddVBand="0" w:evenVBand="0" w:oddHBand="0" w:evenHBand="0" w:firstRowFirstColumn="0" w:firstRowLastColumn="0" w:lastRowFirstColumn="0" w:lastRowLastColumn="0"/>
            <w:tcW w:w="1908" w:type="dxa"/>
            <w:vMerge/>
            <w:hideMark/>
          </w:tcPr>
          <w:p w:rsidR="00477C33" w:rsidRPr="00477C33" w:rsidRDefault="00477C33" w:rsidP="005678E7">
            <w:pPr>
              <w:spacing w:after="0"/>
              <w:rPr>
                <w:rFonts w:asciiTheme="minorHAnsi" w:eastAsia="Times New Roman" w:hAnsiTheme="minorHAnsi" w:cs="Arial"/>
                <w:color w:val="000000"/>
                <w:sz w:val="18"/>
                <w:szCs w:val="18"/>
                <w:lang w:val="es-CO" w:eastAsia="es-CO"/>
              </w:rPr>
            </w:pPr>
          </w:p>
        </w:tc>
        <w:tc>
          <w:tcPr>
            <w:tcW w:w="6471" w:type="dxa"/>
            <w:hideMark/>
          </w:tcPr>
          <w:p w:rsidR="00477C33" w:rsidRPr="00477C33" w:rsidRDefault="00477C33" w:rsidP="005678E7">
            <w:pPr>
              <w:spacing w:after="0"/>
              <w:jc w:val="cente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s="Arial"/>
                <w:color w:val="000000"/>
                <w:sz w:val="18"/>
                <w:szCs w:val="18"/>
                <w:lang w:val="es-CO" w:eastAsia="es-CO"/>
              </w:rPr>
            </w:pPr>
            <w:r w:rsidRPr="00477C33">
              <w:rPr>
                <w:rFonts w:asciiTheme="minorHAnsi" w:eastAsia="Times New Roman" w:hAnsiTheme="minorHAnsi" w:cs="Arial"/>
                <w:color w:val="000000"/>
                <w:sz w:val="18"/>
                <w:szCs w:val="18"/>
                <w:lang w:eastAsia="es-CO"/>
              </w:rPr>
              <w:t>Gestión Financiera</w:t>
            </w:r>
          </w:p>
        </w:tc>
      </w:tr>
      <w:tr w:rsidR="00477C33" w:rsidRPr="00477C33" w:rsidTr="00477C33">
        <w:trPr>
          <w:cnfStyle w:val="000000100000" w:firstRow="0" w:lastRow="0" w:firstColumn="0" w:lastColumn="0" w:oddVBand="0" w:evenVBand="0" w:oddHBand="1" w:evenHBand="0" w:firstRowFirstColumn="0" w:firstRowLastColumn="0" w:lastRowFirstColumn="0" w:lastRowLastColumn="0"/>
          <w:trHeight w:val="70"/>
          <w:jc w:val="center"/>
        </w:trPr>
        <w:tc>
          <w:tcPr>
            <w:cnfStyle w:val="001000000000" w:firstRow="0" w:lastRow="0" w:firstColumn="1" w:lastColumn="0" w:oddVBand="0" w:evenVBand="0" w:oddHBand="0" w:evenHBand="0" w:firstRowFirstColumn="0" w:firstRowLastColumn="0" w:lastRowFirstColumn="0" w:lastRowLastColumn="0"/>
            <w:tcW w:w="1908" w:type="dxa"/>
            <w:vMerge w:val="restart"/>
            <w:hideMark/>
          </w:tcPr>
          <w:p w:rsidR="00477C33" w:rsidRPr="00477C33" w:rsidRDefault="00477C33" w:rsidP="005678E7">
            <w:pPr>
              <w:spacing w:after="0"/>
              <w:jc w:val="center"/>
              <w:rPr>
                <w:rFonts w:asciiTheme="minorHAnsi" w:eastAsia="Times New Roman" w:hAnsiTheme="minorHAnsi" w:cs="Arial"/>
                <w:color w:val="000000"/>
                <w:sz w:val="18"/>
                <w:szCs w:val="18"/>
                <w:lang w:val="es-CO" w:eastAsia="es-CO"/>
              </w:rPr>
            </w:pPr>
            <w:r w:rsidRPr="00477C33">
              <w:rPr>
                <w:rFonts w:asciiTheme="minorHAnsi" w:eastAsia="Times New Roman" w:hAnsiTheme="minorHAnsi" w:cs="Arial"/>
                <w:color w:val="000000"/>
                <w:sz w:val="18"/>
                <w:szCs w:val="18"/>
                <w:lang w:eastAsia="es-CO"/>
              </w:rPr>
              <w:t>Cobertura con calidad de la oferta educativa</w:t>
            </w:r>
          </w:p>
        </w:tc>
        <w:tc>
          <w:tcPr>
            <w:tcW w:w="6471" w:type="dxa"/>
            <w:hideMark/>
          </w:tcPr>
          <w:p w:rsidR="00477C33" w:rsidRPr="00477C33" w:rsidRDefault="00477C33" w:rsidP="005678E7">
            <w:pPr>
              <w:spacing w:after="0"/>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Arial"/>
                <w:color w:val="000000"/>
                <w:sz w:val="18"/>
                <w:szCs w:val="18"/>
                <w:lang w:val="es-CO" w:eastAsia="es-CO"/>
              </w:rPr>
            </w:pPr>
            <w:r w:rsidRPr="00477C33">
              <w:rPr>
                <w:rFonts w:asciiTheme="minorHAnsi" w:eastAsia="Times New Roman" w:hAnsiTheme="minorHAnsi" w:cs="Arial"/>
                <w:color w:val="000000"/>
                <w:sz w:val="18"/>
                <w:szCs w:val="18"/>
                <w:lang w:eastAsia="es-CO"/>
              </w:rPr>
              <w:t>Educabilidad</w:t>
            </w:r>
          </w:p>
        </w:tc>
      </w:tr>
      <w:tr w:rsidR="00477C33" w:rsidRPr="00477C33" w:rsidTr="00477C33">
        <w:trPr>
          <w:cnfStyle w:val="000000010000" w:firstRow="0" w:lastRow="0" w:firstColumn="0" w:lastColumn="0" w:oddVBand="0" w:evenVBand="0" w:oddHBand="0" w:evenHBand="1" w:firstRowFirstColumn="0" w:firstRowLastColumn="0" w:lastRowFirstColumn="0" w:lastRowLastColumn="0"/>
          <w:trHeight w:val="70"/>
          <w:jc w:val="center"/>
        </w:trPr>
        <w:tc>
          <w:tcPr>
            <w:cnfStyle w:val="001000000000" w:firstRow="0" w:lastRow="0" w:firstColumn="1" w:lastColumn="0" w:oddVBand="0" w:evenVBand="0" w:oddHBand="0" w:evenHBand="0" w:firstRowFirstColumn="0" w:firstRowLastColumn="0" w:lastRowFirstColumn="0" w:lastRowLastColumn="0"/>
            <w:tcW w:w="1908" w:type="dxa"/>
            <w:vMerge/>
            <w:hideMark/>
          </w:tcPr>
          <w:p w:rsidR="00477C33" w:rsidRPr="00477C33" w:rsidRDefault="00477C33" w:rsidP="005678E7">
            <w:pPr>
              <w:spacing w:after="0"/>
              <w:rPr>
                <w:rFonts w:asciiTheme="minorHAnsi" w:eastAsia="Times New Roman" w:hAnsiTheme="minorHAnsi" w:cs="Arial"/>
                <w:color w:val="000000"/>
                <w:sz w:val="18"/>
                <w:szCs w:val="18"/>
                <w:lang w:val="es-CO" w:eastAsia="es-CO"/>
              </w:rPr>
            </w:pPr>
          </w:p>
        </w:tc>
        <w:tc>
          <w:tcPr>
            <w:tcW w:w="6471" w:type="dxa"/>
            <w:hideMark/>
          </w:tcPr>
          <w:p w:rsidR="00477C33" w:rsidRPr="00477C33" w:rsidRDefault="00477C33" w:rsidP="005678E7">
            <w:pPr>
              <w:spacing w:after="0"/>
              <w:jc w:val="cente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s="Arial"/>
                <w:color w:val="000000"/>
                <w:sz w:val="18"/>
                <w:szCs w:val="18"/>
                <w:lang w:val="es-CO" w:eastAsia="es-CO"/>
              </w:rPr>
            </w:pPr>
            <w:r w:rsidRPr="00477C33">
              <w:rPr>
                <w:rFonts w:asciiTheme="minorHAnsi" w:eastAsia="Times New Roman" w:hAnsiTheme="minorHAnsi" w:cs="Arial"/>
                <w:color w:val="000000"/>
                <w:sz w:val="18"/>
                <w:szCs w:val="18"/>
                <w:lang w:eastAsia="es-CO"/>
              </w:rPr>
              <w:t>Educatividad</w:t>
            </w:r>
          </w:p>
        </w:tc>
      </w:tr>
      <w:tr w:rsidR="00477C33" w:rsidRPr="00477C33" w:rsidTr="00477C33">
        <w:trPr>
          <w:cnfStyle w:val="000000100000" w:firstRow="0" w:lastRow="0" w:firstColumn="0" w:lastColumn="0" w:oddVBand="0" w:evenVBand="0" w:oddHBand="1" w:evenHBand="0" w:firstRowFirstColumn="0" w:firstRowLastColumn="0" w:lastRowFirstColumn="0" w:lastRowLastColumn="0"/>
          <w:trHeight w:val="70"/>
          <w:jc w:val="center"/>
        </w:trPr>
        <w:tc>
          <w:tcPr>
            <w:cnfStyle w:val="001000000000" w:firstRow="0" w:lastRow="0" w:firstColumn="1" w:lastColumn="0" w:oddVBand="0" w:evenVBand="0" w:oddHBand="0" w:evenHBand="0" w:firstRowFirstColumn="0" w:firstRowLastColumn="0" w:lastRowFirstColumn="0" w:lastRowLastColumn="0"/>
            <w:tcW w:w="1908" w:type="dxa"/>
            <w:vMerge/>
            <w:hideMark/>
          </w:tcPr>
          <w:p w:rsidR="00477C33" w:rsidRPr="00477C33" w:rsidRDefault="00477C33" w:rsidP="005678E7">
            <w:pPr>
              <w:spacing w:after="0"/>
              <w:rPr>
                <w:rFonts w:asciiTheme="minorHAnsi" w:eastAsia="Times New Roman" w:hAnsiTheme="minorHAnsi" w:cs="Arial"/>
                <w:color w:val="000000"/>
                <w:sz w:val="18"/>
                <w:szCs w:val="18"/>
                <w:lang w:val="es-CO" w:eastAsia="es-CO"/>
              </w:rPr>
            </w:pPr>
          </w:p>
        </w:tc>
        <w:tc>
          <w:tcPr>
            <w:tcW w:w="6471" w:type="dxa"/>
            <w:hideMark/>
          </w:tcPr>
          <w:p w:rsidR="00477C33" w:rsidRPr="00477C33" w:rsidRDefault="00477C33" w:rsidP="005678E7">
            <w:pPr>
              <w:spacing w:after="0"/>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Arial"/>
                <w:color w:val="000000"/>
                <w:sz w:val="18"/>
                <w:szCs w:val="18"/>
                <w:lang w:val="es-CO" w:eastAsia="es-CO"/>
              </w:rPr>
            </w:pPr>
            <w:r w:rsidRPr="00477C33">
              <w:rPr>
                <w:rFonts w:asciiTheme="minorHAnsi" w:eastAsia="Times New Roman" w:hAnsiTheme="minorHAnsi" w:cs="Arial"/>
                <w:color w:val="000000"/>
                <w:sz w:val="18"/>
                <w:szCs w:val="18"/>
                <w:lang w:eastAsia="es-CO"/>
              </w:rPr>
              <w:t>Enseñabilidad</w:t>
            </w:r>
          </w:p>
        </w:tc>
      </w:tr>
      <w:tr w:rsidR="00477C33" w:rsidRPr="00477C33" w:rsidTr="00477C33">
        <w:trPr>
          <w:cnfStyle w:val="000000010000" w:firstRow="0" w:lastRow="0" w:firstColumn="0" w:lastColumn="0" w:oddVBand="0" w:evenVBand="0" w:oddHBand="0" w:evenHBand="1" w:firstRowFirstColumn="0" w:firstRowLastColumn="0" w:lastRowFirstColumn="0" w:lastRowLastColumn="0"/>
          <w:trHeight w:val="70"/>
          <w:jc w:val="center"/>
        </w:trPr>
        <w:tc>
          <w:tcPr>
            <w:cnfStyle w:val="001000000000" w:firstRow="0" w:lastRow="0" w:firstColumn="1" w:lastColumn="0" w:oddVBand="0" w:evenVBand="0" w:oddHBand="0" w:evenHBand="0" w:firstRowFirstColumn="0" w:firstRowLastColumn="0" w:lastRowFirstColumn="0" w:lastRowLastColumn="0"/>
            <w:tcW w:w="1908" w:type="dxa"/>
            <w:vMerge/>
            <w:hideMark/>
          </w:tcPr>
          <w:p w:rsidR="00477C33" w:rsidRPr="00477C33" w:rsidRDefault="00477C33" w:rsidP="005678E7">
            <w:pPr>
              <w:spacing w:after="0"/>
              <w:rPr>
                <w:rFonts w:asciiTheme="minorHAnsi" w:eastAsia="Times New Roman" w:hAnsiTheme="minorHAnsi" w:cs="Arial"/>
                <w:color w:val="000000"/>
                <w:sz w:val="18"/>
                <w:szCs w:val="18"/>
                <w:lang w:val="es-CO" w:eastAsia="es-CO"/>
              </w:rPr>
            </w:pPr>
          </w:p>
        </w:tc>
        <w:tc>
          <w:tcPr>
            <w:tcW w:w="6471" w:type="dxa"/>
            <w:hideMark/>
          </w:tcPr>
          <w:p w:rsidR="00477C33" w:rsidRPr="00477C33" w:rsidRDefault="00477C33" w:rsidP="005678E7">
            <w:pPr>
              <w:spacing w:after="0"/>
              <w:jc w:val="cente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s="Arial"/>
                <w:color w:val="000000"/>
                <w:sz w:val="18"/>
                <w:szCs w:val="18"/>
                <w:lang w:val="es-CO" w:eastAsia="es-CO"/>
              </w:rPr>
            </w:pPr>
            <w:r w:rsidRPr="00477C33">
              <w:rPr>
                <w:rFonts w:asciiTheme="minorHAnsi" w:eastAsia="Times New Roman" w:hAnsiTheme="minorHAnsi" w:cs="Arial"/>
                <w:color w:val="000000"/>
                <w:sz w:val="18"/>
                <w:szCs w:val="18"/>
                <w:lang w:eastAsia="es-CO"/>
              </w:rPr>
              <w:t>Aprendibilidad</w:t>
            </w:r>
          </w:p>
        </w:tc>
      </w:tr>
      <w:tr w:rsidR="00477C33" w:rsidRPr="00477C33" w:rsidTr="00477C33">
        <w:trPr>
          <w:cnfStyle w:val="000000100000" w:firstRow="0" w:lastRow="0" w:firstColumn="0" w:lastColumn="0" w:oddVBand="0" w:evenVBand="0" w:oddHBand="1" w:evenHBand="0" w:firstRowFirstColumn="0" w:firstRowLastColumn="0" w:lastRowFirstColumn="0" w:lastRowLastColumn="0"/>
          <w:trHeight w:val="70"/>
          <w:jc w:val="center"/>
        </w:trPr>
        <w:tc>
          <w:tcPr>
            <w:cnfStyle w:val="001000000000" w:firstRow="0" w:lastRow="0" w:firstColumn="1" w:lastColumn="0" w:oddVBand="0" w:evenVBand="0" w:oddHBand="0" w:evenHBand="0" w:firstRowFirstColumn="0" w:firstRowLastColumn="0" w:lastRowFirstColumn="0" w:lastRowLastColumn="0"/>
            <w:tcW w:w="1908" w:type="dxa"/>
            <w:vMerge/>
            <w:hideMark/>
          </w:tcPr>
          <w:p w:rsidR="00477C33" w:rsidRPr="00477C33" w:rsidRDefault="00477C33" w:rsidP="005678E7">
            <w:pPr>
              <w:spacing w:after="0"/>
              <w:rPr>
                <w:rFonts w:asciiTheme="minorHAnsi" w:eastAsia="Times New Roman" w:hAnsiTheme="minorHAnsi" w:cs="Arial"/>
                <w:color w:val="000000"/>
                <w:sz w:val="18"/>
                <w:szCs w:val="18"/>
                <w:lang w:val="es-CO" w:eastAsia="es-CO"/>
              </w:rPr>
            </w:pPr>
          </w:p>
        </w:tc>
        <w:tc>
          <w:tcPr>
            <w:tcW w:w="6471" w:type="dxa"/>
            <w:hideMark/>
          </w:tcPr>
          <w:p w:rsidR="00477C33" w:rsidRPr="00477C33" w:rsidRDefault="00477C33" w:rsidP="005678E7">
            <w:pPr>
              <w:spacing w:after="0"/>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Arial"/>
                <w:color w:val="000000"/>
                <w:sz w:val="18"/>
                <w:szCs w:val="18"/>
                <w:lang w:val="es-CO" w:eastAsia="es-CO"/>
              </w:rPr>
            </w:pPr>
            <w:r w:rsidRPr="00477C33">
              <w:rPr>
                <w:rFonts w:asciiTheme="minorHAnsi" w:eastAsia="Times New Roman" w:hAnsiTheme="minorHAnsi" w:cs="Arial"/>
                <w:color w:val="000000"/>
                <w:sz w:val="18"/>
                <w:szCs w:val="18"/>
                <w:lang w:eastAsia="es-CO"/>
              </w:rPr>
              <w:t>Cobertura</w:t>
            </w:r>
          </w:p>
        </w:tc>
      </w:tr>
      <w:tr w:rsidR="00477C33" w:rsidRPr="00477C33" w:rsidTr="00477C33">
        <w:trPr>
          <w:cnfStyle w:val="000000010000" w:firstRow="0" w:lastRow="0" w:firstColumn="0" w:lastColumn="0" w:oddVBand="0" w:evenVBand="0" w:oddHBand="0" w:evenHBand="1" w:firstRowFirstColumn="0" w:firstRowLastColumn="0" w:lastRowFirstColumn="0" w:lastRowLastColumn="0"/>
          <w:trHeight w:val="70"/>
          <w:jc w:val="center"/>
        </w:trPr>
        <w:tc>
          <w:tcPr>
            <w:cnfStyle w:val="001000000000" w:firstRow="0" w:lastRow="0" w:firstColumn="1" w:lastColumn="0" w:oddVBand="0" w:evenVBand="0" w:oddHBand="0" w:evenHBand="0" w:firstRowFirstColumn="0" w:firstRowLastColumn="0" w:lastRowFirstColumn="0" w:lastRowLastColumn="0"/>
            <w:tcW w:w="1908" w:type="dxa"/>
            <w:vMerge w:val="restart"/>
            <w:hideMark/>
          </w:tcPr>
          <w:p w:rsidR="00477C33" w:rsidRPr="00477C33" w:rsidRDefault="00477C33" w:rsidP="005678E7">
            <w:pPr>
              <w:spacing w:after="0"/>
              <w:jc w:val="center"/>
              <w:rPr>
                <w:rFonts w:asciiTheme="minorHAnsi" w:eastAsia="Times New Roman" w:hAnsiTheme="minorHAnsi" w:cs="Arial"/>
                <w:color w:val="000000"/>
                <w:sz w:val="18"/>
                <w:szCs w:val="18"/>
                <w:lang w:val="es-CO" w:eastAsia="es-CO"/>
              </w:rPr>
            </w:pPr>
            <w:r w:rsidRPr="00477C33">
              <w:rPr>
                <w:rFonts w:asciiTheme="minorHAnsi" w:eastAsia="Times New Roman" w:hAnsiTheme="minorHAnsi" w:cs="Arial"/>
                <w:color w:val="000000"/>
                <w:sz w:val="18"/>
                <w:szCs w:val="18"/>
                <w:lang w:eastAsia="es-CO"/>
              </w:rPr>
              <w:t>Bienestar Institucional</w:t>
            </w:r>
          </w:p>
        </w:tc>
        <w:tc>
          <w:tcPr>
            <w:tcW w:w="6471" w:type="dxa"/>
            <w:hideMark/>
          </w:tcPr>
          <w:p w:rsidR="00477C33" w:rsidRPr="00477C33" w:rsidRDefault="00477C33" w:rsidP="005678E7">
            <w:pPr>
              <w:spacing w:after="0"/>
              <w:jc w:val="cente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s="Arial"/>
                <w:color w:val="000000"/>
                <w:sz w:val="18"/>
                <w:szCs w:val="18"/>
                <w:lang w:val="es-CO" w:eastAsia="es-CO"/>
              </w:rPr>
            </w:pPr>
            <w:r w:rsidRPr="00477C33">
              <w:rPr>
                <w:rFonts w:asciiTheme="minorHAnsi" w:eastAsia="Times New Roman" w:hAnsiTheme="minorHAnsi" w:cs="Arial"/>
                <w:color w:val="000000"/>
                <w:sz w:val="18"/>
                <w:szCs w:val="18"/>
                <w:lang w:eastAsia="es-CO"/>
              </w:rPr>
              <w:t>Formación Integral</w:t>
            </w:r>
          </w:p>
        </w:tc>
      </w:tr>
      <w:tr w:rsidR="00477C33" w:rsidRPr="00477C33" w:rsidTr="00477C33">
        <w:trPr>
          <w:cnfStyle w:val="000000100000" w:firstRow="0" w:lastRow="0" w:firstColumn="0" w:lastColumn="0" w:oddVBand="0" w:evenVBand="0" w:oddHBand="1" w:evenHBand="0" w:firstRowFirstColumn="0" w:firstRowLastColumn="0" w:lastRowFirstColumn="0" w:lastRowLastColumn="0"/>
          <w:trHeight w:val="70"/>
          <w:jc w:val="center"/>
        </w:trPr>
        <w:tc>
          <w:tcPr>
            <w:cnfStyle w:val="001000000000" w:firstRow="0" w:lastRow="0" w:firstColumn="1" w:lastColumn="0" w:oddVBand="0" w:evenVBand="0" w:oddHBand="0" w:evenHBand="0" w:firstRowFirstColumn="0" w:firstRowLastColumn="0" w:lastRowFirstColumn="0" w:lastRowLastColumn="0"/>
            <w:tcW w:w="1908" w:type="dxa"/>
            <w:vMerge/>
            <w:hideMark/>
          </w:tcPr>
          <w:p w:rsidR="00477C33" w:rsidRPr="00477C33" w:rsidRDefault="00477C33" w:rsidP="005678E7">
            <w:pPr>
              <w:spacing w:after="0"/>
              <w:rPr>
                <w:rFonts w:asciiTheme="minorHAnsi" w:eastAsia="Times New Roman" w:hAnsiTheme="minorHAnsi" w:cs="Arial"/>
                <w:color w:val="000000"/>
                <w:sz w:val="18"/>
                <w:szCs w:val="18"/>
                <w:lang w:val="es-CO" w:eastAsia="es-CO"/>
              </w:rPr>
            </w:pPr>
          </w:p>
        </w:tc>
        <w:tc>
          <w:tcPr>
            <w:tcW w:w="6471" w:type="dxa"/>
            <w:hideMark/>
          </w:tcPr>
          <w:p w:rsidR="00477C33" w:rsidRPr="00477C33" w:rsidRDefault="00477C33" w:rsidP="005678E7">
            <w:pPr>
              <w:spacing w:after="0"/>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Arial"/>
                <w:color w:val="000000"/>
                <w:sz w:val="18"/>
                <w:szCs w:val="18"/>
                <w:lang w:val="es-CO" w:eastAsia="es-CO"/>
              </w:rPr>
            </w:pPr>
            <w:r w:rsidRPr="00477C33">
              <w:rPr>
                <w:rFonts w:asciiTheme="minorHAnsi" w:eastAsia="Times New Roman" w:hAnsiTheme="minorHAnsi" w:cs="Arial"/>
                <w:color w:val="000000"/>
                <w:sz w:val="18"/>
                <w:szCs w:val="18"/>
                <w:lang w:eastAsia="es-CO"/>
              </w:rPr>
              <w:t>Universidad que promueve la salud</w:t>
            </w:r>
          </w:p>
        </w:tc>
      </w:tr>
      <w:tr w:rsidR="00477C33" w:rsidRPr="00477C33" w:rsidTr="00477C33">
        <w:trPr>
          <w:cnfStyle w:val="000000010000" w:firstRow="0" w:lastRow="0" w:firstColumn="0" w:lastColumn="0" w:oddVBand="0" w:evenVBand="0" w:oddHBand="0" w:evenHBand="1" w:firstRowFirstColumn="0" w:firstRowLastColumn="0" w:lastRowFirstColumn="0" w:lastRowLastColumn="0"/>
          <w:trHeight w:val="70"/>
          <w:jc w:val="center"/>
        </w:trPr>
        <w:tc>
          <w:tcPr>
            <w:cnfStyle w:val="001000000000" w:firstRow="0" w:lastRow="0" w:firstColumn="1" w:lastColumn="0" w:oddVBand="0" w:evenVBand="0" w:oddHBand="0" w:evenHBand="0" w:firstRowFirstColumn="0" w:firstRowLastColumn="0" w:lastRowFirstColumn="0" w:lastRowLastColumn="0"/>
            <w:tcW w:w="1908" w:type="dxa"/>
            <w:vMerge/>
            <w:hideMark/>
          </w:tcPr>
          <w:p w:rsidR="00477C33" w:rsidRPr="00477C33" w:rsidRDefault="00477C33" w:rsidP="005678E7">
            <w:pPr>
              <w:spacing w:after="0"/>
              <w:rPr>
                <w:rFonts w:asciiTheme="minorHAnsi" w:eastAsia="Times New Roman" w:hAnsiTheme="minorHAnsi" w:cs="Arial"/>
                <w:color w:val="000000"/>
                <w:sz w:val="18"/>
                <w:szCs w:val="18"/>
                <w:lang w:val="es-CO" w:eastAsia="es-CO"/>
              </w:rPr>
            </w:pPr>
          </w:p>
        </w:tc>
        <w:tc>
          <w:tcPr>
            <w:tcW w:w="6471" w:type="dxa"/>
            <w:hideMark/>
          </w:tcPr>
          <w:p w:rsidR="00477C33" w:rsidRPr="00477C33" w:rsidRDefault="00477C33" w:rsidP="005678E7">
            <w:pPr>
              <w:spacing w:after="0"/>
              <w:jc w:val="cente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s="Arial"/>
                <w:color w:val="000000"/>
                <w:sz w:val="18"/>
                <w:szCs w:val="18"/>
                <w:lang w:val="es-CO" w:eastAsia="es-CO"/>
              </w:rPr>
            </w:pPr>
            <w:r w:rsidRPr="00477C33">
              <w:rPr>
                <w:rFonts w:asciiTheme="minorHAnsi" w:eastAsia="Times New Roman" w:hAnsiTheme="minorHAnsi" w:cs="Arial"/>
                <w:color w:val="000000"/>
                <w:sz w:val="18"/>
                <w:szCs w:val="18"/>
                <w:lang w:eastAsia="es-CO"/>
              </w:rPr>
              <w:t>Atención integral y servicio social</w:t>
            </w:r>
          </w:p>
        </w:tc>
      </w:tr>
      <w:tr w:rsidR="00477C33" w:rsidRPr="00477C33" w:rsidTr="00477C33">
        <w:trPr>
          <w:cnfStyle w:val="000000100000" w:firstRow="0" w:lastRow="0" w:firstColumn="0" w:lastColumn="0" w:oddVBand="0" w:evenVBand="0" w:oddHBand="1" w:evenHBand="0" w:firstRowFirstColumn="0" w:firstRowLastColumn="0" w:lastRowFirstColumn="0" w:lastRowLastColumn="0"/>
          <w:trHeight w:val="70"/>
          <w:jc w:val="center"/>
        </w:trPr>
        <w:tc>
          <w:tcPr>
            <w:cnfStyle w:val="001000000000" w:firstRow="0" w:lastRow="0" w:firstColumn="1" w:lastColumn="0" w:oddVBand="0" w:evenVBand="0" w:oddHBand="0" w:evenHBand="0" w:firstRowFirstColumn="0" w:firstRowLastColumn="0" w:lastRowFirstColumn="0" w:lastRowLastColumn="0"/>
            <w:tcW w:w="1908" w:type="dxa"/>
            <w:vMerge/>
            <w:hideMark/>
          </w:tcPr>
          <w:p w:rsidR="00477C33" w:rsidRPr="00477C33" w:rsidRDefault="00477C33" w:rsidP="005678E7">
            <w:pPr>
              <w:spacing w:after="0"/>
              <w:rPr>
                <w:rFonts w:asciiTheme="minorHAnsi" w:eastAsia="Times New Roman" w:hAnsiTheme="minorHAnsi" w:cs="Arial"/>
                <w:color w:val="000000"/>
                <w:sz w:val="18"/>
                <w:szCs w:val="18"/>
                <w:lang w:val="es-CO" w:eastAsia="es-CO"/>
              </w:rPr>
            </w:pPr>
          </w:p>
        </w:tc>
        <w:tc>
          <w:tcPr>
            <w:tcW w:w="6471" w:type="dxa"/>
            <w:hideMark/>
          </w:tcPr>
          <w:p w:rsidR="00477C33" w:rsidRPr="00477C33" w:rsidRDefault="00477C33" w:rsidP="005678E7">
            <w:pPr>
              <w:spacing w:after="0"/>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Arial"/>
                <w:color w:val="000000"/>
                <w:sz w:val="18"/>
                <w:szCs w:val="18"/>
                <w:lang w:val="es-CO" w:eastAsia="es-CO"/>
              </w:rPr>
            </w:pPr>
            <w:r w:rsidRPr="00477C33">
              <w:rPr>
                <w:rFonts w:asciiTheme="minorHAnsi" w:eastAsia="Times New Roman" w:hAnsiTheme="minorHAnsi" w:cs="Arial"/>
                <w:color w:val="000000"/>
                <w:sz w:val="18"/>
                <w:szCs w:val="18"/>
                <w:lang w:eastAsia="es-CO"/>
              </w:rPr>
              <w:t>Observatorio Social</w:t>
            </w:r>
          </w:p>
        </w:tc>
      </w:tr>
      <w:tr w:rsidR="00477C33" w:rsidRPr="00477C33" w:rsidTr="00477C33">
        <w:trPr>
          <w:cnfStyle w:val="000000010000" w:firstRow="0" w:lastRow="0" w:firstColumn="0" w:lastColumn="0" w:oddVBand="0" w:evenVBand="0" w:oddHBand="0" w:evenHBand="1" w:firstRowFirstColumn="0" w:firstRowLastColumn="0" w:lastRowFirstColumn="0" w:lastRowLastColumn="0"/>
          <w:trHeight w:val="70"/>
          <w:jc w:val="center"/>
        </w:trPr>
        <w:tc>
          <w:tcPr>
            <w:cnfStyle w:val="001000000000" w:firstRow="0" w:lastRow="0" w:firstColumn="1" w:lastColumn="0" w:oddVBand="0" w:evenVBand="0" w:oddHBand="0" w:evenHBand="0" w:firstRowFirstColumn="0" w:firstRowLastColumn="0" w:lastRowFirstColumn="0" w:lastRowLastColumn="0"/>
            <w:tcW w:w="1908" w:type="dxa"/>
            <w:vMerge/>
            <w:hideMark/>
          </w:tcPr>
          <w:p w:rsidR="00477C33" w:rsidRPr="00477C33" w:rsidRDefault="00477C33" w:rsidP="005678E7">
            <w:pPr>
              <w:spacing w:after="0"/>
              <w:rPr>
                <w:rFonts w:asciiTheme="minorHAnsi" w:eastAsia="Times New Roman" w:hAnsiTheme="minorHAnsi" w:cs="Arial"/>
                <w:color w:val="000000"/>
                <w:sz w:val="18"/>
                <w:szCs w:val="18"/>
                <w:lang w:val="es-CO" w:eastAsia="es-CO"/>
              </w:rPr>
            </w:pPr>
          </w:p>
        </w:tc>
        <w:tc>
          <w:tcPr>
            <w:tcW w:w="6471" w:type="dxa"/>
            <w:hideMark/>
          </w:tcPr>
          <w:p w:rsidR="00477C33" w:rsidRPr="00477C33" w:rsidRDefault="00477C33" w:rsidP="005678E7">
            <w:pPr>
              <w:spacing w:after="0"/>
              <w:jc w:val="cente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s="Arial"/>
                <w:color w:val="000000"/>
                <w:sz w:val="18"/>
                <w:szCs w:val="18"/>
                <w:lang w:val="es-CO" w:eastAsia="es-CO"/>
              </w:rPr>
            </w:pPr>
            <w:r w:rsidRPr="00477C33">
              <w:rPr>
                <w:rFonts w:asciiTheme="minorHAnsi" w:eastAsia="Times New Roman" w:hAnsiTheme="minorHAnsi" w:cs="Arial"/>
                <w:color w:val="000000"/>
                <w:sz w:val="18"/>
                <w:szCs w:val="18"/>
                <w:lang w:eastAsia="es-CO"/>
              </w:rPr>
              <w:t>Gestión Estratégica</w:t>
            </w:r>
          </w:p>
        </w:tc>
      </w:tr>
      <w:tr w:rsidR="00477C33" w:rsidRPr="00477C33" w:rsidTr="00477C33">
        <w:trPr>
          <w:cnfStyle w:val="000000100000" w:firstRow="0" w:lastRow="0" w:firstColumn="0" w:lastColumn="0" w:oddVBand="0" w:evenVBand="0" w:oddHBand="1" w:evenHBand="0" w:firstRowFirstColumn="0" w:firstRowLastColumn="0" w:lastRowFirstColumn="0" w:lastRowLastColumn="0"/>
          <w:trHeight w:val="70"/>
          <w:jc w:val="center"/>
        </w:trPr>
        <w:tc>
          <w:tcPr>
            <w:cnfStyle w:val="001000000000" w:firstRow="0" w:lastRow="0" w:firstColumn="1" w:lastColumn="0" w:oddVBand="0" w:evenVBand="0" w:oddHBand="0" w:evenHBand="0" w:firstRowFirstColumn="0" w:firstRowLastColumn="0" w:lastRowFirstColumn="0" w:lastRowLastColumn="0"/>
            <w:tcW w:w="1908" w:type="dxa"/>
            <w:vMerge w:val="restart"/>
            <w:hideMark/>
          </w:tcPr>
          <w:p w:rsidR="00477C33" w:rsidRPr="00477C33" w:rsidRDefault="00477C33" w:rsidP="005678E7">
            <w:pPr>
              <w:spacing w:after="0"/>
              <w:jc w:val="center"/>
              <w:rPr>
                <w:rFonts w:asciiTheme="minorHAnsi" w:eastAsia="Times New Roman" w:hAnsiTheme="minorHAnsi" w:cs="Arial"/>
                <w:color w:val="000000"/>
                <w:sz w:val="18"/>
                <w:szCs w:val="18"/>
                <w:lang w:val="es-CO" w:eastAsia="es-CO"/>
              </w:rPr>
            </w:pPr>
            <w:r w:rsidRPr="00477C33">
              <w:rPr>
                <w:rFonts w:asciiTheme="minorHAnsi" w:eastAsia="Times New Roman" w:hAnsiTheme="minorHAnsi" w:cs="Arial"/>
                <w:color w:val="000000"/>
                <w:sz w:val="18"/>
                <w:szCs w:val="18"/>
                <w:lang w:eastAsia="es-CO"/>
              </w:rPr>
              <w:t>Investigaciones, innovación y extensión</w:t>
            </w:r>
          </w:p>
        </w:tc>
        <w:tc>
          <w:tcPr>
            <w:tcW w:w="6471" w:type="dxa"/>
            <w:hideMark/>
          </w:tcPr>
          <w:p w:rsidR="00477C33" w:rsidRPr="00477C33" w:rsidRDefault="00477C33" w:rsidP="005678E7">
            <w:pPr>
              <w:spacing w:after="0"/>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Arial"/>
                <w:color w:val="000000"/>
                <w:sz w:val="18"/>
                <w:szCs w:val="18"/>
                <w:lang w:val="es-CO" w:eastAsia="es-CO"/>
              </w:rPr>
            </w:pPr>
            <w:r w:rsidRPr="00477C33">
              <w:rPr>
                <w:rFonts w:asciiTheme="minorHAnsi" w:eastAsia="Times New Roman" w:hAnsiTheme="minorHAnsi" w:cs="Arial"/>
                <w:color w:val="000000"/>
                <w:sz w:val="18"/>
                <w:szCs w:val="18"/>
                <w:lang w:eastAsia="es-CO"/>
              </w:rPr>
              <w:t>Convocatorias internas y externas para financiación de proyectos</w:t>
            </w:r>
          </w:p>
        </w:tc>
      </w:tr>
      <w:tr w:rsidR="00477C33" w:rsidRPr="00477C33" w:rsidTr="00477C33">
        <w:trPr>
          <w:cnfStyle w:val="000000010000" w:firstRow="0" w:lastRow="0" w:firstColumn="0" w:lastColumn="0" w:oddVBand="0" w:evenVBand="0" w:oddHBand="0" w:evenHBand="1" w:firstRowFirstColumn="0" w:firstRowLastColumn="0" w:lastRowFirstColumn="0" w:lastRowLastColumn="0"/>
          <w:trHeight w:val="70"/>
          <w:jc w:val="center"/>
        </w:trPr>
        <w:tc>
          <w:tcPr>
            <w:cnfStyle w:val="001000000000" w:firstRow="0" w:lastRow="0" w:firstColumn="1" w:lastColumn="0" w:oddVBand="0" w:evenVBand="0" w:oddHBand="0" w:evenHBand="0" w:firstRowFirstColumn="0" w:firstRowLastColumn="0" w:lastRowFirstColumn="0" w:lastRowLastColumn="0"/>
            <w:tcW w:w="1908" w:type="dxa"/>
            <w:vMerge/>
            <w:hideMark/>
          </w:tcPr>
          <w:p w:rsidR="00477C33" w:rsidRPr="00477C33" w:rsidRDefault="00477C33" w:rsidP="005678E7">
            <w:pPr>
              <w:spacing w:after="0"/>
              <w:rPr>
                <w:rFonts w:asciiTheme="minorHAnsi" w:eastAsia="Times New Roman" w:hAnsiTheme="minorHAnsi" w:cs="Arial"/>
                <w:color w:val="000000"/>
                <w:sz w:val="18"/>
                <w:szCs w:val="18"/>
                <w:lang w:val="es-CO" w:eastAsia="es-CO"/>
              </w:rPr>
            </w:pPr>
          </w:p>
        </w:tc>
        <w:tc>
          <w:tcPr>
            <w:tcW w:w="6471" w:type="dxa"/>
            <w:hideMark/>
          </w:tcPr>
          <w:p w:rsidR="00477C33" w:rsidRPr="00477C33" w:rsidRDefault="00477C33" w:rsidP="005678E7">
            <w:pPr>
              <w:spacing w:after="0"/>
              <w:jc w:val="cente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s="Arial"/>
                <w:color w:val="000000"/>
                <w:sz w:val="18"/>
                <w:szCs w:val="18"/>
                <w:lang w:val="es-CO" w:eastAsia="es-CO"/>
              </w:rPr>
            </w:pPr>
            <w:r w:rsidRPr="00477C33">
              <w:rPr>
                <w:rFonts w:asciiTheme="minorHAnsi" w:eastAsia="Times New Roman" w:hAnsiTheme="minorHAnsi" w:cs="Arial"/>
                <w:color w:val="000000"/>
                <w:sz w:val="18"/>
                <w:szCs w:val="18"/>
                <w:lang w:eastAsia="es-CO"/>
              </w:rPr>
              <w:t>Políticas de fomento de investigación, innovación y extensión</w:t>
            </w:r>
          </w:p>
        </w:tc>
      </w:tr>
      <w:tr w:rsidR="00477C33" w:rsidRPr="00477C33" w:rsidTr="00477C33">
        <w:trPr>
          <w:cnfStyle w:val="000000100000" w:firstRow="0" w:lastRow="0" w:firstColumn="0" w:lastColumn="0" w:oddVBand="0" w:evenVBand="0" w:oddHBand="1" w:evenHBand="0" w:firstRowFirstColumn="0" w:firstRowLastColumn="0" w:lastRowFirstColumn="0" w:lastRowLastColumn="0"/>
          <w:trHeight w:val="70"/>
          <w:jc w:val="center"/>
        </w:trPr>
        <w:tc>
          <w:tcPr>
            <w:cnfStyle w:val="001000000000" w:firstRow="0" w:lastRow="0" w:firstColumn="1" w:lastColumn="0" w:oddVBand="0" w:evenVBand="0" w:oddHBand="0" w:evenHBand="0" w:firstRowFirstColumn="0" w:firstRowLastColumn="0" w:lastRowFirstColumn="0" w:lastRowLastColumn="0"/>
            <w:tcW w:w="1908" w:type="dxa"/>
            <w:vMerge/>
            <w:hideMark/>
          </w:tcPr>
          <w:p w:rsidR="00477C33" w:rsidRPr="00477C33" w:rsidRDefault="00477C33" w:rsidP="005678E7">
            <w:pPr>
              <w:spacing w:after="0"/>
              <w:rPr>
                <w:rFonts w:asciiTheme="minorHAnsi" w:eastAsia="Times New Roman" w:hAnsiTheme="minorHAnsi" w:cs="Arial"/>
                <w:color w:val="000000"/>
                <w:sz w:val="18"/>
                <w:szCs w:val="18"/>
                <w:lang w:val="es-CO" w:eastAsia="es-CO"/>
              </w:rPr>
            </w:pPr>
          </w:p>
        </w:tc>
        <w:tc>
          <w:tcPr>
            <w:tcW w:w="6471" w:type="dxa"/>
            <w:hideMark/>
          </w:tcPr>
          <w:p w:rsidR="00477C33" w:rsidRPr="00477C33" w:rsidRDefault="00477C33" w:rsidP="005678E7">
            <w:pPr>
              <w:spacing w:after="0"/>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Arial"/>
                <w:color w:val="000000"/>
                <w:sz w:val="18"/>
                <w:szCs w:val="18"/>
                <w:lang w:val="es-CO" w:eastAsia="es-CO"/>
              </w:rPr>
            </w:pPr>
            <w:r w:rsidRPr="00477C33">
              <w:rPr>
                <w:rFonts w:asciiTheme="minorHAnsi" w:eastAsia="Times New Roman" w:hAnsiTheme="minorHAnsi" w:cs="Arial"/>
                <w:color w:val="000000"/>
                <w:sz w:val="18"/>
                <w:szCs w:val="18"/>
                <w:lang w:eastAsia="es-CO"/>
              </w:rPr>
              <w:t>Relación Universidad - Empresa - Estado y Sociedad Civil</w:t>
            </w:r>
          </w:p>
        </w:tc>
      </w:tr>
      <w:tr w:rsidR="00477C33" w:rsidRPr="00477C33" w:rsidTr="00477C33">
        <w:trPr>
          <w:cnfStyle w:val="000000010000" w:firstRow="0" w:lastRow="0" w:firstColumn="0" w:lastColumn="0" w:oddVBand="0" w:evenVBand="0" w:oddHBand="0" w:evenHBand="1" w:firstRowFirstColumn="0" w:firstRowLastColumn="0" w:lastRowFirstColumn="0" w:lastRowLastColumn="0"/>
          <w:trHeight w:val="70"/>
          <w:jc w:val="center"/>
        </w:trPr>
        <w:tc>
          <w:tcPr>
            <w:cnfStyle w:val="001000000000" w:firstRow="0" w:lastRow="0" w:firstColumn="1" w:lastColumn="0" w:oddVBand="0" w:evenVBand="0" w:oddHBand="0" w:evenHBand="0" w:firstRowFirstColumn="0" w:firstRowLastColumn="0" w:lastRowFirstColumn="0" w:lastRowLastColumn="0"/>
            <w:tcW w:w="1908" w:type="dxa"/>
            <w:vMerge w:val="restart"/>
            <w:hideMark/>
          </w:tcPr>
          <w:p w:rsidR="00477C33" w:rsidRPr="00477C33" w:rsidRDefault="00477C33" w:rsidP="005678E7">
            <w:pPr>
              <w:spacing w:after="0"/>
              <w:jc w:val="center"/>
              <w:rPr>
                <w:rFonts w:asciiTheme="minorHAnsi" w:eastAsia="Times New Roman" w:hAnsiTheme="minorHAnsi" w:cs="Arial"/>
                <w:color w:val="000000"/>
                <w:sz w:val="18"/>
                <w:szCs w:val="18"/>
                <w:lang w:val="es-CO" w:eastAsia="es-CO"/>
              </w:rPr>
            </w:pPr>
            <w:r w:rsidRPr="00477C33">
              <w:rPr>
                <w:rFonts w:asciiTheme="minorHAnsi" w:eastAsia="Times New Roman" w:hAnsiTheme="minorHAnsi" w:cs="Arial"/>
                <w:color w:val="000000"/>
                <w:sz w:val="18"/>
                <w:szCs w:val="18"/>
                <w:lang w:eastAsia="es-CO"/>
              </w:rPr>
              <w:t>Internacionalización</w:t>
            </w:r>
          </w:p>
        </w:tc>
        <w:tc>
          <w:tcPr>
            <w:tcW w:w="6471" w:type="dxa"/>
            <w:hideMark/>
          </w:tcPr>
          <w:p w:rsidR="00477C33" w:rsidRPr="00477C33" w:rsidRDefault="00477C33" w:rsidP="005678E7">
            <w:pPr>
              <w:spacing w:after="0"/>
              <w:jc w:val="cente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s="Arial"/>
                <w:color w:val="000000"/>
                <w:sz w:val="18"/>
                <w:szCs w:val="18"/>
                <w:lang w:val="es-CO" w:eastAsia="es-CO"/>
              </w:rPr>
            </w:pPr>
            <w:r w:rsidRPr="00477C33">
              <w:rPr>
                <w:rFonts w:asciiTheme="minorHAnsi" w:eastAsia="Times New Roman" w:hAnsiTheme="minorHAnsi" w:cs="Arial"/>
                <w:color w:val="000000"/>
                <w:sz w:val="18"/>
                <w:szCs w:val="18"/>
                <w:lang w:eastAsia="es-CO"/>
              </w:rPr>
              <w:t>Bilingüismo</w:t>
            </w:r>
          </w:p>
        </w:tc>
      </w:tr>
      <w:tr w:rsidR="00477C33" w:rsidRPr="00477C33" w:rsidTr="00477C33">
        <w:trPr>
          <w:cnfStyle w:val="000000100000" w:firstRow="0" w:lastRow="0" w:firstColumn="0" w:lastColumn="0" w:oddVBand="0" w:evenVBand="0" w:oddHBand="1" w:evenHBand="0" w:firstRowFirstColumn="0" w:firstRowLastColumn="0" w:lastRowFirstColumn="0" w:lastRowLastColumn="0"/>
          <w:trHeight w:val="70"/>
          <w:jc w:val="center"/>
        </w:trPr>
        <w:tc>
          <w:tcPr>
            <w:cnfStyle w:val="001000000000" w:firstRow="0" w:lastRow="0" w:firstColumn="1" w:lastColumn="0" w:oddVBand="0" w:evenVBand="0" w:oddHBand="0" w:evenHBand="0" w:firstRowFirstColumn="0" w:firstRowLastColumn="0" w:lastRowFirstColumn="0" w:lastRowLastColumn="0"/>
            <w:tcW w:w="1908" w:type="dxa"/>
            <w:vMerge/>
            <w:hideMark/>
          </w:tcPr>
          <w:p w:rsidR="00477C33" w:rsidRPr="00477C33" w:rsidRDefault="00477C33" w:rsidP="005678E7">
            <w:pPr>
              <w:spacing w:after="0"/>
              <w:rPr>
                <w:rFonts w:asciiTheme="minorHAnsi" w:eastAsia="Times New Roman" w:hAnsiTheme="minorHAnsi" w:cs="Arial"/>
                <w:color w:val="000000"/>
                <w:sz w:val="18"/>
                <w:szCs w:val="18"/>
                <w:lang w:val="es-CO" w:eastAsia="es-CO"/>
              </w:rPr>
            </w:pPr>
          </w:p>
        </w:tc>
        <w:tc>
          <w:tcPr>
            <w:tcW w:w="6471" w:type="dxa"/>
            <w:hideMark/>
          </w:tcPr>
          <w:p w:rsidR="00477C33" w:rsidRPr="00477C33" w:rsidRDefault="00477C33" w:rsidP="005678E7">
            <w:pPr>
              <w:spacing w:after="0"/>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Arial"/>
                <w:color w:val="000000"/>
                <w:sz w:val="18"/>
                <w:szCs w:val="18"/>
                <w:lang w:val="es-CO" w:eastAsia="es-CO"/>
              </w:rPr>
            </w:pPr>
            <w:r w:rsidRPr="00477C33">
              <w:rPr>
                <w:rFonts w:asciiTheme="minorHAnsi" w:eastAsia="Times New Roman" w:hAnsiTheme="minorHAnsi" w:cs="Arial"/>
                <w:color w:val="000000"/>
                <w:sz w:val="18"/>
                <w:szCs w:val="18"/>
                <w:lang w:eastAsia="es-CO"/>
              </w:rPr>
              <w:t xml:space="preserve"> Movilidad estudiantil</w:t>
            </w:r>
          </w:p>
        </w:tc>
      </w:tr>
      <w:tr w:rsidR="00477C33" w:rsidRPr="00477C33" w:rsidTr="00477C33">
        <w:trPr>
          <w:cnfStyle w:val="000000010000" w:firstRow="0" w:lastRow="0" w:firstColumn="0" w:lastColumn="0" w:oddVBand="0" w:evenVBand="0" w:oddHBand="0" w:evenHBand="1" w:firstRowFirstColumn="0" w:firstRowLastColumn="0" w:lastRowFirstColumn="0" w:lastRowLastColumn="0"/>
          <w:trHeight w:val="70"/>
          <w:jc w:val="center"/>
        </w:trPr>
        <w:tc>
          <w:tcPr>
            <w:cnfStyle w:val="001000000000" w:firstRow="0" w:lastRow="0" w:firstColumn="1" w:lastColumn="0" w:oddVBand="0" w:evenVBand="0" w:oddHBand="0" w:evenHBand="0" w:firstRowFirstColumn="0" w:firstRowLastColumn="0" w:lastRowFirstColumn="0" w:lastRowLastColumn="0"/>
            <w:tcW w:w="1908" w:type="dxa"/>
            <w:vMerge/>
            <w:hideMark/>
          </w:tcPr>
          <w:p w:rsidR="00477C33" w:rsidRPr="00477C33" w:rsidRDefault="00477C33" w:rsidP="005678E7">
            <w:pPr>
              <w:spacing w:after="0"/>
              <w:rPr>
                <w:rFonts w:asciiTheme="minorHAnsi" w:eastAsia="Times New Roman" w:hAnsiTheme="minorHAnsi" w:cs="Arial"/>
                <w:color w:val="000000"/>
                <w:sz w:val="18"/>
                <w:szCs w:val="18"/>
                <w:lang w:val="es-CO" w:eastAsia="es-CO"/>
              </w:rPr>
            </w:pPr>
          </w:p>
        </w:tc>
        <w:tc>
          <w:tcPr>
            <w:tcW w:w="6471" w:type="dxa"/>
            <w:hideMark/>
          </w:tcPr>
          <w:p w:rsidR="00477C33" w:rsidRPr="00477C33" w:rsidRDefault="00477C33" w:rsidP="005678E7">
            <w:pPr>
              <w:spacing w:after="0"/>
              <w:jc w:val="cente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s="Arial"/>
                <w:color w:val="000000"/>
                <w:sz w:val="18"/>
                <w:szCs w:val="18"/>
                <w:lang w:val="es-CO" w:eastAsia="es-CO"/>
              </w:rPr>
            </w:pPr>
            <w:r w:rsidRPr="00477C33">
              <w:rPr>
                <w:rFonts w:asciiTheme="minorHAnsi" w:eastAsia="Times New Roman" w:hAnsiTheme="minorHAnsi" w:cs="Arial"/>
                <w:color w:val="000000"/>
                <w:sz w:val="18"/>
                <w:szCs w:val="18"/>
                <w:lang w:eastAsia="es-CO"/>
              </w:rPr>
              <w:t>Pares académicos</w:t>
            </w:r>
          </w:p>
        </w:tc>
      </w:tr>
      <w:tr w:rsidR="00477C33" w:rsidRPr="00477C33" w:rsidTr="00477C33">
        <w:trPr>
          <w:cnfStyle w:val="000000100000" w:firstRow="0" w:lastRow="0" w:firstColumn="0" w:lastColumn="0" w:oddVBand="0" w:evenVBand="0" w:oddHBand="1" w:evenHBand="0" w:firstRowFirstColumn="0" w:firstRowLastColumn="0" w:lastRowFirstColumn="0" w:lastRowLastColumn="0"/>
          <w:trHeight w:val="70"/>
          <w:jc w:val="center"/>
        </w:trPr>
        <w:tc>
          <w:tcPr>
            <w:cnfStyle w:val="001000000000" w:firstRow="0" w:lastRow="0" w:firstColumn="1" w:lastColumn="0" w:oddVBand="0" w:evenVBand="0" w:oddHBand="0" w:evenHBand="0" w:firstRowFirstColumn="0" w:firstRowLastColumn="0" w:lastRowFirstColumn="0" w:lastRowLastColumn="0"/>
            <w:tcW w:w="1908" w:type="dxa"/>
            <w:vMerge w:val="restart"/>
            <w:hideMark/>
          </w:tcPr>
          <w:p w:rsidR="00477C33" w:rsidRPr="00477C33" w:rsidRDefault="00477C33" w:rsidP="005678E7">
            <w:pPr>
              <w:spacing w:after="0"/>
              <w:jc w:val="center"/>
              <w:rPr>
                <w:rFonts w:asciiTheme="minorHAnsi" w:eastAsia="Times New Roman" w:hAnsiTheme="minorHAnsi" w:cs="Arial"/>
                <w:color w:val="000000"/>
                <w:sz w:val="18"/>
                <w:szCs w:val="18"/>
                <w:lang w:val="es-CO" w:eastAsia="es-CO"/>
              </w:rPr>
            </w:pPr>
            <w:r w:rsidRPr="00477C33">
              <w:rPr>
                <w:rFonts w:asciiTheme="minorHAnsi" w:eastAsia="Times New Roman" w:hAnsiTheme="minorHAnsi" w:cs="Arial"/>
                <w:color w:val="000000"/>
                <w:sz w:val="18"/>
                <w:szCs w:val="18"/>
                <w:lang w:eastAsia="es-CO"/>
              </w:rPr>
              <w:t>Impacto regional</w:t>
            </w:r>
          </w:p>
        </w:tc>
        <w:tc>
          <w:tcPr>
            <w:tcW w:w="6471" w:type="dxa"/>
            <w:hideMark/>
          </w:tcPr>
          <w:p w:rsidR="00477C33" w:rsidRPr="00477C33" w:rsidRDefault="00477C33" w:rsidP="005678E7">
            <w:pPr>
              <w:spacing w:after="0"/>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Arial"/>
                <w:color w:val="000000"/>
                <w:sz w:val="18"/>
                <w:szCs w:val="18"/>
                <w:lang w:val="es-CO" w:eastAsia="es-CO"/>
              </w:rPr>
            </w:pPr>
            <w:r w:rsidRPr="00477C33">
              <w:rPr>
                <w:rFonts w:asciiTheme="minorHAnsi" w:eastAsia="Times New Roman" w:hAnsiTheme="minorHAnsi" w:cs="Arial"/>
                <w:color w:val="000000"/>
                <w:sz w:val="18"/>
                <w:szCs w:val="18"/>
                <w:lang w:eastAsia="es-CO"/>
              </w:rPr>
              <w:t xml:space="preserve">Alianza Universidad - empresa - estado para la transferencia del conocimiento </w:t>
            </w:r>
          </w:p>
        </w:tc>
      </w:tr>
      <w:tr w:rsidR="00477C33" w:rsidRPr="00477C33" w:rsidTr="00477C33">
        <w:trPr>
          <w:cnfStyle w:val="000000010000" w:firstRow="0" w:lastRow="0" w:firstColumn="0" w:lastColumn="0" w:oddVBand="0" w:evenVBand="0" w:oddHBand="0" w:evenHBand="1" w:firstRowFirstColumn="0" w:firstRowLastColumn="0" w:lastRowFirstColumn="0" w:lastRowLastColumn="0"/>
          <w:trHeight w:val="70"/>
          <w:jc w:val="center"/>
        </w:trPr>
        <w:tc>
          <w:tcPr>
            <w:cnfStyle w:val="001000000000" w:firstRow="0" w:lastRow="0" w:firstColumn="1" w:lastColumn="0" w:oddVBand="0" w:evenVBand="0" w:oddHBand="0" w:evenHBand="0" w:firstRowFirstColumn="0" w:firstRowLastColumn="0" w:lastRowFirstColumn="0" w:lastRowLastColumn="0"/>
            <w:tcW w:w="1908" w:type="dxa"/>
            <w:vMerge/>
            <w:hideMark/>
          </w:tcPr>
          <w:p w:rsidR="00477C33" w:rsidRPr="00477C33" w:rsidRDefault="00477C33" w:rsidP="005678E7">
            <w:pPr>
              <w:spacing w:after="0"/>
              <w:rPr>
                <w:rFonts w:asciiTheme="minorHAnsi" w:eastAsia="Times New Roman" w:hAnsiTheme="minorHAnsi" w:cs="Arial"/>
                <w:color w:val="000000"/>
                <w:sz w:val="18"/>
                <w:szCs w:val="18"/>
                <w:lang w:val="es-CO" w:eastAsia="es-CO"/>
              </w:rPr>
            </w:pPr>
          </w:p>
        </w:tc>
        <w:tc>
          <w:tcPr>
            <w:tcW w:w="6471" w:type="dxa"/>
            <w:hideMark/>
          </w:tcPr>
          <w:p w:rsidR="00477C33" w:rsidRPr="00477C33" w:rsidRDefault="00477C33" w:rsidP="005678E7">
            <w:pPr>
              <w:spacing w:after="0"/>
              <w:jc w:val="cente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s="Arial"/>
                <w:color w:val="000000"/>
                <w:sz w:val="18"/>
                <w:szCs w:val="18"/>
                <w:lang w:val="es-CO" w:eastAsia="es-CO"/>
              </w:rPr>
            </w:pPr>
            <w:r w:rsidRPr="00477C33">
              <w:rPr>
                <w:rFonts w:asciiTheme="minorHAnsi" w:eastAsia="Times New Roman" w:hAnsiTheme="minorHAnsi" w:cs="Arial"/>
                <w:color w:val="000000"/>
                <w:sz w:val="18"/>
                <w:szCs w:val="18"/>
                <w:lang w:eastAsia="es-CO"/>
              </w:rPr>
              <w:t>Contribución a la consolidación de una red de observatorios para la Ecorregión</w:t>
            </w:r>
          </w:p>
        </w:tc>
      </w:tr>
      <w:tr w:rsidR="00477C33" w:rsidRPr="00477C33" w:rsidTr="00477C33">
        <w:trPr>
          <w:cnfStyle w:val="000000100000" w:firstRow="0" w:lastRow="0" w:firstColumn="0" w:lastColumn="0" w:oddVBand="0" w:evenVBand="0" w:oddHBand="1" w:evenHBand="0" w:firstRowFirstColumn="0" w:firstRowLastColumn="0" w:lastRowFirstColumn="0" w:lastRowLastColumn="0"/>
          <w:trHeight w:val="70"/>
          <w:jc w:val="center"/>
        </w:trPr>
        <w:tc>
          <w:tcPr>
            <w:cnfStyle w:val="001000000000" w:firstRow="0" w:lastRow="0" w:firstColumn="1" w:lastColumn="0" w:oddVBand="0" w:evenVBand="0" w:oddHBand="0" w:evenHBand="0" w:firstRowFirstColumn="0" w:firstRowLastColumn="0" w:lastRowFirstColumn="0" w:lastRowLastColumn="0"/>
            <w:tcW w:w="1908" w:type="dxa"/>
            <w:vMerge/>
            <w:hideMark/>
          </w:tcPr>
          <w:p w:rsidR="00477C33" w:rsidRPr="00477C33" w:rsidRDefault="00477C33" w:rsidP="005678E7">
            <w:pPr>
              <w:spacing w:after="0"/>
              <w:rPr>
                <w:rFonts w:asciiTheme="minorHAnsi" w:eastAsia="Times New Roman" w:hAnsiTheme="minorHAnsi" w:cs="Arial"/>
                <w:color w:val="000000"/>
                <w:sz w:val="18"/>
                <w:szCs w:val="18"/>
                <w:lang w:val="es-CO" w:eastAsia="es-CO"/>
              </w:rPr>
            </w:pPr>
          </w:p>
        </w:tc>
        <w:tc>
          <w:tcPr>
            <w:tcW w:w="6471" w:type="dxa"/>
            <w:hideMark/>
          </w:tcPr>
          <w:p w:rsidR="00477C33" w:rsidRPr="00477C33" w:rsidRDefault="00477C33" w:rsidP="005678E7">
            <w:pPr>
              <w:spacing w:after="0"/>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Arial"/>
                <w:color w:val="000000"/>
                <w:sz w:val="18"/>
                <w:szCs w:val="18"/>
                <w:lang w:val="es-CO" w:eastAsia="es-CO"/>
              </w:rPr>
            </w:pPr>
            <w:r w:rsidRPr="00477C33">
              <w:rPr>
                <w:rFonts w:asciiTheme="minorHAnsi" w:eastAsia="Times New Roman" w:hAnsiTheme="minorHAnsi" w:cs="Arial"/>
                <w:color w:val="000000"/>
                <w:sz w:val="18"/>
                <w:szCs w:val="18"/>
                <w:lang w:eastAsia="es-CO"/>
              </w:rPr>
              <w:t>Sistema universitario para la formulación y gestión de políticas públicas</w:t>
            </w:r>
          </w:p>
        </w:tc>
      </w:tr>
      <w:tr w:rsidR="00477C33" w:rsidRPr="00477C33" w:rsidTr="00477C33">
        <w:trPr>
          <w:cnfStyle w:val="000000010000" w:firstRow="0" w:lastRow="0" w:firstColumn="0" w:lastColumn="0" w:oddVBand="0" w:evenVBand="0" w:oddHBand="0" w:evenHBand="1" w:firstRowFirstColumn="0" w:firstRowLastColumn="0" w:lastRowFirstColumn="0" w:lastRowLastColumn="0"/>
          <w:trHeight w:val="70"/>
          <w:jc w:val="center"/>
        </w:trPr>
        <w:tc>
          <w:tcPr>
            <w:cnfStyle w:val="001000000000" w:firstRow="0" w:lastRow="0" w:firstColumn="1" w:lastColumn="0" w:oddVBand="0" w:evenVBand="0" w:oddHBand="0" w:evenHBand="0" w:firstRowFirstColumn="0" w:firstRowLastColumn="0" w:lastRowFirstColumn="0" w:lastRowLastColumn="0"/>
            <w:tcW w:w="1908" w:type="dxa"/>
            <w:vMerge/>
            <w:hideMark/>
          </w:tcPr>
          <w:p w:rsidR="00477C33" w:rsidRPr="00477C33" w:rsidRDefault="00477C33" w:rsidP="005678E7">
            <w:pPr>
              <w:spacing w:after="0"/>
              <w:rPr>
                <w:rFonts w:asciiTheme="minorHAnsi" w:eastAsia="Times New Roman" w:hAnsiTheme="minorHAnsi" w:cs="Arial"/>
                <w:color w:val="000000"/>
                <w:sz w:val="18"/>
                <w:szCs w:val="18"/>
                <w:lang w:val="es-CO" w:eastAsia="es-CO"/>
              </w:rPr>
            </w:pPr>
          </w:p>
        </w:tc>
        <w:tc>
          <w:tcPr>
            <w:tcW w:w="6471" w:type="dxa"/>
            <w:hideMark/>
          </w:tcPr>
          <w:p w:rsidR="00477C33" w:rsidRPr="00477C33" w:rsidRDefault="00477C33" w:rsidP="005678E7">
            <w:pPr>
              <w:spacing w:after="0"/>
              <w:jc w:val="cente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s="Arial"/>
                <w:color w:val="000000"/>
                <w:sz w:val="18"/>
                <w:szCs w:val="18"/>
                <w:lang w:val="es-CO" w:eastAsia="es-CO"/>
              </w:rPr>
            </w:pPr>
            <w:r w:rsidRPr="00477C33">
              <w:rPr>
                <w:rFonts w:asciiTheme="minorHAnsi" w:eastAsia="Times New Roman" w:hAnsiTheme="minorHAnsi" w:cs="Arial"/>
                <w:color w:val="000000"/>
                <w:sz w:val="18"/>
                <w:szCs w:val="18"/>
                <w:lang w:eastAsia="es-CO"/>
              </w:rPr>
              <w:t>Integración académica</w:t>
            </w:r>
          </w:p>
        </w:tc>
      </w:tr>
      <w:tr w:rsidR="00477C33" w:rsidRPr="00477C33" w:rsidTr="00477C33">
        <w:trPr>
          <w:cnfStyle w:val="000000100000" w:firstRow="0" w:lastRow="0" w:firstColumn="0" w:lastColumn="0" w:oddVBand="0" w:evenVBand="0" w:oddHBand="1" w:evenHBand="0" w:firstRowFirstColumn="0" w:firstRowLastColumn="0" w:lastRowFirstColumn="0" w:lastRowLastColumn="0"/>
          <w:trHeight w:val="70"/>
          <w:jc w:val="center"/>
        </w:trPr>
        <w:tc>
          <w:tcPr>
            <w:cnfStyle w:val="001000000000" w:firstRow="0" w:lastRow="0" w:firstColumn="1" w:lastColumn="0" w:oddVBand="0" w:evenVBand="0" w:oddHBand="0" w:evenHBand="0" w:firstRowFirstColumn="0" w:firstRowLastColumn="0" w:lastRowFirstColumn="0" w:lastRowLastColumn="0"/>
            <w:tcW w:w="1908" w:type="dxa"/>
            <w:vMerge/>
            <w:hideMark/>
          </w:tcPr>
          <w:p w:rsidR="00477C33" w:rsidRPr="00477C33" w:rsidRDefault="00477C33" w:rsidP="005678E7">
            <w:pPr>
              <w:spacing w:after="0"/>
              <w:rPr>
                <w:rFonts w:asciiTheme="minorHAnsi" w:eastAsia="Times New Roman" w:hAnsiTheme="minorHAnsi" w:cs="Arial"/>
                <w:color w:val="000000"/>
                <w:sz w:val="18"/>
                <w:szCs w:val="18"/>
                <w:lang w:val="es-CO" w:eastAsia="es-CO"/>
              </w:rPr>
            </w:pPr>
          </w:p>
        </w:tc>
        <w:tc>
          <w:tcPr>
            <w:tcW w:w="6471" w:type="dxa"/>
            <w:hideMark/>
          </w:tcPr>
          <w:p w:rsidR="00477C33" w:rsidRPr="00477C33" w:rsidRDefault="00477C33" w:rsidP="005678E7">
            <w:pPr>
              <w:spacing w:after="0"/>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Arial"/>
                <w:color w:val="000000"/>
                <w:sz w:val="18"/>
                <w:szCs w:val="18"/>
                <w:lang w:val="es-CO" w:eastAsia="es-CO"/>
              </w:rPr>
            </w:pPr>
            <w:r w:rsidRPr="00477C33">
              <w:rPr>
                <w:rFonts w:asciiTheme="minorHAnsi" w:eastAsia="Times New Roman" w:hAnsiTheme="minorHAnsi" w:cs="Arial"/>
                <w:color w:val="000000"/>
                <w:sz w:val="18"/>
                <w:szCs w:val="18"/>
                <w:lang w:eastAsia="es-CO"/>
              </w:rPr>
              <w:t>Aporte de la UTP al proyecto de paisaje cultural cafetero</w:t>
            </w:r>
          </w:p>
        </w:tc>
      </w:tr>
      <w:tr w:rsidR="00477C33" w:rsidRPr="00477C33" w:rsidTr="00477C33">
        <w:trPr>
          <w:cnfStyle w:val="000000010000" w:firstRow="0" w:lastRow="0" w:firstColumn="0" w:lastColumn="0" w:oddVBand="0" w:evenVBand="0" w:oddHBand="0" w:evenHBand="1" w:firstRowFirstColumn="0" w:firstRowLastColumn="0" w:lastRowFirstColumn="0" w:lastRowLastColumn="0"/>
          <w:trHeight w:val="70"/>
          <w:jc w:val="center"/>
        </w:trPr>
        <w:tc>
          <w:tcPr>
            <w:cnfStyle w:val="001000000000" w:firstRow="0" w:lastRow="0" w:firstColumn="1" w:lastColumn="0" w:oddVBand="0" w:evenVBand="0" w:oddHBand="0" w:evenHBand="0" w:firstRowFirstColumn="0" w:firstRowLastColumn="0" w:lastRowFirstColumn="0" w:lastRowLastColumn="0"/>
            <w:tcW w:w="1908" w:type="dxa"/>
            <w:vMerge/>
            <w:hideMark/>
          </w:tcPr>
          <w:p w:rsidR="00477C33" w:rsidRPr="00477C33" w:rsidRDefault="00477C33" w:rsidP="005678E7">
            <w:pPr>
              <w:spacing w:after="0"/>
              <w:rPr>
                <w:rFonts w:asciiTheme="minorHAnsi" w:eastAsia="Times New Roman" w:hAnsiTheme="minorHAnsi" w:cs="Arial"/>
                <w:color w:val="000000"/>
                <w:sz w:val="18"/>
                <w:szCs w:val="18"/>
                <w:lang w:val="es-CO" w:eastAsia="es-CO"/>
              </w:rPr>
            </w:pPr>
          </w:p>
        </w:tc>
        <w:tc>
          <w:tcPr>
            <w:tcW w:w="6471" w:type="dxa"/>
            <w:hideMark/>
          </w:tcPr>
          <w:p w:rsidR="00477C33" w:rsidRPr="00477C33" w:rsidRDefault="00477C33" w:rsidP="005678E7">
            <w:pPr>
              <w:spacing w:after="0"/>
              <w:jc w:val="cente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s="Arial"/>
                <w:color w:val="000000"/>
                <w:sz w:val="18"/>
                <w:szCs w:val="18"/>
                <w:lang w:val="es-CO" w:eastAsia="es-CO"/>
              </w:rPr>
            </w:pPr>
            <w:r w:rsidRPr="00477C33">
              <w:rPr>
                <w:rFonts w:asciiTheme="minorHAnsi" w:eastAsia="Times New Roman" w:hAnsiTheme="minorHAnsi" w:cs="Arial"/>
                <w:color w:val="000000"/>
                <w:sz w:val="18"/>
                <w:szCs w:val="18"/>
                <w:lang w:eastAsia="es-CO"/>
              </w:rPr>
              <w:t>Plataforma natural del territorio como base para el desarrollo sostenible</w:t>
            </w:r>
          </w:p>
        </w:tc>
      </w:tr>
      <w:tr w:rsidR="00477C33" w:rsidRPr="00477C33" w:rsidTr="00477C33">
        <w:trPr>
          <w:cnfStyle w:val="000000100000" w:firstRow="0" w:lastRow="0" w:firstColumn="0" w:lastColumn="0" w:oddVBand="0" w:evenVBand="0" w:oddHBand="1" w:evenHBand="0" w:firstRowFirstColumn="0" w:firstRowLastColumn="0" w:lastRowFirstColumn="0" w:lastRowLastColumn="0"/>
          <w:trHeight w:val="70"/>
          <w:jc w:val="center"/>
        </w:trPr>
        <w:tc>
          <w:tcPr>
            <w:cnfStyle w:val="001000000000" w:firstRow="0" w:lastRow="0" w:firstColumn="1" w:lastColumn="0" w:oddVBand="0" w:evenVBand="0" w:oddHBand="0" w:evenHBand="0" w:firstRowFirstColumn="0" w:firstRowLastColumn="0" w:lastRowFirstColumn="0" w:lastRowLastColumn="0"/>
            <w:tcW w:w="1908" w:type="dxa"/>
            <w:vMerge w:val="restart"/>
            <w:hideMark/>
          </w:tcPr>
          <w:p w:rsidR="00477C33" w:rsidRPr="00477C33" w:rsidRDefault="00477C33" w:rsidP="005678E7">
            <w:pPr>
              <w:spacing w:after="0"/>
              <w:jc w:val="center"/>
              <w:rPr>
                <w:rFonts w:asciiTheme="minorHAnsi" w:eastAsia="Times New Roman" w:hAnsiTheme="minorHAnsi" w:cs="Arial"/>
                <w:color w:val="000000"/>
                <w:sz w:val="18"/>
                <w:szCs w:val="18"/>
                <w:lang w:val="es-CO" w:eastAsia="es-CO"/>
              </w:rPr>
            </w:pPr>
            <w:r w:rsidRPr="00477C33">
              <w:rPr>
                <w:rFonts w:asciiTheme="minorHAnsi" w:eastAsia="Times New Roman" w:hAnsiTheme="minorHAnsi" w:cs="Arial"/>
                <w:color w:val="000000"/>
                <w:sz w:val="18"/>
                <w:szCs w:val="18"/>
                <w:lang w:eastAsia="es-CO"/>
              </w:rPr>
              <w:t>Alianzas Estratégicas</w:t>
            </w:r>
          </w:p>
        </w:tc>
        <w:tc>
          <w:tcPr>
            <w:tcW w:w="6471" w:type="dxa"/>
            <w:hideMark/>
          </w:tcPr>
          <w:p w:rsidR="00477C33" w:rsidRPr="00477C33" w:rsidRDefault="00477C33" w:rsidP="005678E7">
            <w:pPr>
              <w:spacing w:after="0"/>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Arial"/>
                <w:color w:val="000000"/>
                <w:sz w:val="18"/>
                <w:szCs w:val="18"/>
                <w:lang w:val="es-CO" w:eastAsia="es-CO"/>
              </w:rPr>
            </w:pPr>
            <w:r w:rsidRPr="00477C33">
              <w:rPr>
                <w:rFonts w:asciiTheme="minorHAnsi" w:eastAsia="Times New Roman" w:hAnsiTheme="minorHAnsi" w:cs="Arial"/>
                <w:color w:val="000000"/>
                <w:sz w:val="18"/>
                <w:szCs w:val="18"/>
                <w:lang w:eastAsia="es-CO"/>
              </w:rPr>
              <w:t>Aprestamiento Institucional</w:t>
            </w:r>
          </w:p>
        </w:tc>
      </w:tr>
      <w:tr w:rsidR="00477C33" w:rsidRPr="00477C33" w:rsidTr="00477C33">
        <w:trPr>
          <w:cnfStyle w:val="000000010000" w:firstRow="0" w:lastRow="0" w:firstColumn="0" w:lastColumn="0" w:oddVBand="0" w:evenVBand="0" w:oddHBand="0" w:evenHBand="1" w:firstRowFirstColumn="0" w:firstRowLastColumn="0" w:lastRowFirstColumn="0" w:lastRowLastColumn="0"/>
          <w:trHeight w:val="70"/>
          <w:jc w:val="center"/>
        </w:trPr>
        <w:tc>
          <w:tcPr>
            <w:cnfStyle w:val="001000000000" w:firstRow="0" w:lastRow="0" w:firstColumn="1" w:lastColumn="0" w:oddVBand="0" w:evenVBand="0" w:oddHBand="0" w:evenHBand="0" w:firstRowFirstColumn="0" w:firstRowLastColumn="0" w:lastRowFirstColumn="0" w:lastRowLastColumn="0"/>
            <w:tcW w:w="1908" w:type="dxa"/>
            <w:vMerge/>
            <w:hideMark/>
          </w:tcPr>
          <w:p w:rsidR="00477C33" w:rsidRPr="00477C33" w:rsidRDefault="00477C33" w:rsidP="005678E7">
            <w:pPr>
              <w:spacing w:after="0"/>
              <w:rPr>
                <w:rFonts w:asciiTheme="minorHAnsi" w:eastAsia="Times New Roman" w:hAnsiTheme="minorHAnsi" w:cs="Arial"/>
                <w:color w:val="000000"/>
                <w:sz w:val="18"/>
                <w:szCs w:val="18"/>
                <w:lang w:val="es-CO" w:eastAsia="es-CO"/>
              </w:rPr>
            </w:pPr>
          </w:p>
        </w:tc>
        <w:tc>
          <w:tcPr>
            <w:tcW w:w="6471" w:type="dxa"/>
            <w:hideMark/>
          </w:tcPr>
          <w:p w:rsidR="00477C33" w:rsidRPr="00477C33" w:rsidRDefault="00477C33" w:rsidP="005678E7">
            <w:pPr>
              <w:spacing w:after="0"/>
              <w:jc w:val="center"/>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cs="Arial"/>
                <w:color w:val="000000"/>
                <w:sz w:val="18"/>
                <w:szCs w:val="18"/>
                <w:lang w:val="es-CO" w:eastAsia="es-CO"/>
              </w:rPr>
            </w:pPr>
            <w:r w:rsidRPr="00477C33">
              <w:rPr>
                <w:rFonts w:asciiTheme="minorHAnsi" w:eastAsia="Times New Roman" w:hAnsiTheme="minorHAnsi" w:cs="Arial"/>
                <w:color w:val="000000"/>
                <w:sz w:val="18"/>
                <w:szCs w:val="18"/>
                <w:lang w:eastAsia="es-CO"/>
              </w:rPr>
              <w:t>Vigilancia e inteligencia competitiva</w:t>
            </w:r>
          </w:p>
        </w:tc>
      </w:tr>
      <w:tr w:rsidR="00477C33" w:rsidRPr="00477C33" w:rsidTr="00477C33">
        <w:trPr>
          <w:cnfStyle w:val="000000100000" w:firstRow="0" w:lastRow="0" w:firstColumn="0" w:lastColumn="0" w:oddVBand="0" w:evenVBand="0" w:oddHBand="1" w:evenHBand="0" w:firstRowFirstColumn="0" w:firstRowLastColumn="0" w:lastRowFirstColumn="0" w:lastRowLastColumn="0"/>
          <w:trHeight w:val="70"/>
          <w:jc w:val="center"/>
        </w:trPr>
        <w:tc>
          <w:tcPr>
            <w:cnfStyle w:val="001000000000" w:firstRow="0" w:lastRow="0" w:firstColumn="1" w:lastColumn="0" w:oddVBand="0" w:evenVBand="0" w:oddHBand="0" w:evenHBand="0" w:firstRowFirstColumn="0" w:firstRowLastColumn="0" w:lastRowFirstColumn="0" w:lastRowLastColumn="0"/>
            <w:tcW w:w="1908" w:type="dxa"/>
            <w:vMerge/>
            <w:hideMark/>
          </w:tcPr>
          <w:p w:rsidR="00477C33" w:rsidRPr="00477C33" w:rsidRDefault="00477C33" w:rsidP="005678E7">
            <w:pPr>
              <w:spacing w:after="0"/>
              <w:rPr>
                <w:rFonts w:asciiTheme="minorHAnsi" w:eastAsia="Times New Roman" w:hAnsiTheme="minorHAnsi" w:cs="Arial"/>
                <w:color w:val="000000"/>
                <w:sz w:val="18"/>
                <w:szCs w:val="18"/>
                <w:lang w:val="es-CO" w:eastAsia="es-CO"/>
              </w:rPr>
            </w:pPr>
          </w:p>
        </w:tc>
        <w:tc>
          <w:tcPr>
            <w:tcW w:w="6471" w:type="dxa"/>
            <w:hideMark/>
          </w:tcPr>
          <w:p w:rsidR="00477C33" w:rsidRPr="00477C33" w:rsidRDefault="00477C33" w:rsidP="005678E7">
            <w:pPr>
              <w:spacing w:after="0"/>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Arial"/>
                <w:color w:val="000000"/>
                <w:sz w:val="18"/>
                <w:szCs w:val="18"/>
                <w:lang w:val="es-CO" w:eastAsia="es-CO"/>
              </w:rPr>
            </w:pPr>
            <w:r w:rsidRPr="00477C33">
              <w:rPr>
                <w:rFonts w:asciiTheme="minorHAnsi" w:eastAsia="Times New Roman" w:hAnsiTheme="minorHAnsi" w:cs="Arial"/>
                <w:color w:val="000000"/>
                <w:sz w:val="18"/>
                <w:szCs w:val="18"/>
                <w:lang w:eastAsia="es-CO"/>
              </w:rPr>
              <w:t>Movilización social o Sociedad en Movimiento</w:t>
            </w:r>
          </w:p>
        </w:tc>
      </w:tr>
    </w:tbl>
    <w:p w:rsidR="00477C33" w:rsidRPr="00477C33" w:rsidRDefault="00477C33" w:rsidP="00477C33">
      <w:pPr>
        <w:rPr>
          <w:rFonts w:asciiTheme="minorHAnsi" w:hAnsiTheme="minorHAnsi" w:cs="Arial"/>
          <w:lang w:val="es-CO"/>
        </w:rPr>
      </w:pPr>
    </w:p>
    <w:p w:rsidR="00477C33" w:rsidRPr="00477C33" w:rsidRDefault="00477C33" w:rsidP="00477C33">
      <w:pPr>
        <w:rPr>
          <w:rFonts w:asciiTheme="minorHAnsi" w:hAnsiTheme="minorHAnsi" w:cs="Arial"/>
        </w:rPr>
      </w:pPr>
      <w:r w:rsidRPr="00477C33">
        <w:rPr>
          <w:rFonts w:asciiTheme="minorHAnsi" w:hAnsiTheme="minorHAnsi" w:cs="Arial"/>
          <w:lang w:val="es-CO"/>
        </w:rPr>
        <w:t xml:space="preserve">En materia presupuestal, se realizó un esfuerzo en la </w:t>
      </w:r>
      <w:r w:rsidRPr="00477C33">
        <w:rPr>
          <w:rFonts w:asciiTheme="minorHAnsi" w:hAnsiTheme="minorHAnsi" w:cs="Arial"/>
          <w:bCs/>
          <w:lang w:val="es-CO"/>
        </w:rPr>
        <w:t>definición de la inversión requerida en los proyectos, la determinación de recursos por gestionar y la identificación de posibles oportunidades y fuentes financiación</w:t>
      </w:r>
      <w:r w:rsidRPr="00477C33">
        <w:rPr>
          <w:rFonts w:asciiTheme="minorHAnsi" w:hAnsiTheme="minorHAnsi" w:cs="Arial"/>
          <w:lang w:val="es-CO"/>
        </w:rPr>
        <w:t xml:space="preserve">; con base en los </w:t>
      </w:r>
      <w:r w:rsidRPr="00477C33">
        <w:rPr>
          <w:rFonts w:asciiTheme="minorHAnsi" w:hAnsiTheme="minorHAnsi" w:cs="Arial"/>
          <w:bCs/>
          <w:lang w:val="es-CO"/>
        </w:rPr>
        <w:t>parámetros</w:t>
      </w:r>
      <w:r w:rsidRPr="00477C33">
        <w:rPr>
          <w:rFonts w:asciiTheme="minorHAnsi" w:hAnsiTheme="minorHAnsi" w:cs="Arial"/>
          <w:lang w:val="es-CO"/>
        </w:rPr>
        <w:t xml:space="preserve"> definidos por la </w:t>
      </w:r>
      <w:r w:rsidRPr="00477C33">
        <w:rPr>
          <w:rFonts w:asciiTheme="minorHAnsi" w:hAnsiTheme="minorHAnsi" w:cs="Arial"/>
          <w:bCs/>
          <w:lang w:val="es-CO"/>
        </w:rPr>
        <w:t xml:space="preserve">Vicerrectoría Administrativa </w:t>
      </w:r>
      <w:r w:rsidRPr="00477C33">
        <w:rPr>
          <w:rFonts w:asciiTheme="minorHAnsi" w:hAnsiTheme="minorHAnsi" w:cs="Arial"/>
          <w:lang w:val="es-CO"/>
        </w:rPr>
        <w:t xml:space="preserve">y los insumos de vigilancia suministrados desde la </w:t>
      </w:r>
      <w:r w:rsidRPr="00477C33">
        <w:rPr>
          <w:rFonts w:asciiTheme="minorHAnsi" w:hAnsiTheme="minorHAnsi" w:cs="Arial"/>
          <w:bCs/>
          <w:lang w:val="es-CO"/>
        </w:rPr>
        <w:t>Oficina de Planeación</w:t>
      </w:r>
      <w:r w:rsidRPr="00477C33">
        <w:rPr>
          <w:rFonts w:asciiTheme="minorHAnsi" w:hAnsiTheme="minorHAnsi" w:cs="Arial"/>
          <w:lang w:val="es-CO"/>
        </w:rPr>
        <w:t>. Sin embargo, se recomienda seguir fortaleciendo en el desarrollo de los proyectos, la búsqueda de dichas fuentes de manera articulada e institucional, para potencializar los resultados planteados.</w:t>
      </w:r>
    </w:p>
    <w:p w:rsidR="00477C33" w:rsidRDefault="00477C33" w:rsidP="00477C33"/>
    <w:p w:rsidR="00477C33" w:rsidRPr="00535E30" w:rsidRDefault="00477C33" w:rsidP="00F80905">
      <w:pPr>
        <w:spacing w:line="276" w:lineRule="auto"/>
        <w:rPr>
          <w:rFonts w:asciiTheme="minorHAnsi" w:hAnsiTheme="minorHAnsi"/>
        </w:rPr>
      </w:pPr>
    </w:p>
    <w:p w:rsidR="00BA1766" w:rsidRPr="0058264B" w:rsidRDefault="00206CA5" w:rsidP="00C0346D">
      <w:pPr>
        <w:pStyle w:val="Ttulo1"/>
        <w:numPr>
          <w:ilvl w:val="0"/>
          <w:numId w:val="21"/>
        </w:numPr>
        <w:spacing w:line="276" w:lineRule="auto"/>
        <w:jc w:val="center"/>
        <w:rPr>
          <w:color w:val="000000" w:themeColor="text1"/>
        </w:rPr>
      </w:pPr>
      <w:r>
        <w:br w:type="page"/>
      </w:r>
      <w:bookmarkStart w:id="166" w:name="_Toc320298376"/>
      <w:bookmarkStart w:id="167" w:name="_Toc354671376"/>
      <w:r w:rsidR="00BA1766" w:rsidRPr="0058264B">
        <w:rPr>
          <w:color w:val="000000" w:themeColor="text1"/>
        </w:rPr>
        <w:lastRenderedPageBreak/>
        <w:t>CONCLUSIONES</w:t>
      </w:r>
      <w:bookmarkEnd w:id="166"/>
      <w:bookmarkEnd w:id="167"/>
    </w:p>
    <w:p w:rsidR="00BA1766" w:rsidRPr="008A4A11" w:rsidRDefault="00BA1766" w:rsidP="00BA1766">
      <w:pPr>
        <w:rPr>
          <w:rFonts w:asciiTheme="minorHAnsi" w:hAnsiTheme="minorHAnsi"/>
        </w:rPr>
      </w:pPr>
    </w:p>
    <w:p w:rsidR="005438C7" w:rsidRDefault="005438C7" w:rsidP="005438C7">
      <w:pPr>
        <w:pStyle w:val="Prrafodelista"/>
        <w:numPr>
          <w:ilvl w:val="0"/>
          <w:numId w:val="60"/>
        </w:numPr>
      </w:pPr>
      <w:r>
        <w:t>Los resultados generales del Plan de Desarrollo Institucional en sus tres niveles estuvieron por encima del 90%, lo que indica que se cumplió en alto grado las metas trazadas para el primer corte de medición definido al año 2012.</w:t>
      </w:r>
    </w:p>
    <w:p w:rsidR="005438C7" w:rsidRDefault="005438C7" w:rsidP="005438C7">
      <w:pPr>
        <w:pStyle w:val="Prrafodelista"/>
      </w:pPr>
    </w:p>
    <w:p w:rsidR="005438C7" w:rsidRDefault="005438C7" w:rsidP="005438C7">
      <w:pPr>
        <w:pStyle w:val="Prrafodelista"/>
        <w:numPr>
          <w:ilvl w:val="0"/>
          <w:numId w:val="60"/>
        </w:numPr>
      </w:pPr>
      <w:r>
        <w:t>A nivel de Componentes, el objetivo de Internacionalización presentó un resultado por debajo del 80%, por cuanto este incluye la gestión de la información para la internacionalización, que requiere de una intervención de prioridad, sin embargo, procesos que se adelantan en la vigencia 2013, como la creación de los planes de gestión por facultad son acciones que se focalizaran dentro de este objetivo a mejorar los flujos de información en pro del mejoramiento continuo del mismo.</w:t>
      </w:r>
    </w:p>
    <w:p w:rsidR="005438C7" w:rsidRDefault="005438C7" w:rsidP="005438C7">
      <w:pPr>
        <w:pStyle w:val="Prrafodelista"/>
      </w:pPr>
    </w:p>
    <w:p w:rsidR="00ED1071" w:rsidRDefault="005438C7" w:rsidP="005438C7">
      <w:pPr>
        <w:pStyle w:val="Prrafodelista"/>
        <w:numPr>
          <w:ilvl w:val="0"/>
          <w:numId w:val="60"/>
        </w:numPr>
      </w:pPr>
      <w:r>
        <w:t>Se ha logrado un mayor empoderamiento por los equipos de trabajo en la focalización hacia resultados y en la cultura de la información, lo cual ha permitido mejorar su calidad en el sistema de gerencia, ajustar las variables de resultados y sus soportes.</w:t>
      </w:r>
    </w:p>
    <w:p w:rsidR="005438C7" w:rsidRDefault="005438C7" w:rsidP="005438C7">
      <w:pPr>
        <w:pStyle w:val="Prrafodelista"/>
      </w:pPr>
    </w:p>
    <w:p w:rsidR="005438C7" w:rsidRDefault="005438C7" w:rsidP="005438C7">
      <w:pPr>
        <w:pStyle w:val="Prrafodelista"/>
        <w:numPr>
          <w:ilvl w:val="0"/>
          <w:numId w:val="60"/>
        </w:numPr>
      </w:pPr>
      <w:r>
        <w:t xml:space="preserve">La dinámica de trabajo del sistema de gerencia del plan de desarrollo para el año 2013, permitirá fortalecer los equipos de trabajo en red en los objetivos institucionales para involucrar un mayor número de actores y trabajo articulado entre los objetivos y las facultades. </w:t>
      </w:r>
    </w:p>
    <w:p w:rsidR="005438C7" w:rsidRDefault="005438C7" w:rsidP="005438C7">
      <w:pPr>
        <w:pStyle w:val="Prrafodelista"/>
      </w:pPr>
    </w:p>
    <w:p w:rsidR="005438C7" w:rsidRDefault="005438C7" w:rsidP="005438C7">
      <w:pPr>
        <w:pStyle w:val="Prrafodelista"/>
        <w:numPr>
          <w:ilvl w:val="0"/>
          <w:numId w:val="60"/>
        </w:numPr>
      </w:pPr>
      <w:r>
        <w:t>Se implementó el componente del sistema Control Social, el cual tendrá una dinámica importante durante la vigencia 2013 desde diferentes procesos como: El Control Social, La Audiencia Pública de Rendición de Cuentas, la Rendición de Cuentas a las mesas temáticas de formulación del PDI y el Sistema de Peticiones, Quejas y Reclamos.</w:t>
      </w:r>
    </w:p>
    <w:p w:rsidR="005438C7" w:rsidRDefault="005438C7" w:rsidP="005438C7">
      <w:pPr>
        <w:pStyle w:val="Prrafodelista"/>
      </w:pPr>
    </w:p>
    <w:p w:rsidR="005438C7" w:rsidRPr="00ED1071" w:rsidRDefault="005438C7" w:rsidP="005438C7">
      <w:pPr>
        <w:pStyle w:val="Prrafodelista"/>
        <w:numPr>
          <w:ilvl w:val="0"/>
          <w:numId w:val="60"/>
        </w:numPr>
      </w:pPr>
      <w:r>
        <w:t>Durante el 2012 se llevó a cabo el ajuste y revisión de la cadena de logro dinamizando el Plan de Desarrollo Institucional al año 2019.</w:t>
      </w:r>
    </w:p>
    <w:p w:rsidR="00C050AD" w:rsidRPr="000228F7" w:rsidRDefault="00C050AD" w:rsidP="00ED1071">
      <w:pPr>
        <w:pStyle w:val="Prrafodelista"/>
      </w:pPr>
    </w:p>
    <w:p w:rsidR="000228F7" w:rsidRDefault="000228F7" w:rsidP="00BA1766">
      <w:pPr>
        <w:rPr>
          <w:rFonts w:asciiTheme="minorHAnsi" w:hAnsiTheme="minorHAnsi"/>
          <w:highlight w:val="yellow"/>
          <w:lang w:val="es-CO"/>
        </w:rPr>
      </w:pPr>
    </w:p>
    <w:p w:rsidR="00BA1766" w:rsidRPr="008A4A11" w:rsidRDefault="00BA1766" w:rsidP="00BA1766">
      <w:pPr>
        <w:jc w:val="left"/>
        <w:rPr>
          <w:rFonts w:asciiTheme="minorHAnsi" w:hAnsiTheme="minorHAnsi"/>
          <w:lang w:val="es-CO"/>
        </w:rPr>
      </w:pPr>
      <w:r w:rsidRPr="008A4A11">
        <w:rPr>
          <w:rFonts w:asciiTheme="minorHAnsi" w:hAnsiTheme="minorHAnsi"/>
          <w:lang w:val="es-CO"/>
        </w:rPr>
        <w:br w:type="page"/>
      </w:r>
    </w:p>
    <w:p w:rsidR="00BA1766" w:rsidRPr="0058264B" w:rsidRDefault="00BA1766" w:rsidP="00C0346D">
      <w:pPr>
        <w:pStyle w:val="Ttulo1"/>
        <w:numPr>
          <w:ilvl w:val="0"/>
          <w:numId w:val="21"/>
        </w:numPr>
        <w:spacing w:line="276" w:lineRule="auto"/>
        <w:jc w:val="center"/>
        <w:rPr>
          <w:color w:val="000000" w:themeColor="text1"/>
        </w:rPr>
      </w:pPr>
      <w:bookmarkStart w:id="168" w:name="_Toc320298377"/>
      <w:bookmarkStart w:id="169" w:name="_Toc354671377"/>
      <w:r w:rsidRPr="0058264B">
        <w:rPr>
          <w:color w:val="000000" w:themeColor="text1"/>
        </w:rPr>
        <w:lastRenderedPageBreak/>
        <w:t>APRENDIZAJES</w:t>
      </w:r>
      <w:bookmarkEnd w:id="168"/>
      <w:bookmarkEnd w:id="169"/>
    </w:p>
    <w:p w:rsidR="00BA1766" w:rsidRPr="008A4A11" w:rsidRDefault="00BA1766" w:rsidP="00BA1766">
      <w:pPr>
        <w:jc w:val="center"/>
        <w:rPr>
          <w:rFonts w:asciiTheme="minorHAnsi" w:hAnsiTheme="minorHAnsi"/>
          <w:b/>
        </w:rPr>
      </w:pPr>
    </w:p>
    <w:p w:rsidR="005438C7" w:rsidRDefault="005438C7" w:rsidP="005438C7">
      <w:pPr>
        <w:pStyle w:val="Prrafodelista"/>
        <w:numPr>
          <w:ilvl w:val="0"/>
          <w:numId w:val="63"/>
        </w:numPr>
        <w:spacing w:after="200" w:line="276" w:lineRule="auto"/>
      </w:pPr>
      <w:r w:rsidRPr="005438C7">
        <w:t>El nuevo enfoque de sistema complejo adaptativo basado en organizaciones que aprenden, contribuye a la transformación de la organización implica un esfuerzo de liderazgo de la alta dirección y trabajo en equipo, lo cual es una oportunidad en la mejora de la universidad.</w:t>
      </w:r>
    </w:p>
    <w:p w:rsidR="005438C7" w:rsidRPr="005438C7" w:rsidRDefault="005438C7" w:rsidP="005438C7">
      <w:pPr>
        <w:pStyle w:val="Prrafodelista"/>
        <w:spacing w:after="200" w:line="276" w:lineRule="auto"/>
      </w:pPr>
    </w:p>
    <w:p w:rsidR="005438C7" w:rsidRDefault="005438C7" w:rsidP="005438C7">
      <w:pPr>
        <w:pStyle w:val="Prrafodelista"/>
        <w:numPr>
          <w:ilvl w:val="0"/>
          <w:numId w:val="63"/>
        </w:numPr>
        <w:spacing w:after="200" w:line="276" w:lineRule="auto"/>
      </w:pPr>
      <w:r w:rsidRPr="005438C7">
        <w:t>Parte de los cambios en la cultura organizacional se ha soportado en el proceso de ejecución del nuevo plan de desarrollo en estos tres años y en el ajuste a planes operativos a partir del 2013 se debe avanzar en fortalecer el sistema de planeación; más en particular el subcomponente de participación tanto interna como en el control.</w:t>
      </w:r>
    </w:p>
    <w:p w:rsidR="005438C7" w:rsidRPr="005438C7" w:rsidRDefault="005438C7" w:rsidP="005438C7">
      <w:pPr>
        <w:pStyle w:val="Prrafodelista"/>
        <w:spacing w:after="200" w:line="276" w:lineRule="auto"/>
      </w:pPr>
    </w:p>
    <w:p w:rsidR="005438C7" w:rsidRDefault="005438C7" w:rsidP="005438C7">
      <w:pPr>
        <w:pStyle w:val="Prrafodelista"/>
        <w:numPr>
          <w:ilvl w:val="0"/>
          <w:numId w:val="63"/>
        </w:numPr>
        <w:spacing w:after="200" w:line="276" w:lineRule="auto"/>
      </w:pPr>
      <w:r w:rsidRPr="005438C7">
        <w:t>La dificultad en la contribución para la transformación de la sociedad que somos, requiere un nuevo tipo de relaciones de la Universidad con el medio y al interior de ella entre sus actores internos. En este aspecto hay una gran oportunidad para fortalecer la participación del Consejo Superior y demás instancias de la institución en esta apuesta.</w:t>
      </w:r>
    </w:p>
    <w:p w:rsidR="005438C7" w:rsidRPr="005438C7" w:rsidRDefault="005438C7" w:rsidP="005438C7">
      <w:pPr>
        <w:pStyle w:val="Prrafodelista"/>
        <w:spacing w:after="200" w:line="276" w:lineRule="auto"/>
      </w:pPr>
    </w:p>
    <w:p w:rsidR="00475419" w:rsidRPr="005438C7" w:rsidRDefault="005438C7" w:rsidP="005438C7">
      <w:pPr>
        <w:pStyle w:val="Prrafodelista"/>
        <w:numPr>
          <w:ilvl w:val="0"/>
          <w:numId w:val="63"/>
        </w:numPr>
        <w:spacing w:after="200" w:line="276" w:lineRule="auto"/>
      </w:pPr>
      <w:r w:rsidRPr="005438C7">
        <w:t>Se han logrado mejoras en la calidad de la información y el soporte a las m</w:t>
      </w:r>
      <w:bookmarkStart w:id="170" w:name="_GoBack"/>
      <w:bookmarkEnd w:id="170"/>
      <w:r w:rsidRPr="005438C7">
        <w:t>etas, ello gracias a que durante el 2011, se realizaron esfuerzos por los equipos de trabajo de cada objetivo institucional y desde el sistema de gerencia, se facilitó y realizó revisión trimestral de la calidad de los reportes en los tres niveles del plan.</w:t>
      </w:r>
    </w:p>
    <w:p w:rsidR="00475419" w:rsidRPr="005438C7" w:rsidRDefault="00475419" w:rsidP="00475419">
      <w:pPr>
        <w:rPr>
          <w:lang w:val="es-CO"/>
        </w:rPr>
      </w:pPr>
    </w:p>
    <w:p w:rsidR="00475419" w:rsidRDefault="00475419">
      <w:pPr>
        <w:spacing w:after="200" w:line="276" w:lineRule="auto"/>
        <w:jc w:val="left"/>
        <w:rPr>
          <w:highlight w:val="yellow"/>
          <w:lang w:val="es-CO"/>
        </w:rPr>
      </w:pPr>
      <w:r>
        <w:rPr>
          <w:highlight w:val="yellow"/>
          <w:lang w:val="es-CO"/>
        </w:rPr>
        <w:br w:type="page"/>
      </w:r>
    </w:p>
    <w:p w:rsidR="00475419" w:rsidRDefault="00475419" w:rsidP="00475419">
      <w:pPr>
        <w:pStyle w:val="Ttulo"/>
        <w:rPr>
          <w:lang w:val="es-CO"/>
        </w:rPr>
      </w:pPr>
      <w:r w:rsidRPr="00475419">
        <w:rPr>
          <w:lang w:val="es-CO"/>
        </w:rPr>
        <w:lastRenderedPageBreak/>
        <w:t>ANEXOS</w:t>
      </w:r>
    </w:p>
    <w:p w:rsidR="00475419" w:rsidRDefault="00475419" w:rsidP="00475419">
      <w:pPr>
        <w:rPr>
          <w:lang w:val="es-CO"/>
        </w:rPr>
      </w:pPr>
    </w:p>
    <w:p w:rsidR="00066428" w:rsidRDefault="00066428" w:rsidP="00066428">
      <w:pPr>
        <w:pStyle w:val="Prrafodelista"/>
        <w:numPr>
          <w:ilvl w:val="0"/>
          <w:numId w:val="64"/>
        </w:numPr>
        <w:spacing w:after="200" w:line="276" w:lineRule="auto"/>
        <w:jc w:val="left"/>
      </w:pPr>
      <w:r w:rsidRPr="00066428">
        <w:t>ANEXO I – RESULTADOS A NIVEL DE COMPONENTES</w:t>
      </w:r>
      <w:r>
        <w:t xml:space="preserve"> (Digital)</w:t>
      </w:r>
    </w:p>
    <w:p w:rsidR="00066428" w:rsidRDefault="00066428" w:rsidP="00066428">
      <w:pPr>
        <w:pStyle w:val="Prrafodelista"/>
        <w:spacing w:after="200" w:line="276" w:lineRule="auto"/>
        <w:jc w:val="left"/>
      </w:pPr>
    </w:p>
    <w:p w:rsidR="00574AB9" w:rsidRPr="00066428" w:rsidRDefault="00066428" w:rsidP="00066428">
      <w:pPr>
        <w:pStyle w:val="Prrafodelista"/>
        <w:numPr>
          <w:ilvl w:val="0"/>
          <w:numId w:val="64"/>
        </w:numPr>
        <w:spacing w:after="200" w:line="276" w:lineRule="auto"/>
        <w:jc w:val="left"/>
      </w:pPr>
      <w:r w:rsidRPr="00066428">
        <w:t>ANEXO II – RESULTADOS A NIVEL DE PROYECTOS</w:t>
      </w:r>
      <w:r>
        <w:t xml:space="preserve"> (Digital)</w:t>
      </w:r>
      <w:r w:rsidR="00574AB9" w:rsidRPr="00066428">
        <w:br w:type="page"/>
      </w:r>
    </w:p>
    <w:p w:rsidR="00475419" w:rsidRDefault="00475419" w:rsidP="00475419">
      <w:pPr>
        <w:pStyle w:val="Ttulo1"/>
        <w:rPr>
          <w:lang w:val="es-CO"/>
        </w:rPr>
      </w:pPr>
      <w:bookmarkStart w:id="171" w:name="_Toc354671378"/>
      <w:r>
        <w:rPr>
          <w:lang w:val="es-CO"/>
        </w:rPr>
        <w:lastRenderedPageBreak/>
        <w:t>ANEXO I - RESULTADOS A NIVEL DE COMPONENTES</w:t>
      </w:r>
      <w:bookmarkEnd w:id="171"/>
    </w:p>
    <w:p w:rsidR="00475419" w:rsidRDefault="00475419" w:rsidP="00475419">
      <w:pPr>
        <w:rPr>
          <w:lang w:val="es-CO"/>
        </w:rPr>
      </w:pPr>
    </w:p>
    <w:p w:rsidR="00475419" w:rsidRDefault="00475419" w:rsidP="00475419">
      <w:pPr>
        <w:spacing w:after="0" w:line="276" w:lineRule="auto"/>
        <w:rPr>
          <w:rFonts w:asciiTheme="minorHAnsi" w:hAnsiTheme="minorHAnsi" w:cs="Arial"/>
          <w:szCs w:val="20"/>
        </w:rPr>
      </w:pPr>
      <w:r w:rsidRPr="00F80905">
        <w:rPr>
          <w:rFonts w:asciiTheme="minorHAnsi" w:hAnsiTheme="minorHAnsi" w:cs="Arial"/>
          <w:szCs w:val="20"/>
        </w:rPr>
        <w:t>Cada uno de los objetivos institucionales se ejecuta a través de estrategias definidas en los componentes que los conforman:</w:t>
      </w:r>
    </w:p>
    <w:p w:rsidR="00475419" w:rsidRPr="00F80905" w:rsidRDefault="00475419" w:rsidP="00475419">
      <w:pPr>
        <w:spacing w:after="0" w:line="276" w:lineRule="auto"/>
        <w:rPr>
          <w:rFonts w:asciiTheme="minorHAnsi" w:hAnsiTheme="minorHAnsi" w:cs="Arial"/>
          <w:szCs w:val="20"/>
        </w:rPr>
      </w:pPr>
    </w:p>
    <w:p w:rsidR="00475419" w:rsidRDefault="00475419" w:rsidP="00475419">
      <w:pPr>
        <w:spacing w:after="0" w:line="276" w:lineRule="auto"/>
        <w:rPr>
          <w:rFonts w:asciiTheme="minorHAnsi" w:hAnsiTheme="minorHAnsi" w:cs="Arial"/>
          <w:szCs w:val="20"/>
        </w:rPr>
      </w:pPr>
      <w:r w:rsidRPr="00F80905">
        <w:rPr>
          <w:rFonts w:asciiTheme="minorHAnsi" w:hAnsiTheme="minorHAnsi" w:cs="Arial"/>
          <w:szCs w:val="20"/>
        </w:rPr>
        <w:t>A continuación se muestra la estructura de los componentes por Objetivo Institucional:</w:t>
      </w:r>
    </w:p>
    <w:p w:rsidR="00475419" w:rsidRDefault="00475419" w:rsidP="00475419">
      <w:pPr>
        <w:spacing w:after="0" w:line="276" w:lineRule="auto"/>
        <w:rPr>
          <w:rFonts w:asciiTheme="minorHAnsi" w:hAnsiTheme="minorHAnsi" w:cs="Arial"/>
          <w:szCs w:val="20"/>
        </w:rPr>
      </w:pPr>
    </w:p>
    <w:p w:rsidR="00475419" w:rsidRPr="00535E30" w:rsidRDefault="000E4B39" w:rsidP="00475419">
      <w:pPr>
        <w:spacing w:line="276" w:lineRule="auto"/>
        <w:jc w:val="left"/>
        <w:rPr>
          <w:rFonts w:asciiTheme="minorHAnsi" w:hAnsiTheme="minorHAnsi" w:cs="Arial"/>
          <w:highlight w:val="yellow"/>
        </w:rPr>
      </w:pPr>
      <w:r>
        <w:rPr>
          <w:rFonts w:asciiTheme="minorHAnsi" w:hAnsiTheme="minorHAnsi" w:cs="Arial"/>
          <w:noProof/>
          <w:lang w:val="es-CO" w:eastAsia="es-CO"/>
        </w:rPr>
      </w:r>
      <w:r>
        <w:rPr>
          <w:rFonts w:asciiTheme="minorHAnsi" w:hAnsiTheme="minorHAnsi" w:cs="Arial"/>
          <w:noProof/>
          <w:lang w:val="es-CO" w:eastAsia="es-CO"/>
        </w:rPr>
        <w:pict>
          <v:group id="55 Grupo" o:spid="_x0000_s1046" style="width:477.4pt;height:470.65pt;mso-position-horizontal-relative:char;mso-position-vertical-relative:line" coordsize="60630,597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">
            <v:roundrect id="Rectángulo redondeado 31" o:spid="_x0000_s1047" style="position:absolute;left:16678;top:22025;width:11322;height:4394;visibility:visib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D4/sEA&#10;AADbAAAADwAAAGRycy9kb3ducmV2LnhtbESPQYvCMBSE74L/ITxhL6Kpe1i1GkUEl93TYiueH82z&#10;LSYvtYla/71ZEDwOM/MNs1x31ogbtb52rGAyTkAQF07XXCo45LvRDIQPyBqNY1LwIA/rVb+3xFS7&#10;O+/ploVSRAj7FBVUITSplL6oyKIfu4Y4eifXWgxRtqXULd4j3Br5mSRf0mLNcaHChrYVFefsahWw&#10;Md8z3uS/f5w1QzpO5snFBKU+Bt1mASJQF97hV/tHK5jO4f9L/AFy9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0w+P7BAAAA2wAAAA8AAAAAAAAAAAAAAAAAmAIAAGRycy9kb3du&#10;cmV2LnhtbFBLBQYAAAAABAAEAPUAAACGAwAAAAA=&#10;" fillcolor="#95b3d7" strokecolor="#95b3d7" strokeweight="1pt">
              <v:fill color2="#dbe5f1" angle="135" focus="50%" type="gradient"/>
              <v:shadow on="t" color="#243f60" opacity=".5" offset="1pt"/>
              <v:textbox>
                <w:txbxContent>
                  <w:p w:rsidR="00EB79AD" w:rsidRPr="004C63F7" w:rsidRDefault="00EB79AD" w:rsidP="00475419">
                    <w:pPr>
                      <w:spacing w:after="0"/>
                      <w:jc w:val="center"/>
                      <w:rPr>
                        <w:b/>
                        <w:sz w:val="20"/>
                        <w:szCs w:val="20"/>
                      </w:rPr>
                    </w:pPr>
                    <w:r w:rsidRPr="004C63F7">
                      <w:rPr>
                        <w:b/>
                        <w:sz w:val="20"/>
                        <w:szCs w:val="20"/>
                      </w:rPr>
                      <w:t>Desarrollo Institucional</w:t>
                    </w:r>
                  </w:p>
                </w:txbxContent>
              </v:textbox>
            </v:roundrect>
            <v:shape id="Flecha a la derecha con bandas 32" o:spid="_x0000_s1048" type="#_x0000_t93" style="position:absolute;left:28764;top:21627;width:3937;height:52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z1vMEA&#10;AADbAAAADwAAAGRycy9kb3ducmV2LnhtbERPy2oCMRTdF/yHcIXuNOOjRUejiFgQC4Xa1vV1cp0Z&#10;TG6GJOr492YhdHk47/mytUZcyYfasYJBPwNBXDhdc6ng9+ejNwERIrJG45gU3CnActF5mWOu3Y2/&#10;6bqPpUghHHJUUMXY5FKGoiKLoe8a4sSdnLcYE/Sl1B5vKdwaOcyyd2mx5tRQYUPriorz/mIVnMft&#10;oRn546c8mell9/aXfZnxRqnXbruagYjUxn/x073VCiZpffqSfoBcP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WM9bzBAAAA2wAAAA8AAAAAAAAAAAAAAAAAmAIAAGRycy9kb3du&#10;cmV2LnhtbFBLBQYAAAAABAAEAPUAAACGAwAAAAA=&#10;" fillcolor="#95b3d7" strokecolor="#95b3d7" strokeweight="1pt">
              <v:fill color2="#dbe5f1" angle="135" focus="50%" type="gradient"/>
              <v:shadow on="t" color="#243f60" opacity=".5" offset="1pt"/>
            </v:shape>
            <v:roundrect id="Rectángulo redondeado 33" o:spid="_x0000_s1049" style="position:absolute;left:33376;top:11449;width:26905;height:25527;visibility:visib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OE38IA&#10;AADbAAAADwAAAGRycy9kb3ducmV2LnhtbESPwWrDMBBE74X+g9hAL6WRnUNxHSshFFqSU4ldel6s&#10;jW0irVxLtd2/jwKBHIeZecMU29kaMdLgO8cK0mUCgrh2uuNGwXf18ZKB8AFZo3FMCv7Jw3bz+FBg&#10;rt3ERxrL0IgIYZ+jgjaEPpfS1y1Z9EvXE0fv5AaLIcqhkXrAKcKtkaskeZUWO44LLfb03lJ9Lv+s&#10;AjbmM+Nddfjisn+mn/Qt+TVBqafFvFuDCDSHe/jW3msFWQrXL/EHyM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k4TfwgAAANsAAAAPAAAAAAAAAAAAAAAAAJgCAABkcnMvZG93&#10;bnJldi54bWxQSwUGAAAAAAQABAD1AAAAhwMAAAAA&#10;" fillcolor="#95b3d7" strokecolor="#95b3d7" strokeweight="1pt">
              <v:fill color2="#dbe5f1" angle="135" focus="50%" type="gradient"/>
              <v:shadow on="t" color="#243f60" opacity=".5" offset="1pt"/>
              <v:textbox>
                <w:txbxContent>
                  <w:p w:rsidR="00EB79AD" w:rsidRPr="008022E1" w:rsidRDefault="00EB79AD" w:rsidP="00475419">
                    <w:pPr>
                      <w:pStyle w:val="Sinespaciado"/>
                      <w:numPr>
                        <w:ilvl w:val="0"/>
                        <w:numId w:val="1"/>
                      </w:numPr>
                      <w:ind w:left="284"/>
                      <w:rPr>
                        <w:b/>
                        <w:sz w:val="18"/>
                        <w:szCs w:val="20"/>
                      </w:rPr>
                    </w:pPr>
                    <w:r w:rsidRPr="008022E1">
                      <w:rPr>
                        <w:b/>
                        <w:sz w:val="18"/>
                        <w:szCs w:val="20"/>
                      </w:rPr>
                      <w:t>Gestión estratégica del campus</w:t>
                    </w:r>
                  </w:p>
                  <w:p w:rsidR="00EB79AD" w:rsidRPr="008022E1" w:rsidRDefault="00EB79AD" w:rsidP="00475419">
                    <w:pPr>
                      <w:pStyle w:val="Sinespaciado"/>
                      <w:numPr>
                        <w:ilvl w:val="0"/>
                        <w:numId w:val="1"/>
                      </w:numPr>
                      <w:ind w:left="284"/>
                      <w:rPr>
                        <w:b/>
                        <w:sz w:val="18"/>
                        <w:szCs w:val="20"/>
                      </w:rPr>
                    </w:pPr>
                    <w:r w:rsidRPr="008022E1">
                      <w:rPr>
                        <w:b/>
                        <w:sz w:val="18"/>
                        <w:szCs w:val="20"/>
                      </w:rPr>
                      <w:t>Gestión y sostenibilidad ambiental</w:t>
                    </w:r>
                  </w:p>
                  <w:p w:rsidR="00EB79AD" w:rsidRPr="008022E1" w:rsidRDefault="00EB79AD" w:rsidP="00475419">
                    <w:pPr>
                      <w:pStyle w:val="Sinespaciado"/>
                      <w:numPr>
                        <w:ilvl w:val="0"/>
                        <w:numId w:val="1"/>
                      </w:numPr>
                      <w:ind w:left="284"/>
                      <w:rPr>
                        <w:b/>
                        <w:sz w:val="18"/>
                        <w:szCs w:val="20"/>
                      </w:rPr>
                    </w:pPr>
                    <w:r w:rsidRPr="008022E1">
                      <w:rPr>
                        <w:b/>
                        <w:sz w:val="18"/>
                        <w:szCs w:val="20"/>
                      </w:rPr>
                      <w:t>Gestión de las sedes alternas</w:t>
                    </w:r>
                  </w:p>
                  <w:p w:rsidR="00EB79AD" w:rsidRPr="008022E1" w:rsidRDefault="00EB79AD" w:rsidP="00475419">
                    <w:pPr>
                      <w:pStyle w:val="Sinespaciado"/>
                      <w:numPr>
                        <w:ilvl w:val="0"/>
                        <w:numId w:val="1"/>
                      </w:numPr>
                      <w:ind w:left="284"/>
                      <w:rPr>
                        <w:b/>
                        <w:sz w:val="18"/>
                        <w:szCs w:val="20"/>
                      </w:rPr>
                    </w:pPr>
                    <w:r w:rsidRPr="008022E1">
                      <w:rPr>
                        <w:b/>
                        <w:sz w:val="18"/>
                        <w:szCs w:val="20"/>
                      </w:rPr>
                      <w:t>Sostenibilidad de la infraestructura física</w:t>
                    </w:r>
                  </w:p>
                  <w:p w:rsidR="00EB79AD" w:rsidRPr="008022E1" w:rsidRDefault="00EB79AD" w:rsidP="00475419">
                    <w:pPr>
                      <w:pStyle w:val="Sinespaciado"/>
                      <w:numPr>
                        <w:ilvl w:val="0"/>
                        <w:numId w:val="1"/>
                      </w:numPr>
                      <w:ind w:left="284"/>
                      <w:rPr>
                        <w:b/>
                        <w:sz w:val="18"/>
                        <w:szCs w:val="20"/>
                      </w:rPr>
                    </w:pPr>
                    <w:r w:rsidRPr="008022E1">
                      <w:rPr>
                        <w:b/>
                        <w:sz w:val="18"/>
                        <w:szCs w:val="20"/>
                      </w:rPr>
                      <w:t>Sistemas de información</w:t>
                    </w:r>
                  </w:p>
                  <w:p w:rsidR="00EB79AD" w:rsidRPr="008022E1" w:rsidRDefault="00EB79AD" w:rsidP="00475419">
                    <w:pPr>
                      <w:pStyle w:val="Sinespaciado"/>
                      <w:numPr>
                        <w:ilvl w:val="0"/>
                        <w:numId w:val="1"/>
                      </w:numPr>
                      <w:ind w:left="284"/>
                      <w:rPr>
                        <w:b/>
                        <w:sz w:val="18"/>
                        <w:szCs w:val="20"/>
                      </w:rPr>
                    </w:pPr>
                    <w:r w:rsidRPr="008022E1">
                      <w:rPr>
                        <w:b/>
                        <w:sz w:val="18"/>
                        <w:szCs w:val="20"/>
                      </w:rPr>
                      <w:t>Automatización de los recursos físicos</w:t>
                    </w:r>
                  </w:p>
                  <w:p w:rsidR="00EB79AD" w:rsidRPr="008022E1" w:rsidRDefault="00EB79AD" w:rsidP="00475419">
                    <w:pPr>
                      <w:pStyle w:val="Sinespaciado"/>
                      <w:numPr>
                        <w:ilvl w:val="0"/>
                        <w:numId w:val="1"/>
                      </w:numPr>
                      <w:ind w:left="284"/>
                      <w:rPr>
                        <w:b/>
                        <w:sz w:val="18"/>
                        <w:szCs w:val="20"/>
                      </w:rPr>
                    </w:pPr>
                    <w:r w:rsidRPr="008022E1">
                      <w:rPr>
                        <w:b/>
                        <w:sz w:val="18"/>
                        <w:szCs w:val="20"/>
                      </w:rPr>
                      <w:t>Sostenibilidad de hardware y software</w:t>
                    </w:r>
                  </w:p>
                  <w:p w:rsidR="00EB79AD" w:rsidRPr="008022E1" w:rsidRDefault="00EB79AD" w:rsidP="00475419">
                    <w:pPr>
                      <w:pStyle w:val="Sinespaciado"/>
                      <w:numPr>
                        <w:ilvl w:val="0"/>
                        <w:numId w:val="1"/>
                      </w:numPr>
                      <w:ind w:left="284"/>
                      <w:rPr>
                        <w:b/>
                        <w:sz w:val="18"/>
                        <w:szCs w:val="20"/>
                      </w:rPr>
                    </w:pPr>
                    <w:r w:rsidRPr="008022E1">
                      <w:rPr>
                        <w:b/>
                        <w:sz w:val="18"/>
                        <w:szCs w:val="20"/>
                      </w:rPr>
                      <w:t>Sistemas de comunicación</w:t>
                    </w:r>
                  </w:p>
                  <w:p w:rsidR="00EB79AD" w:rsidRPr="008022E1" w:rsidRDefault="00EB79AD" w:rsidP="00475419">
                    <w:pPr>
                      <w:pStyle w:val="Sinespaciado"/>
                      <w:numPr>
                        <w:ilvl w:val="0"/>
                        <w:numId w:val="1"/>
                      </w:numPr>
                      <w:ind w:left="284"/>
                      <w:rPr>
                        <w:b/>
                        <w:sz w:val="18"/>
                        <w:szCs w:val="20"/>
                      </w:rPr>
                    </w:pPr>
                    <w:r w:rsidRPr="008022E1">
                      <w:rPr>
                        <w:b/>
                        <w:sz w:val="18"/>
                        <w:szCs w:val="20"/>
                      </w:rPr>
                      <w:t>Procesos de gestión humana</w:t>
                    </w:r>
                  </w:p>
                  <w:p w:rsidR="00EB79AD" w:rsidRPr="008022E1" w:rsidRDefault="00EB79AD" w:rsidP="00475419">
                    <w:pPr>
                      <w:pStyle w:val="Sinespaciado"/>
                      <w:numPr>
                        <w:ilvl w:val="0"/>
                        <w:numId w:val="1"/>
                      </w:numPr>
                      <w:ind w:left="284"/>
                      <w:rPr>
                        <w:b/>
                        <w:sz w:val="18"/>
                        <w:szCs w:val="20"/>
                      </w:rPr>
                    </w:pPr>
                    <w:r w:rsidRPr="008022E1">
                      <w:rPr>
                        <w:b/>
                        <w:sz w:val="18"/>
                        <w:szCs w:val="20"/>
                      </w:rPr>
                      <w:t>Cultura organizacional</w:t>
                    </w:r>
                  </w:p>
                  <w:p w:rsidR="00EB79AD" w:rsidRPr="008022E1" w:rsidRDefault="00EB79AD" w:rsidP="00475419">
                    <w:pPr>
                      <w:pStyle w:val="Sinespaciado"/>
                      <w:numPr>
                        <w:ilvl w:val="0"/>
                        <w:numId w:val="1"/>
                      </w:numPr>
                      <w:ind w:left="284"/>
                      <w:rPr>
                        <w:b/>
                        <w:sz w:val="18"/>
                        <w:szCs w:val="20"/>
                      </w:rPr>
                    </w:pPr>
                    <w:r w:rsidRPr="008022E1">
                      <w:rPr>
                        <w:b/>
                        <w:sz w:val="18"/>
                        <w:szCs w:val="20"/>
                      </w:rPr>
                      <w:t>Estructura organizacional</w:t>
                    </w:r>
                  </w:p>
                  <w:p w:rsidR="00EB79AD" w:rsidRPr="008022E1" w:rsidRDefault="00EB79AD" w:rsidP="00475419">
                    <w:pPr>
                      <w:pStyle w:val="Sinespaciado"/>
                      <w:numPr>
                        <w:ilvl w:val="0"/>
                        <w:numId w:val="1"/>
                      </w:numPr>
                      <w:ind w:left="284"/>
                      <w:rPr>
                        <w:b/>
                        <w:sz w:val="18"/>
                        <w:szCs w:val="20"/>
                      </w:rPr>
                    </w:pPr>
                    <w:r w:rsidRPr="008022E1">
                      <w:rPr>
                        <w:b/>
                        <w:sz w:val="18"/>
                        <w:szCs w:val="20"/>
                      </w:rPr>
                      <w:t>Gestión de procesos</w:t>
                    </w:r>
                  </w:p>
                  <w:p w:rsidR="00EB79AD" w:rsidRPr="008022E1" w:rsidRDefault="00EB79AD" w:rsidP="00475419">
                    <w:pPr>
                      <w:pStyle w:val="Sinespaciado"/>
                      <w:numPr>
                        <w:ilvl w:val="0"/>
                        <w:numId w:val="1"/>
                      </w:numPr>
                      <w:ind w:left="284"/>
                      <w:rPr>
                        <w:b/>
                        <w:sz w:val="18"/>
                        <w:szCs w:val="20"/>
                      </w:rPr>
                    </w:pPr>
                    <w:r w:rsidRPr="008022E1">
                      <w:rPr>
                        <w:b/>
                        <w:sz w:val="18"/>
                        <w:szCs w:val="20"/>
                      </w:rPr>
                      <w:t>Optimización de ingresos</w:t>
                    </w:r>
                  </w:p>
                  <w:p w:rsidR="00EB79AD" w:rsidRPr="008022E1" w:rsidRDefault="00EB79AD" w:rsidP="00475419">
                    <w:pPr>
                      <w:pStyle w:val="Sinespaciado"/>
                      <w:numPr>
                        <w:ilvl w:val="0"/>
                        <w:numId w:val="1"/>
                      </w:numPr>
                      <w:ind w:left="284"/>
                      <w:rPr>
                        <w:b/>
                        <w:sz w:val="18"/>
                        <w:szCs w:val="20"/>
                      </w:rPr>
                    </w:pPr>
                    <w:r w:rsidRPr="008022E1">
                      <w:rPr>
                        <w:b/>
                        <w:sz w:val="18"/>
                        <w:szCs w:val="20"/>
                      </w:rPr>
                      <w:t>Nuevas líneas de financiamiento</w:t>
                    </w:r>
                  </w:p>
                  <w:p w:rsidR="00EB79AD" w:rsidRPr="008022E1" w:rsidRDefault="00EB79AD" w:rsidP="00475419">
                    <w:pPr>
                      <w:pStyle w:val="Sinespaciado"/>
                      <w:numPr>
                        <w:ilvl w:val="0"/>
                        <w:numId w:val="1"/>
                      </w:numPr>
                      <w:ind w:left="284"/>
                      <w:rPr>
                        <w:b/>
                        <w:sz w:val="18"/>
                        <w:szCs w:val="20"/>
                      </w:rPr>
                    </w:pPr>
                    <w:r w:rsidRPr="008022E1">
                      <w:rPr>
                        <w:b/>
                        <w:sz w:val="18"/>
                        <w:szCs w:val="20"/>
                      </w:rPr>
                      <w:t>Racionalización del uso de los recursos</w:t>
                    </w:r>
                  </w:p>
                </w:txbxContent>
              </v:textbox>
            </v:roundrect>
            <v:roundrect id="Rectángulo redondeado 34" o:spid="_x0000_s1050" style="position:absolute;left:17254;top:7737;width:14852;height:2838;visibility:visib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BrRMMA&#10;AADbAAAADwAAAGRycy9kb3ducmV2LnhtbESPQWsCMRSE7wX/Q3hCbzWrB5HVKCKKRUqp1oPeHpvn&#10;ZnHzEpNUt/++KRR6HGbmG2a26Gwr7hRi41jBcFCAIK6cbrhWcPzcvExAxISssXVMCr4pwmLee5ph&#10;qd2D93Q/pFpkCMcSFZiUfCllrAxZjAPnibN3ccFiyjLUUgd8ZLht5agoxtJiw3nBoKeVoep6+LIK&#10;ln639bfz/v0NDeLHJZzCeuuUeu53yymIRF36D/+1X7WCyQh+v+QfIO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ABrRMMAAADbAAAADwAAAAAAAAAAAAAAAACYAgAAZHJzL2Rv&#10;d25yZXYueG1sUEsFBgAAAAAEAAQA9QAAAIgDAAAAAA==&#10;" strokecolor="#4f81bd" strokeweight="2.5pt">
              <v:shadow color="#868686"/>
              <v:textbox>
                <w:txbxContent>
                  <w:p w:rsidR="00EB79AD" w:rsidRPr="000A4A89" w:rsidRDefault="00EB79AD" w:rsidP="00475419">
                    <w:pPr>
                      <w:jc w:val="center"/>
                      <w:rPr>
                        <w:b/>
                      </w:rPr>
                    </w:pPr>
                    <w:r w:rsidRPr="000A4A89">
                      <w:rPr>
                        <w:b/>
                      </w:rPr>
                      <w:t>Objetivo Institucional</w:t>
                    </w:r>
                  </w:p>
                </w:txbxContent>
              </v:textbox>
            </v:roundrect>
            <v:roundrect id="Rectángulo redondeado 35" o:spid="_x0000_s1051" style="position:absolute;left:35383;top:7737;width:22180;height:2838;visibility:visib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zO38QA&#10;AADbAAAADwAAAGRycy9kb3ducmV2LnhtbESPT2sCMRTE7wW/Q3hCbzWrhSKrUURaLCKl/jno7bF5&#10;bhY3LzFJdfvtm0Khx2FmfsNM551txY1CbBwrGA4KEMSV0w3XCg77t6cxiJiQNbaOScE3RZjPeg9T&#10;LLW785Zuu1SLDOFYogKTki+ljJUhi3HgPHH2zi5YTFmGWuqA9wy3rRwVxYu02HBeMOhpaai67L6s&#10;goVfr/z1tP3YoEH8PIdjeF05pR773WICIlGX/sN/7XetYPwMv1/yD5C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NMzt/EAAAA2wAAAA8AAAAAAAAAAAAAAAAAmAIAAGRycy9k&#10;b3ducmV2LnhtbFBLBQYAAAAABAAEAPUAAACJAwAAAAA=&#10;" strokecolor="#4f81bd" strokeweight="2.5pt">
              <v:shadow color="#868686"/>
              <v:textbox>
                <w:txbxContent>
                  <w:p w:rsidR="00EB79AD" w:rsidRPr="000A4A89" w:rsidRDefault="00EB79AD" w:rsidP="00475419">
                    <w:pPr>
                      <w:jc w:val="center"/>
                      <w:rPr>
                        <w:b/>
                      </w:rPr>
                    </w:pPr>
                    <w:r>
                      <w:rPr>
                        <w:b/>
                      </w:rPr>
                      <w:t>Componentes</w:t>
                    </w:r>
                  </w:p>
                </w:txbxContent>
              </v:textbox>
            </v:roundrect>
            <v:roundrect id="Rectángulo redondeado 36" o:spid="_x0000_s1052" style="position:absolute;left:16678;top:39358;width:11430;height:6223;visibility:visib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QnR8EA&#10;AADbAAAADwAAAGRycy9kb3ducmV2LnhtbESPQYvCMBSE74L/ITxhL6KpskitRhFhZfckVvH8aJ5t&#10;MXmpTVbrvzfCwh6HmfmGWa47a8SdWl87VjAZJyCIC6drLhWcjl+jFIQPyBqNY1LwJA/rVb+3xEy7&#10;Bx/onodSRAj7DBVUITSZlL6oyKIfu4Y4ehfXWgxRtqXULT4i3Bo5TZKZtFhzXKiwoW1FxTX/tQrY&#10;mF3Km+PPnvNmSOfJPLmZoNTHoNssQATqwn/4r/2tFaSf8P4Sf4Bcv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bkJ0fBAAAA2wAAAA8AAAAAAAAAAAAAAAAAmAIAAGRycy9kb3du&#10;cmV2LnhtbFBLBQYAAAAABAAEAPUAAACGAwAAAAA=&#10;" fillcolor="#95b3d7" strokecolor="#95b3d7" strokeweight="1pt">
              <v:fill color2="#dbe5f1" angle="135" focus="50%" type="gradient"/>
              <v:shadow on="t" color="#243f60" opacity=".5" offset="1pt"/>
              <v:textbox>
                <w:txbxContent>
                  <w:p w:rsidR="00EB79AD" w:rsidRPr="004C63F7" w:rsidRDefault="00EB79AD" w:rsidP="00475419">
                    <w:pPr>
                      <w:spacing w:after="0"/>
                      <w:jc w:val="center"/>
                      <w:rPr>
                        <w:b/>
                        <w:sz w:val="20"/>
                        <w:szCs w:val="20"/>
                      </w:rPr>
                    </w:pPr>
                    <w:r w:rsidRPr="004C63F7">
                      <w:rPr>
                        <w:b/>
                        <w:sz w:val="20"/>
                        <w:szCs w:val="20"/>
                      </w:rPr>
                      <w:t>Cobertura con calidad de la oferta educativa</w:t>
                    </w:r>
                  </w:p>
                </w:txbxContent>
              </v:textbox>
            </v:roundrect>
            <v:shape id="Flecha a la derecha con bandas 37" o:spid="_x0000_s1053" type="#_x0000_t93" style="position:absolute;left:28685;top:40074;width:4254;height:52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tWJMQA&#10;AADbAAAADwAAAGRycy9kb3ducmV2LnhtbESPW2sCMRSE3wv+h3CEvtWsV3Q1ioiF0kKh3p6Pm+Pu&#10;YnKyJFG3/74pFPo4zMw3zGLVWiPu5EPtWEG/l4EgLpyuuVRw2L++TEGEiKzROCYF3xRgtew8LTDX&#10;7sFfdN/FUiQIhxwVVDE2uZShqMhi6LmGOHkX5y3GJH0ptcdHglsjB1k2kRZrTgsVNrSpqLjublbB&#10;ddSemqE/f8iLmd3ex8fs04y2Sj132/UcRKQ2/of/2m9awXQMv1/SD5D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7ViTEAAAA2wAAAA8AAAAAAAAAAAAAAAAAmAIAAGRycy9k&#10;b3ducmV2LnhtbFBLBQYAAAAABAAEAPUAAACJAwAAAAA=&#10;" fillcolor="#95b3d7" strokecolor="#95b3d7" strokeweight="1pt">
              <v:fill color2="#dbe5f1" angle="135" focus="50%" type="gradient"/>
              <v:shadow on="t" color="#243f60" opacity=".5" offset="1pt"/>
            </v:shape>
            <v:roundrect id="Rectángulo redondeado 54" o:spid="_x0000_s1054" style="position:absolute;left:33535;top:37927;width:26886;height:9640;visibility:visib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ocq8AA&#10;AADbAAAADwAAAGRycy9kb3ducmV2LnhtbESPQYvCMBSE7wv+h/CEvSyaugep1SgiKHparOL50Tzb&#10;YvJSm6j1328EweMwM98ws0VnjbhT62vHCkbDBARx4XTNpYLjYT1IQfiArNE4JgVP8rCY975mmGn3&#10;4D3d81CKCGGfoYIqhCaT0hcVWfRD1xBH7+xaiyHKtpS6xUeEWyN/k2QsLdYcFypsaFVRcclvVgEb&#10;s0l5edj9cd780Gk0Sa4mKPXd75ZTEIG68Am/21utIB3D60v8AXL+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Xocq8AAAADbAAAADwAAAAAAAAAAAAAAAACYAgAAZHJzL2Rvd25y&#10;ZXYueG1sUEsFBgAAAAAEAAQA9QAAAIUDAAAAAA==&#10;" fillcolor="#95b3d7" strokecolor="#95b3d7" strokeweight="1pt">
              <v:fill color2="#dbe5f1" angle="135" focus="50%" type="gradient"/>
              <v:shadow on="t" color="#243f60" opacity=".5" offset="1pt"/>
              <v:textbox>
                <w:txbxContent>
                  <w:p w:rsidR="00EB79AD" w:rsidRPr="004C63F7" w:rsidRDefault="00EB79AD" w:rsidP="00475419">
                    <w:pPr>
                      <w:pStyle w:val="Sinespaciado"/>
                      <w:numPr>
                        <w:ilvl w:val="0"/>
                        <w:numId w:val="2"/>
                      </w:numPr>
                      <w:ind w:left="284"/>
                      <w:rPr>
                        <w:b/>
                        <w:sz w:val="20"/>
                        <w:szCs w:val="20"/>
                      </w:rPr>
                    </w:pPr>
                    <w:r w:rsidRPr="004C63F7">
                      <w:rPr>
                        <w:b/>
                        <w:sz w:val="20"/>
                        <w:szCs w:val="20"/>
                      </w:rPr>
                      <w:t>Educabilidad</w:t>
                    </w:r>
                  </w:p>
                  <w:p w:rsidR="00EB79AD" w:rsidRPr="004C63F7" w:rsidRDefault="00EB79AD" w:rsidP="00475419">
                    <w:pPr>
                      <w:pStyle w:val="Sinespaciado"/>
                      <w:numPr>
                        <w:ilvl w:val="0"/>
                        <w:numId w:val="2"/>
                      </w:numPr>
                      <w:ind w:left="284"/>
                      <w:rPr>
                        <w:b/>
                        <w:sz w:val="20"/>
                        <w:szCs w:val="20"/>
                      </w:rPr>
                    </w:pPr>
                    <w:r w:rsidRPr="004C63F7">
                      <w:rPr>
                        <w:b/>
                        <w:sz w:val="20"/>
                        <w:szCs w:val="20"/>
                      </w:rPr>
                      <w:t>Aprendibilidad</w:t>
                    </w:r>
                  </w:p>
                  <w:p w:rsidR="00EB79AD" w:rsidRPr="004C63F7" w:rsidRDefault="00EB79AD" w:rsidP="00475419">
                    <w:pPr>
                      <w:pStyle w:val="Sinespaciado"/>
                      <w:numPr>
                        <w:ilvl w:val="0"/>
                        <w:numId w:val="2"/>
                      </w:numPr>
                      <w:ind w:left="284"/>
                      <w:rPr>
                        <w:b/>
                        <w:sz w:val="20"/>
                        <w:szCs w:val="20"/>
                      </w:rPr>
                    </w:pPr>
                    <w:r w:rsidRPr="004C63F7">
                      <w:rPr>
                        <w:b/>
                        <w:sz w:val="20"/>
                        <w:szCs w:val="20"/>
                      </w:rPr>
                      <w:t>Educatividad</w:t>
                    </w:r>
                  </w:p>
                  <w:p w:rsidR="00EB79AD" w:rsidRPr="004C63F7" w:rsidRDefault="00EB79AD" w:rsidP="00475419">
                    <w:pPr>
                      <w:pStyle w:val="Sinespaciado"/>
                      <w:numPr>
                        <w:ilvl w:val="0"/>
                        <w:numId w:val="2"/>
                      </w:numPr>
                      <w:ind w:left="284"/>
                      <w:rPr>
                        <w:b/>
                        <w:sz w:val="20"/>
                        <w:szCs w:val="20"/>
                      </w:rPr>
                    </w:pPr>
                    <w:r w:rsidRPr="004C63F7">
                      <w:rPr>
                        <w:b/>
                        <w:sz w:val="20"/>
                        <w:szCs w:val="20"/>
                      </w:rPr>
                      <w:t>Enseñabilidad</w:t>
                    </w:r>
                  </w:p>
                  <w:p w:rsidR="00EB79AD" w:rsidRPr="004C63F7" w:rsidRDefault="00EB79AD" w:rsidP="00475419">
                    <w:pPr>
                      <w:pStyle w:val="Sinespaciado"/>
                      <w:numPr>
                        <w:ilvl w:val="0"/>
                        <w:numId w:val="2"/>
                      </w:numPr>
                      <w:ind w:left="284"/>
                      <w:rPr>
                        <w:b/>
                        <w:sz w:val="20"/>
                        <w:szCs w:val="20"/>
                      </w:rPr>
                    </w:pPr>
                    <w:r w:rsidRPr="004C63F7">
                      <w:rPr>
                        <w:b/>
                        <w:sz w:val="20"/>
                        <w:szCs w:val="20"/>
                      </w:rPr>
                      <w:t>Cobertura</w:t>
                    </w:r>
                  </w:p>
                </w:txbxContent>
              </v:textbox>
            </v:roundrect>
            <v:roundrect id="Rectángulo redondeado 38" o:spid="_x0000_s1055" style="position:absolute;left:17314;top:51762;width:10529;height:5030;visibility:visib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a5MMEA&#10;AADbAAAADwAAAGRycy9kb3ducmV2LnhtbESPQYvCMBSE74L/ITxhL6KpHtZajSLCyu5JrOL50Tzb&#10;YvJSm6zWf2+EhT0OM/MNs1x31og7tb52rGAyTkAQF07XXCo4Hb9GKQgfkDUax6TgSR7Wq35viZl2&#10;Dz7QPQ+liBD2GSqoQmgyKX1RkUU/dg1x9C6utRiibEupW3xEuDVymiSf0mLNcaHChrYVFdf81ypg&#10;Y3Ypb44/e86bIZ0n8+RmglIfg26zABGoC//hv/a3VpDO4P0l/gC5e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Y2uTDBAAAA2wAAAA8AAAAAAAAAAAAAAAAAmAIAAGRycy9kb3du&#10;cmV2LnhtbFBLBQYAAAAABAAEAPUAAACGAwAAAAA=&#10;" fillcolor="#95b3d7" strokecolor="#95b3d7" strokeweight="1pt">
              <v:fill color2="#dbe5f1" angle="135" focus="50%" type="gradient"/>
              <v:shadow on="t" color="#243f60" opacity=".5" offset="1pt"/>
              <v:textbox>
                <w:txbxContent>
                  <w:p w:rsidR="00EB79AD" w:rsidRPr="004C63F7" w:rsidRDefault="00EB79AD" w:rsidP="00475419">
                    <w:pPr>
                      <w:spacing w:after="0"/>
                      <w:jc w:val="center"/>
                      <w:rPr>
                        <w:b/>
                        <w:sz w:val="20"/>
                        <w:szCs w:val="20"/>
                      </w:rPr>
                    </w:pPr>
                    <w:r w:rsidRPr="004C63F7">
                      <w:rPr>
                        <w:b/>
                        <w:sz w:val="20"/>
                        <w:szCs w:val="20"/>
                      </w:rPr>
                      <w:t>Bienestar Institucional</w:t>
                    </w:r>
                  </w:p>
                </w:txbxContent>
              </v:textbox>
            </v:roundrect>
            <v:shape id="Flecha a la derecha con bandas 39" o:spid="_x0000_s1056" type="#_x0000_t93" style="position:absolute;left:28526;top:51524;width:4267;height:52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5usEA&#10;AADbAAAADwAAAGRycy9kb3ducmV2LnhtbERPy2oCMRTdF/yHcIXuNOOjRUejiFgQC4Xa1vV1cp0Z&#10;TG6GJOr492YhdHk47/mytUZcyYfasYJBPwNBXDhdc6ng9+ejNwERIrJG45gU3CnActF5mWOu3Y2/&#10;6bqPpUghHHJUUMXY5FKGoiKLoe8a4sSdnLcYE/Sl1B5vKdwaOcyyd2mx5tRQYUPriorz/mIVnMft&#10;oRn546c8mell9/aXfZnxRqnXbruagYjUxn/x073VCiZpbPqSfoBcP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v6+brBAAAA2wAAAA8AAAAAAAAAAAAAAAAAmAIAAGRycy9kb3du&#10;cmV2LnhtbFBLBQYAAAAABAAEAPUAAACGAwAAAAA=&#10;" fillcolor="#95b3d7" strokecolor="#95b3d7" strokeweight="1pt">
              <v:fill color2="#dbe5f1" angle="135" focus="50%" type="gradient"/>
              <v:shadow on="t" color="#243f60" opacity=".5" offset="1pt"/>
            </v:shape>
            <v:roundrect id="Rectángulo redondeado 40" o:spid="_x0000_s1057" style="position:absolute;left:33535;top:48423;width:27095;height:11347;visibility:visib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WI2cEA&#10;AADbAAAADwAAAGRycy9kb3ducmV2LnhtbESPQYvCMBSE74L/ITxhL6Kpe1hqNYoIynpathXPj+bZ&#10;FpOX2kTt/nsjCHscZuYbZrnurRF36nzjWMFsmoAgLp1uuFJwLHaTFIQPyBqNY1LwRx7Wq+FgiZl2&#10;D/6lex4qESHsM1RQh9BmUvqyJot+6lri6J1dZzFE2VVSd/iIcGvkZ5J8SYsNx4UaW9rWVF7ym1XA&#10;xuxT3hSHH87bMZ1m8+RqglIfo36zABGoD//hd/tbK0jn8PoSf4BcP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jliNnBAAAA2wAAAA8AAAAAAAAAAAAAAAAAmAIAAGRycy9kb3du&#10;cmV2LnhtbFBLBQYAAAAABAAEAPUAAACGAwAAAAA=&#10;" fillcolor="#95b3d7" strokecolor="#95b3d7" strokeweight="1pt">
              <v:fill color2="#dbe5f1" angle="135" focus="50%" type="gradient"/>
              <v:shadow on="t" color="#243f60" opacity=".5" offset="1pt"/>
              <v:textbox>
                <w:txbxContent>
                  <w:p w:rsidR="00EB79AD" w:rsidRPr="004C63F7" w:rsidRDefault="00EB79AD" w:rsidP="00475419">
                    <w:pPr>
                      <w:pStyle w:val="Sinespaciado"/>
                      <w:numPr>
                        <w:ilvl w:val="0"/>
                        <w:numId w:val="3"/>
                      </w:numPr>
                      <w:ind w:left="284"/>
                      <w:rPr>
                        <w:b/>
                        <w:sz w:val="20"/>
                        <w:szCs w:val="20"/>
                      </w:rPr>
                    </w:pPr>
                    <w:r w:rsidRPr="004C63F7">
                      <w:rPr>
                        <w:b/>
                        <w:sz w:val="20"/>
                        <w:szCs w:val="20"/>
                      </w:rPr>
                      <w:t>Formación integral</w:t>
                    </w:r>
                  </w:p>
                  <w:p w:rsidR="00EB79AD" w:rsidRPr="004C63F7" w:rsidRDefault="00EB79AD" w:rsidP="00475419">
                    <w:pPr>
                      <w:pStyle w:val="Sinespaciado"/>
                      <w:numPr>
                        <w:ilvl w:val="0"/>
                        <w:numId w:val="3"/>
                      </w:numPr>
                      <w:ind w:left="284"/>
                      <w:rPr>
                        <w:b/>
                        <w:sz w:val="20"/>
                        <w:szCs w:val="20"/>
                      </w:rPr>
                    </w:pPr>
                    <w:r w:rsidRPr="004C63F7">
                      <w:rPr>
                        <w:b/>
                        <w:sz w:val="20"/>
                        <w:szCs w:val="20"/>
                      </w:rPr>
                      <w:t>Salud Integral</w:t>
                    </w:r>
                  </w:p>
                  <w:p w:rsidR="00EB79AD" w:rsidRPr="004C63F7" w:rsidRDefault="00EB79AD" w:rsidP="00475419">
                    <w:pPr>
                      <w:pStyle w:val="Sinespaciado"/>
                      <w:numPr>
                        <w:ilvl w:val="0"/>
                        <w:numId w:val="3"/>
                      </w:numPr>
                      <w:ind w:left="284"/>
                      <w:rPr>
                        <w:b/>
                        <w:sz w:val="20"/>
                        <w:szCs w:val="20"/>
                      </w:rPr>
                    </w:pPr>
                    <w:r w:rsidRPr="004C63F7">
                      <w:rPr>
                        <w:b/>
                        <w:sz w:val="20"/>
                        <w:szCs w:val="20"/>
                      </w:rPr>
                      <w:t>Atención integral y cultura democrática, participativa e incluyente</w:t>
                    </w:r>
                  </w:p>
                  <w:p w:rsidR="00EB79AD" w:rsidRPr="004C63F7" w:rsidRDefault="00EB79AD" w:rsidP="00475419">
                    <w:pPr>
                      <w:pStyle w:val="Sinespaciado"/>
                      <w:numPr>
                        <w:ilvl w:val="0"/>
                        <w:numId w:val="3"/>
                      </w:numPr>
                      <w:ind w:left="284"/>
                      <w:rPr>
                        <w:b/>
                        <w:sz w:val="20"/>
                        <w:szCs w:val="20"/>
                      </w:rPr>
                    </w:pPr>
                    <w:r w:rsidRPr="004C63F7">
                      <w:rPr>
                        <w:b/>
                        <w:sz w:val="20"/>
                        <w:szCs w:val="20"/>
                      </w:rPr>
                      <w:t>Observatorio Social</w:t>
                    </w:r>
                  </w:p>
                  <w:p w:rsidR="00EB79AD" w:rsidRPr="004C63F7" w:rsidRDefault="00EB79AD" w:rsidP="00475419">
                    <w:pPr>
                      <w:pStyle w:val="Sinespaciado"/>
                      <w:numPr>
                        <w:ilvl w:val="0"/>
                        <w:numId w:val="3"/>
                      </w:numPr>
                      <w:ind w:left="284"/>
                      <w:rPr>
                        <w:b/>
                        <w:sz w:val="20"/>
                        <w:szCs w:val="20"/>
                      </w:rPr>
                    </w:pPr>
                    <w:r w:rsidRPr="004C63F7">
                      <w:rPr>
                        <w:b/>
                        <w:sz w:val="20"/>
                        <w:szCs w:val="20"/>
                      </w:rPr>
                      <w:t>Gestión estratégica</w:t>
                    </w:r>
                  </w:p>
                </w:txbxContent>
              </v:textbox>
            </v:roundrect>
            <v:roundrect id="Rectángulo redondeado 42" o:spid="_x0000_s1058" style="position:absolute;left:2385;top:7737;width:10090;height:2838;visibility:visib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fGdcAA&#10;AADbAAAADwAAAGRycy9kb3ducmV2LnhtbERPTWsCMRC9C/0PYQreNFsPolujSKkoIqK2h/Y2bMbN&#10;0s0kJlG3/745CD0+3vds0dlW3CjExrGCl2EBgrhyuuFawefHajABEROyxtYxKfilCIv5U2+GpXZ3&#10;PtLtlGqRQziWqMCk5EspY2XIYhw6T5y5swsWU4ahljrgPYfbVo6KYiwtNpwbDHp6M1T9nK5WwdJv&#10;1/7yfdzv0CAezuErvK+dUv3nbvkKIlGX/sUP90YrmOb1+Uv+AXL+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kfGdcAAAADbAAAADwAAAAAAAAAAAAAAAACYAgAAZHJzL2Rvd25y&#10;ZXYueG1sUEsFBgAAAAAEAAQA9QAAAIUDAAAAAA==&#10;" strokecolor="#4f81bd" strokeweight="2.5pt">
              <v:shadow color="#868686"/>
              <v:textbox>
                <w:txbxContent>
                  <w:p w:rsidR="00EB79AD" w:rsidRPr="002B224E" w:rsidRDefault="00EB79AD" w:rsidP="00475419">
                    <w:pPr>
                      <w:jc w:val="center"/>
                      <w:rPr>
                        <w:b/>
                        <w:lang w:val="es-CO"/>
                      </w:rPr>
                    </w:pPr>
                    <w:r>
                      <w:rPr>
                        <w:b/>
                        <w:lang w:val="es-CO"/>
                      </w:rPr>
                      <w:t>Fines</w:t>
                    </w:r>
                  </w:p>
                </w:txbxContent>
              </v:textbox>
            </v:roundrect>
            <v:rect id="Rectángulo 44" o:spid="_x0000_s1059" style="position:absolute;left:34906;top:3657;width:22180;height:305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7J3sUA&#10;AADbAAAADwAAAGRycy9kb3ducmV2LnhtbESPQWvCQBSE70L/w/IKvelGoaLRTSitUi85qO3B2yP7&#10;moRm36bZNYn99a4geBxm5htmnQ6mFh21rrKsYDqJQBDnVldcKPg6bscLEM4ja6wtk4ILOUiTp9Ea&#10;Y2173lN38IUIEHYxKii9b2IpXV6SQTexDXHwfmxr0AfZFlK32Ae4qeUsiubSYMVhocSG3kvKfw9n&#10;o8Aea+y/X+d/u6xbfn78b7JLf8qUenke3lYgPA3+Eb63d1rBcgq3L+EHyOQ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rsnexQAAANsAAAAPAAAAAAAAAAAAAAAAAJgCAABkcnMv&#10;ZG93bnJldi54bWxQSwUGAAAAAAQABAD1AAAAigMAAAAA&#10;" fillcolor="#9bbb59 [3206]" strokecolor="#f2f2f2 [3041]" strokeweight="3pt">
              <v:shadow on="t" color="#4e6128 [1606]" opacity=".5" offset="1pt"/>
              <v:textbox>
                <w:txbxContent>
                  <w:p w:rsidR="00EB79AD" w:rsidRPr="002B224E" w:rsidRDefault="00EB79AD" w:rsidP="00475419">
                    <w:pPr>
                      <w:jc w:val="center"/>
                      <w:rPr>
                        <w:b/>
                        <w:lang w:val="es-CO"/>
                      </w:rPr>
                    </w:pPr>
                    <w:r w:rsidRPr="002B224E">
                      <w:rPr>
                        <w:b/>
                        <w:lang w:val="es-CO"/>
                      </w:rPr>
                      <w:t xml:space="preserve">Nivel </w:t>
                    </w:r>
                    <w:r>
                      <w:rPr>
                        <w:b/>
                        <w:lang w:val="es-CO"/>
                      </w:rPr>
                      <w:t>táctico</w:t>
                    </w:r>
                  </w:p>
                </w:txbxContent>
              </v:textbox>
            </v:rect>
            <v:rect id="Rectángulo 45" o:spid="_x0000_s1060" style="position:absolute;left:1908;top:3578;width:29445;height:305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xXqcUA&#10;AADbAAAADwAAAGRycy9kb3ducmV2LnhtbESPQWvCQBSE7wX/w/KE3uqmQkWjqxTbUi85aPTg7ZF9&#10;JsHs25jdJrG/3hUEj8PMfMMsVr2pREuNKy0reB9FIIgzq0vOFezTn7cpCOeRNVaWScGVHKyWg5cF&#10;xtp2vKV253MRIOxiVFB4X8dSuqwgg25ka+LgnWxj0AfZ5FI32AW4qeQ4iibSYMlhocCa1gVl592f&#10;UWDTCrvDx+SySdrZ79f/d3LtjolSr8P+cw7CU++f4Ud7oxXMxnD/En6AX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fFepxQAAANsAAAAPAAAAAAAAAAAAAAAAAJgCAABkcnMv&#10;ZG93bnJldi54bWxQSwUGAAAAAAQABAD1AAAAigMAAAAA&#10;" fillcolor="#9bbb59 [3206]" strokecolor="#f2f2f2 [3041]" strokeweight="3pt">
              <v:shadow on="t" color="#4e6128 [1606]" opacity=".5" offset="1pt"/>
              <v:textbox>
                <w:txbxContent>
                  <w:p w:rsidR="00EB79AD" w:rsidRPr="002B224E" w:rsidRDefault="00EB79AD" w:rsidP="00475419">
                    <w:pPr>
                      <w:jc w:val="center"/>
                      <w:rPr>
                        <w:b/>
                        <w:lang w:val="es-CO"/>
                      </w:rPr>
                    </w:pPr>
                    <w:r w:rsidRPr="002B224E">
                      <w:rPr>
                        <w:b/>
                        <w:lang w:val="es-CO"/>
                      </w:rPr>
                      <w:t xml:space="preserve">Nivel </w:t>
                    </w:r>
                    <w:r>
                      <w:rPr>
                        <w:b/>
                        <w:lang w:val="es-CO"/>
                      </w:rPr>
                      <w:t>estratégico</w:t>
                    </w:r>
                  </w:p>
                </w:txbxContent>
              </v:textbox>
            </v:rect>
            <v:roundrect id="Rectángulo redondeado 46" o:spid="_x0000_s1061" style="position:absolute;top:24728;width:15532;height:19387;visibility:visib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Qp7sEA&#10;AADbAAAADwAAAGRycy9kb3ducmV2LnhtbESPQYvCMBSE74L/ITxhL6KpuyBajSKCy+5psRXPj+bZ&#10;FpOX2kSt/94sCB6HmfmGWa47a8SNWl87VjAZJyCIC6drLhUc8t1oBsIHZI3GMSl4kIf1qt9bYqrd&#10;nfd0y0IpIoR9igqqEJpUSl9UZNGPXUMcvZNrLYYo21LqFu8Rbo38TJKptFhzXKiwoW1FxTm7WgVs&#10;zPeMN/nvH2fNkI6TeXIxQamPQbdZgAjUhXf41f7RCuZf8P8l/gC5e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zUKe7BAAAA2wAAAA8AAAAAAAAAAAAAAAAAmAIAAGRycy9kb3du&#10;cmV2LnhtbFBLBQYAAAAABAAEAPUAAACGAwAAAAA=&#10;" fillcolor="#95b3d7" strokecolor="#95b3d7" strokeweight="1pt">
              <v:fill color2="#dbe5f1" angle="135" focus="50%" type="gradient"/>
              <v:shadow on="t" color="#243f60" opacity=".5" offset="1pt"/>
              <v:textbox>
                <w:txbxContent>
                  <w:p w:rsidR="00EB79AD" w:rsidRPr="004C63F7" w:rsidRDefault="00EB79AD" w:rsidP="00475419">
                    <w:pPr>
                      <w:pStyle w:val="Sinespaciado"/>
                      <w:jc w:val="center"/>
                      <w:rPr>
                        <w:b/>
                        <w:sz w:val="20"/>
                        <w:szCs w:val="20"/>
                      </w:rPr>
                    </w:pPr>
                    <w:r>
                      <w:rPr>
                        <w:b/>
                        <w:sz w:val="20"/>
                        <w:szCs w:val="20"/>
                        <w:lang w:val="es-CO"/>
                      </w:rPr>
                      <w:t>Realizar aportes en el desarrollo social, económico, competitivo, científico tecnológico y financiero de los participantes en las alianzas estratégicas enmarcadas dentro del respeto y la ética</w:t>
                    </w:r>
                  </w:p>
                </w:txbxContent>
              </v:textbox>
            </v:roundrect>
            <v:rect id="Rectángulo 51" o:spid="_x0000_s1062" style="position:absolute;left:795;width:58680;height:305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KPlMUA&#10;AADbAAAADwAAAGRycy9kb3ducmV2LnhtbESPQWvCQBSE74X+h+UVvOmmIkVTVyliVNCLaS69vWRf&#10;k2D2bciuGvvrXUHocZiZb5j5sjeNuFDnassK3kcRCOLC6ppLBdl3MpyCcB5ZY2OZFNzIwXLx+jLH&#10;WNsrH+mS+lIECLsYFVTet7GUrqjIoBvZljh4v7Yz6IPsSqk7vAa4aeQ4ij6kwZrDQoUtrSoqTunZ&#10;KCh3aX9Y2032t93nSZZM9vnPKVdq8NZ/fYLw1Pv/8LO90wpmE3h8CT9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4o+UxQAAANsAAAAPAAAAAAAAAAAAAAAAAJgCAABkcnMv&#10;ZG93bnJldi54bWxQSwUGAAAAAAQABAD1AAAAigMAAAAA&#10;" fillcolor="#4f81bd [3204]" strokecolor="#f2f2f2 [3041]" strokeweight="3pt">
              <v:shadow on="t" color="#243f60 [1604]" opacity=".5" offset="1pt"/>
              <v:textbox>
                <w:txbxContent>
                  <w:p w:rsidR="00EB79AD" w:rsidRPr="002B224E" w:rsidRDefault="00EB79AD" w:rsidP="00475419">
                    <w:pPr>
                      <w:jc w:val="center"/>
                      <w:rPr>
                        <w:b/>
                        <w:lang w:val="es-CO"/>
                      </w:rPr>
                    </w:pPr>
                    <w:r>
                      <w:rPr>
                        <w:b/>
                        <w:lang w:val="es-CO"/>
                      </w:rPr>
                      <w:t>Estructura de la cadena de logro del Plan de Desarrollo Institucional</w:t>
                    </w:r>
                  </w:p>
                </w:txbxContent>
              </v:textbox>
            </v:rect>
            <w10:wrap type="none"/>
            <w10:anchorlock/>
          </v:group>
        </w:pict>
      </w:r>
      <w:r w:rsidR="00475419" w:rsidRPr="00535E30">
        <w:rPr>
          <w:rFonts w:asciiTheme="minorHAnsi" w:hAnsiTheme="minorHAnsi" w:cs="Arial"/>
          <w:highlight w:val="yellow"/>
        </w:rPr>
        <w:br w:type="page"/>
      </w:r>
    </w:p>
    <w:p w:rsidR="00475419" w:rsidRPr="00535E30" w:rsidRDefault="000E4B39" w:rsidP="00475419">
      <w:pPr>
        <w:spacing w:after="0" w:line="276" w:lineRule="auto"/>
        <w:jc w:val="left"/>
        <w:rPr>
          <w:rFonts w:asciiTheme="minorHAnsi" w:hAnsiTheme="minorHAnsi" w:cs="Arial"/>
          <w:highlight w:val="yellow"/>
        </w:rPr>
      </w:pPr>
      <w:r>
        <w:rPr>
          <w:rFonts w:asciiTheme="minorHAnsi" w:hAnsiTheme="minorHAnsi" w:cs="Arial"/>
          <w:noProof/>
          <w:lang w:val="es-CO" w:eastAsia="es-CO"/>
        </w:rPr>
      </w:r>
      <w:r>
        <w:rPr>
          <w:rFonts w:asciiTheme="minorHAnsi" w:hAnsiTheme="minorHAnsi" w:cs="Arial"/>
          <w:noProof/>
          <w:lang w:val="es-CO" w:eastAsia="es-CO"/>
        </w:rPr>
        <w:pict>
          <v:group id="56 Grupo" o:spid="_x0000_s1063" style="width:480.5pt;height:470.1pt;mso-position-horizontal-relative:char;mso-position-vertical-relative:line" coordsize="61024,597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">
            <v:roundrect id="Rectángulo redondeado 18" o:spid="_x0000_s1064" style="position:absolute;left:17492;top:17219;width:12357;height:7061;visibility:visib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J21MMA&#10;AADbAAAADwAAAGRycy9kb3ducmV2LnhtbESPQWvCQBSE74L/YXlCL1I3aUBs6ipSaGlPYiKeH9nX&#10;JLj7Nma3Sfrvu0Khx2FmvmG2+8kaMVDvW8cK0lUCgrhyuuVawbl8e9yA8AFZo3FMCn7Iw343n20x&#10;127kEw1FqEWEsM9RQRNCl0vpq4Ys+pXriKP35XqLIcq+lrrHMcKtkU9JspYWW44LDXb02lB1Lb6t&#10;AjbmfcOH8vPIRbekS/qc3ExQ6mExHV5ABJrCf/iv/aEVZBncv8Qf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J21MMAAADbAAAADwAAAAAAAAAAAAAAAACYAgAAZHJzL2Rv&#10;d25yZXYueG1sUEsFBgAAAAAEAAQA9QAAAIgDAAAAAA==&#10;" fillcolor="#95b3d7" strokecolor="#95b3d7" strokeweight="1pt">
              <v:fill color2="#dbe5f1" angle="135" focus="50%" type="gradient"/>
              <v:shadow on="t" color="#243f60" opacity=".5" offset="1pt"/>
              <v:textbox>
                <w:txbxContent>
                  <w:p w:rsidR="00EB79AD" w:rsidRPr="004C63F7" w:rsidRDefault="00EB79AD" w:rsidP="00475419">
                    <w:pPr>
                      <w:spacing w:after="0"/>
                      <w:jc w:val="center"/>
                      <w:rPr>
                        <w:b/>
                        <w:sz w:val="20"/>
                        <w:szCs w:val="20"/>
                      </w:rPr>
                    </w:pPr>
                    <w:r w:rsidRPr="004C63F7">
                      <w:rPr>
                        <w:b/>
                        <w:sz w:val="20"/>
                        <w:szCs w:val="20"/>
                      </w:rPr>
                      <w:t>Investigaciones, innovación y extensión</w:t>
                    </w:r>
                  </w:p>
                </w:txbxContent>
              </v:textbox>
            </v:roundrect>
            <v:shape id="Flecha a la derecha con bandas 19" o:spid="_x0000_s1065" type="#_x0000_t93" style="position:absolute;left:31646;top:17890;width:4108;height:529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mVxsQA&#10;AADbAAAADwAAAGRycy9kb3ducmV2LnhtbESP3WoCMRSE7wu+QzgF7zTbakVXo0ixUCoU6t/1cXPc&#10;XUxOliTq9u1NQejlMDPfMLNFa424kg+1YwUv/QwEceF0zaWC3fajNwYRIrJG45gU/FKAxbzzNMNc&#10;uxv/0HUTS5EgHHJUUMXY5FKGoiKLoe8a4uSdnLcYk/Sl1B5vCW6NfM2ykbRYc1qosKH3iorz5mIV&#10;nIftoRn441qezOTy9bbPvs1wpVT3uV1OQURq43/40f7UCgYT+PuSfoCc3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JlcbEAAAA2wAAAA8AAAAAAAAAAAAAAAAAmAIAAGRycy9k&#10;b3ducmV2LnhtbFBLBQYAAAAABAAEAPUAAACJAwAAAAA=&#10;" fillcolor="#95b3d7" strokecolor="#95b3d7" strokeweight="1pt">
              <v:fill color2="#dbe5f1" angle="135" focus="50%" type="gradient"/>
              <v:shadow on="t" color="#243f60" opacity=".5" offset="1pt"/>
            </v:shape>
            <v:roundrect id="Rectángulo redondeado 20" o:spid="_x0000_s1066" style="position:absolute;left:36814;top:14709;width:22847;height:13043;visibility:visib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ab3r0A&#10;AADbAAAADwAAAGRycy9kb3ducmV2LnhtbERPTYvCMBC9C/6HMAteRFNFRKtRRFDWk1jF89CMbdlk&#10;Upuo3X9vDoLHx/terltrxJMaXzlWMBomIIhzpysuFFzOu8EMhA/IGo1jUvBPHtarbmeJqXYvPtEz&#10;C4WIIexTVFCGUKdS+rwki37oauLI3VxjMUTYFFI3+Irh1shxkkylxYpjQ4k1bUvK/7KHVcDG7Ge8&#10;OR+OnNV9uo7myd0EpXo/7WYBIlAbvuKP+1crmMT18Uv8AXL1B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Amab3r0AAADbAAAADwAAAAAAAAAAAAAAAACYAgAAZHJzL2Rvd25yZXYu&#10;eG1sUEsFBgAAAAAEAAQA9QAAAIIDAAAAAA==&#10;" fillcolor="#95b3d7" strokecolor="#95b3d7" strokeweight="1pt">
              <v:fill color2="#dbe5f1" angle="135" focus="50%" type="gradient"/>
              <v:shadow on="t" color="#243f60" opacity=".5" offset="1pt"/>
              <v:textbox>
                <w:txbxContent>
                  <w:p w:rsidR="00EB79AD" w:rsidRPr="004C63F7" w:rsidRDefault="00EB79AD" w:rsidP="00475419">
                    <w:pPr>
                      <w:pStyle w:val="Sinespaciado"/>
                      <w:numPr>
                        <w:ilvl w:val="0"/>
                        <w:numId w:val="4"/>
                      </w:numPr>
                      <w:ind w:left="284"/>
                      <w:rPr>
                        <w:b/>
                        <w:sz w:val="20"/>
                        <w:szCs w:val="20"/>
                      </w:rPr>
                    </w:pPr>
                    <w:r w:rsidRPr="004C63F7">
                      <w:rPr>
                        <w:b/>
                        <w:sz w:val="20"/>
                        <w:szCs w:val="20"/>
                      </w:rPr>
                      <w:t>Creación y transformación del conocimiento</w:t>
                    </w:r>
                  </w:p>
                  <w:p w:rsidR="00EB79AD" w:rsidRPr="004C63F7" w:rsidRDefault="00EB79AD" w:rsidP="00475419">
                    <w:pPr>
                      <w:pStyle w:val="Sinespaciado"/>
                      <w:numPr>
                        <w:ilvl w:val="0"/>
                        <w:numId w:val="4"/>
                      </w:numPr>
                      <w:ind w:left="284"/>
                      <w:rPr>
                        <w:b/>
                        <w:sz w:val="20"/>
                        <w:szCs w:val="20"/>
                      </w:rPr>
                    </w:pPr>
                    <w:r w:rsidRPr="004C63F7">
                      <w:rPr>
                        <w:b/>
                        <w:sz w:val="20"/>
                        <w:szCs w:val="20"/>
                      </w:rPr>
                      <w:t>Transferencia o aplicación del conocimiento</w:t>
                    </w:r>
                  </w:p>
                  <w:p w:rsidR="00EB79AD" w:rsidRPr="004C63F7" w:rsidRDefault="00EB79AD" w:rsidP="00475419">
                    <w:pPr>
                      <w:pStyle w:val="Sinespaciado"/>
                      <w:numPr>
                        <w:ilvl w:val="0"/>
                        <w:numId w:val="4"/>
                      </w:numPr>
                      <w:ind w:left="284"/>
                      <w:rPr>
                        <w:b/>
                        <w:sz w:val="20"/>
                        <w:szCs w:val="20"/>
                      </w:rPr>
                    </w:pPr>
                    <w:r w:rsidRPr="004C63F7">
                      <w:rPr>
                        <w:b/>
                        <w:sz w:val="20"/>
                        <w:szCs w:val="20"/>
                      </w:rPr>
                      <w:t>Generación de desarrollo social y cultural</w:t>
                    </w:r>
                  </w:p>
                  <w:p w:rsidR="00EB79AD" w:rsidRPr="004C63F7" w:rsidRDefault="00EB79AD" w:rsidP="00475419">
                    <w:pPr>
                      <w:pStyle w:val="Sinespaciado"/>
                      <w:numPr>
                        <w:ilvl w:val="0"/>
                        <w:numId w:val="4"/>
                      </w:numPr>
                      <w:ind w:left="284"/>
                      <w:rPr>
                        <w:b/>
                        <w:sz w:val="20"/>
                        <w:szCs w:val="20"/>
                      </w:rPr>
                    </w:pPr>
                    <w:r w:rsidRPr="004C63F7">
                      <w:rPr>
                        <w:b/>
                        <w:sz w:val="20"/>
                        <w:szCs w:val="20"/>
                      </w:rPr>
                      <w:t>Desarrollo institucional</w:t>
                    </w:r>
                  </w:p>
                </w:txbxContent>
              </v:textbox>
            </v:roundrect>
            <v:roundrect id="Rectángulo redondeado 21" o:spid="_x0000_s1067" style="position:absolute;left:17492;top:41073;width:12783;height:5638;visibility:visib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OmMcIA&#10;AADbAAAADwAAAGRycy9kb3ducmV2LnhtbESPQWvCQBSE7wX/w/IEL6VulBJs6hpCoaKnYiw9P7Kv&#10;SXD3bcyuJv57t1DwOMzMN8w6H60RV+p961jBYp6AIK6cbrlW8H38fFmB8AFZo3FMCm7kId9MntaY&#10;aTfwga5lqEWEsM9QQRNCl0npq4Ys+rnriKP363qLIcq+lrrHIcKtkcskSaXFluNCgx19NFSdyotV&#10;wMZsV1wc919cds/0s3hLziYoNZuOxTuIQGN4hP/bO63gNYW/L/EHyM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w6YxwgAAANsAAAAPAAAAAAAAAAAAAAAAAJgCAABkcnMvZG93&#10;bnJldi54bWxQSwUGAAAAAAQABAD1AAAAhwMAAAAA&#10;" fillcolor="#95b3d7" strokecolor="#95b3d7" strokeweight="1pt">
              <v:fill color2="#dbe5f1" angle="135" focus="50%" type="gradient"/>
              <v:shadow on="t" color="#243f60" opacity=".5" offset="1pt"/>
              <v:textbox>
                <w:txbxContent>
                  <w:p w:rsidR="00EB79AD" w:rsidRPr="006651F3" w:rsidRDefault="00EB79AD" w:rsidP="00475419">
                    <w:pPr>
                      <w:spacing w:after="0"/>
                      <w:jc w:val="center"/>
                      <w:rPr>
                        <w:b/>
                        <w:sz w:val="20"/>
                        <w:szCs w:val="20"/>
                      </w:rPr>
                    </w:pPr>
                  </w:p>
                  <w:p w:rsidR="00EB79AD" w:rsidRPr="006651F3" w:rsidRDefault="00EB79AD" w:rsidP="00475419">
                    <w:pPr>
                      <w:spacing w:after="0"/>
                      <w:jc w:val="center"/>
                      <w:rPr>
                        <w:b/>
                        <w:sz w:val="20"/>
                        <w:szCs w:val="20"/>
                      </w:rPr>
                    </w:pPr>
                    <w:r w:rsidRPr="006651F3">
                      <w:rPr>
                        <w:b/>
                        <w:sz w:val="20"/>
                        <w:szCs w:val="20"/>
                      </w:rPr>
                      <w:t>Impacto regional</w:t>
                    </w:r>
                  </w:p>
                </w:txbxContent>
              </v:textbox>
            </v:roundrect>
            <v:shape id="Flecha a la derecha con bandas 22" o:spid="_x0000_s1068" type="#_x0000_t93" style="position:absolute;left:31805;top:41187;width:4108;height:53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zXUsUA&#10;AADbAAAADwAAAGRycy9kb3ducmV2LnhtbESP3WoCMRSE7wt9h3AKvavZttuqq1FEWigKBX+vj5vj&#10;7mJysiRRt29vCoVeDjPzDTOedtaIC/nQOFbw3MtAEJdON1wp2G4+nwYgQkTWaByTgh8KMJ3c342x&#10;0O7KK7qsYyUShEOBCuoY20LKUNZkMfRcS5y8o/MWY5K+ktrjNcGtkS9Z9i4tNpwWamxpXlN5Wp+t&#10;glPe7dtXf1jKoxmeF2+77NvkH0o9PnSzEYhIXfwP/7W/tIK8D79f0g+Qk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3NdSxQAAANsAAAAPAAAAAAAAAAAAAAAAAJgCAABkcnMv&#10;ZG93bnJldi54bWxQSwUGAAAAAAQABAD1AAAAigMAAAAA&#10;" fillcolor="#95b3d7" strokecolor="#95b3d7" strokeweight="1pt">
              <v:fill color2="#dbe5f1" angle="135" focus="50%" type="gradient"/>
              <v:shadow on="t" color="#243f60" opacity=".5" offset="1pt"/>
            </v:shape>
            <v:roundrect id="Rectángulo redondeado 23" o:spid="_x0000_s1069" style="position:absolute;left:37371;top:38086;width:23653;height:11221;visibility:visib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ow7MIA&#10;AADbAAAADwAAAGRycy9kb3ducmV2LnhtbESPQWvCQBSE7wX/w/IEL6VuFBps6hpCoaKnYiw9P7Kv&#10;SXD3bcyuJv57t1DwOMzMN8w6H60RV+p961jBYp6AIK6cbrlW8H38fFmB8AFZo3FMCm7kId9MntaY&#10;aTfwga5lqEWEsM9QQRNCl0npq4Ys+rnriKP363qLIcq+lrrHIcKtkcskSaXFluNCgx19NFSdyotV&#10;wMZsV1wc919cds/0s3hLziYoNZuOxTuIQGN4hP/bO63gNYW/L/EHyM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GjDswgAAANsAAAAPAAAAAAAAAAAAAAAAAJgCAABkcnMvZG93&#10;bnJldi54bWxQSwUGAAAAAAQABAD1AAAAhwMAAAAA&#10;" fillcolor="#95b3d7" strokecolor="#95b3d7" strokeweight="1pt">
              <v:fill color2="#dbe5f1" angle="135" focus="50%" type="gradient"/>
              <v:shadow on="t" color="#243f60" opacity=".5" offset="1pt"/>
              <v:textbox>
                <w:txbxContent>
                  <w:p w:rsidR="00EB79AD" w:rsidRPr="006651F3" w:rsidRDefault="00EB79AD" w:rsidP="00475419">
                    <w:pPr>
                      <w:pStyle w:val="Sinespaciado"/>
                      <w:numPr>
                        <w:ilvl w:val="0"/>
                        <w:numId w:val="5"/>
                      </w:numPr>
                      <w:ind w:left="284"/>
                      <w:rPr>
                        <w:b/>
                        <w:sz w:val="20"/>
                        <w:szCs w:val="20"/>
                      </w:rPr>
                    </w:pPr>
                    <w:r w:rsidRPr="006651F3">
                      <w:rPr>
                        <w:b/>
                        <w:sz w:val="20"/>
                        <w:szCs w:val="20"/>
                      </w:rPr>
                      <w:t>Direccionamiento estratégico de los ámbitos de la tecnología y la producción</w:t>
                    </w:r>
                  </w:p>
                  <w:p w:rsidR="00EB79AD" w:rsidRPr="006651F3" w:rsidRDefault="00EB79AD" w:rsidP="00475419">
                    <w:pPr>
                      <w:pStyle w:val="Sinespaciado"/>
                      <w:numPr>
                        <w:ilvl w:val="0"/>
                        <w:numId w:val="5"/>
                      </w:numPr>
                      <w:ind w:left="284"/>
                      <w:rPr>
                        <w:b/>
                        <w:sz w:val="20"/>
                        <w:szCs w:val="20"/>
                      </w:rPr>
                    </w:pPr>
                    <w:r w:rsidRPr="006651F3">
                      <w:rPr>
                        <w:b/>
                        <w:sz w:val="20"/>
                        <w:szCs w:val="20"/>
                      </w:rPr>
                      <w:t>Direccionamiento estratégico del ámbito del conocimiento</w:t>
                    </w:r>
                  </w:p>
                  <w:p w:rsidR="00EB79AD" w:rsidRPr="006651F3" w:rsidRDefault="00EB79AD" w:rsidP="00475419">
                    <w:pPr>
                      <w:pStyle w:val="Sinespaciado"/>
                      <w:numPr>
                        <w:ilvl w:val="0"/>
                        <w:numId w:val="5"/>
                      </w:numPr>
                      <w:ind w:left="284"/>
                      <w:rPr>
                        <w:b/>
                        <w:sz w:val="20"/>
                        <w:szCs w:val="20"/>
                      </w:rPr>
                    </w:pPr>
                    <w:r w:rsidRPr="006651F3">
                      <w:rPr>
                        <w:b/>
                        <w:sz w:val="20"/>
                        <w:szCs w:val="20"/>
                      </w:rPr>
                      <w:t>Direccionamiento estratégico del ámbito de la sociedad y el ambiente</w:t>
                    </w:r>
                  </w:p>
                </w:txbxContent>
              </v:textbox>
            </v:roundrect>
            <v:roundrect id="Rectángulo redondeado 26" o:spid="_x0000_s1070" style="position:absolute;left:17492;top:52443;width:12916;height:4743;visibility:visib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aVd8MA&#10;AADbAAAADwAAAGRycy9kb3ducmV2LnhtbESPQWvCQBSE74L/YXlCL1I3FqoxdRUptLQnMSmeH9nX&#10;JLj7Nma3SfrvuwXB4zAz3zDb/WiN6KnzjWMFy0UCgrh0uuFKwVfx9piC8AFZo3FMCn7Jw343nWwx&#10;027gE/V5qESEsM9QQR1Cm0npy5os+oVriaP37TqLIcqukrrDIcKtkU9JspIWG44LNbb0WlN5yX+s&#10;AjbmPeVD8XnkvJ3TeblJriYo9TAbDy8gAo3hHr61P7SC5zX8f4k/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FaVd8MAAADbAAAADwAAAAAAAAAAAAAAAACYAgAAZHJzL2Rv&#10;d25yZXYueG1sUEsFBgAAAAAEAAQA9QAAAIgDAAAAAA==&#10;" fillcolor="#95b3d7" strokecolor="#95b3d7" strokeweight="1pt">
              <v:fill color2="#dbe5f1" angle="135" focus="50%" type="gradient"/>
              <v:shadow on="t" color="#243f60" opacity=".5" offset="1pt"/>
              <v:textbox>
                <w:txbxContent>
                  <w:p w:rsidR="00EB79AD" w:rsidRPr="006651F3" w:rsidRDefault="00EB79AD" w:rsidP="00475419">
                    <w:pPr>
                      <w:spacing w:after="0"/>
                      <w:jc w:val="center"/>
                      <w:rPr>
                        <w:b/>
                        <w:sz w:val="20"/>
                        <w:szCs w:val="20"/>
                      </w:rPr>
                    </w:pPr>
                    <w:r w:rsidRPr="006651F3">
                      <w:rPr>
                        <w:b/>
                        <w:sz w:val="20"/>
                        <w:szCs w:val="20"/>
                      </w:rPr>
                      <w:t>Alianzas estratégicas</w:t>
                    </w:r>
                  </w:p>
                </w:txbxContent>
              </v:textbox>
            </v:roundrect>
            <v:shape id="Flecha a la derecha con bandas 27" o:spid="_x0000_s1071" type="#_x0000_t93" style="position:absolute;left:32202;top:51603;width:4001;height:529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sVRcQA&#10;AADbAAAADwAAAGRycy9kb3ducmV2LnhtbESP3WoCMRSE7wu+QzgF72q2diu6GkWkQmlBqH/Xx81x&#10;dzE5WZKo27dvCoVeDjPzDTNbdNaIG/nQOFbwPMhAEJdON1wp2O/WT2MQISJrNI5JwTcFWMx7DzMs&#10;tLvzF922sRIJwqFABXWMbSFlKGuyGAauJU7e2XmLMUlfSe3xnuDWyGGWjaTFhtNCjS2taiov26tV&#10;cMm7Y/viT5/ybCbXj9dDtjH5m1L9x245BRGpi//hv/a7VjDK4fdL+gFy/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q7FUXEAAAA2wAAAA8AAAAAAAAAAAAAAAAAmAIAAGRycy9k&#10;b3ducmV2LnhtbFBLBQYAAAAABAAEAPUAAACJAwAAAAA=&#10;" fillcolor="#95b3d7" strokecolor="#95b3d7" strokeweight="1pt">
              <v:fill color2="#dbe5f1" angle="135" focus="50%" type="gradient"/>
              <v:shadow on="t" color="#243f60" opacity=".5" offset="1pt"/>
            </v:shape>
            <v:roundrect id="Rectángulo redondeado 28" o:spid="_x0000_s1072" style="position:absolute;left:37132;top:50331;width:23882;height:9373;visibility:visib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b6UcAA&#10;AADbAAAADwAAAGRycy9kb3ducmV2LnhtbESPQYvCMBSE74L/ITxhL7Km7qFo1ygiKHoSq3h+NG/b&#10;sslLbaLWf28EweMwM98ws0VnjbhR62vHCsajBARx4XTNpYLTcf09AeEDskbjmBQ8yMNi3u/NMNPu&#10;zge65aEUEcI+QwVVCE0mpS8qsuhHriGO3p9rLYYo21LqFu8Rbo38SZJUWqw5LlTY0Kqi4j+/WgVs&#10;zGbCy+Nuz3kzpPN4mlxMUOpr0C1/QQTqwif8bm+1gjSF15f4A+T8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Xb6UcAAAADbAAAADwAAAAAAAAAAAAAAAACYAgAAZHJzL2Rvd25y&#10;ZXYueG1sUEsFBgAAAAAEAAQA9QAAAIUDAAAAAA==&#10;" fillcolor="#95b3d7" strokecolor="#95b3d7" strokeweight="1pt">
              <v:fill color2="#dbe5f1" angle="135" focus="50%" type="gradient"/>
              <v:shadow on="t" color="#243f60" opacity=".5" offset="1pt"/>
              <v:textbox>
                <w:txbxContent>
                  <w:p w:rsidR="00EB79AD" w:rsidRPr="006651F3" w:rsidRDefault="00EB79AD" w:rsidP="00475419">
                    <w:pPr>
                      <w:pStyle w:val="Sinespaciado"/>
                      <w:numPr>
                        <w:ilvl w:val="0"/>
                        <w:numId w:val="6"/>
                      </w:numPr>
                      <w:ind w:left="284"/>
                      <w:rPr>
                        <w:b/>
                        <w:sz w:val="20"/>
                        <w:szCs w:val="20"/>
                      </w:rPr>
                    </w:pPr>
                    <w:r w:rsidRPr="006651F3">
                      <w:rPr>
                        <w:b/>
                        <w:sz w:val="20"/>
                        <w:szCs w:val="20"/>
                      </w:rPr>
                      <w:t>Vigilancia e inteligencia competitiva y del entorno</w:t>
                    </w:r>
                  </w:p>
                  <w:p w:rsidR="00EB79AD" w:rsidRPr="006651F3" w:rsidRDefault="00EB79AD" w:rsidP="00475419">
                    <w:pPr>
                      <w:pStyle w:val="Sinespaciado"/>
                      <w:numPr>
                        <w:ilvl w:val="0"/>
                        <w:numId w:val="6"/>
                      </w:numPr>
                      <w:ind w:left="284"/>
                      <w:rPr>
                        <w:b/>
                        <w:sz w:val="20"/>
                        <w:szCs w:val="20"/>
                      </w:rPr>
                    </w:pPr>
                    <w:r w:rsidRPr="006651F3">
                      <w:rPr>
                        <w:b/>
                        <w:sz w:val="20"/>
                        <w:szCs w:val="20"/>
                      </w:rPr>
                      <w:t>Gestión del marketing (Social e institucional)</w:t>
                    </w:r>
                  </w:p>
                  <w:p w:rsidR="00EB79AD" w:rsidRPr="006651F3" w:rsidRDefault="00EB79AD" w:rsidP="00475419">
                    <w:pPr>
                      <w:pStyle w:val="Sinespaciado"/>
                      <w:numPr>
                        <w:ilvl w:val="0"/>
                        <w:numId w:val="6"/>
                      </w:numPr>
                      <w:ind w:left="284"/>
                      <w:rPr>
                        <w:b/>
                        <w:sz w:val="20"/>
                        <w:szCs w:val="20"/>
                      </w:rPr>
                    </w:pPr>
                    <w:r w:rsidRPr="006651F3">
                      <w:rPr>
                        <w:b/>
                        <w:sz w:val="20"/>
                        <w:szCs w:val="20"/>
                      </w:rPr>
                      <w:t>Gestión humana y organizacional</w:t>
                    </w:r>
                  </w:p>
                </w:txbxContent>
              </v:textbox>
            </v:roundrect>
            <v:roundrect id="Rectángulo redondeado 9" o:spid="_x0000_s1073" style="position:absolute;left:17492;top:29782;width:12783;height:5296;visibility:visib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XLuL0A&#10;AADbAAAADwAAAGRycy9kb3ducmV2LnhtbERPTYvCMBC9C/6HMMJeRFM9iFajiOCiJ7EVz0MztsVk&#10;Upusdv+9OQgeH+97temsEU9qfe1YwWScgCAunK65VHDJ96M5CB+QNRrHpOCfPGzW/d4KU+1efKZn&#10;FkoRQ9inqKAKoUml9EVFFv3YNcSRu7nWYoiwLaVu8RXDrZHTJJlJizXHhgob2lVU3LM/q4CN+Z3z&#10;Nj+eOGuGdJ0skocJSv0Muu0SRKAufMUf90ErmMWx8Uv8AXL9B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t6XLuL0AAADbAAAADwAAAAAAAAAAAAAAAACYAgAAZHJzL2Rvd25yZXYu&#10;eG1sUEsFBgAAAAAEAAQA9QAAAIIDAAAAAA==&#10;" fillcolor="#95b3d7" strokecolor="#95b3d7" strokeweight="1pt">
              <v:fill color2="#dbe5f1" angle="135" focus="50%" type="gradient"/>
              <v:shadow on="t" color="#243f60" opacity=".5" offset="1pt"/>
              <v:textbox>
                <w:txbxContent>
                  <w:p w:rsidR="00EB79AD" w:rsidRPr="006651F3" w:rsidRDefault="00EB79AD" w:rsidP="00475419">
                    <w:pPr>
                      <w:spacing w:after="0"/>
                      <w:jc w:val="center"/>
                      <w:rPr>
                        <w:b/>
                        <w:sz w:val="20"/>
                        <w:szCs w:val="20"/>
                      </w:rPr>
                    </w:pPr>
                    <w:r w:rsidRPr="006651F3">
                      <w:rPr>
                        <w:b/>
                        <w:sz w:val="20"/>
                        <w:szCs w:val="20"/>
                      </w:rPr>
                      <w:t xml:space="preserve">Internacionalización de </w:t>
                    </w:r>
                    <w:smartTag w:uri="urn:schemas-microsoft-com:office:smarttags" w:element="PersonName">
                      <w:smartTagPr>
                        <w:attr w:name="ProductID" w:val="La Universidad"/>
                      </w:smartTagPr>
                      <w:r w:rsidRPr="006651F3">
                        <w:rPr>
                          <w:b/>
                          <w:sz w:val="20"/>
                          <w:szCs w:val="20"/>
                        </w:rPr>
                        <w:t>la Universidad</w:t>
                      </w:r>
                    </w:smartTag>
                  </w:p>
                </w:txbxContent>
              </v:textbox>
            </v:roundrect>
            <v:shape id="Flecha a la derecha con bandas 10" o:spid="_x0000_s1074" type="#_x0000_t93" style="position:absolute;left:32043;top:29340;width:3982;height:530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q628QA&#10;AADbAAAADwAAAGRycy9kb3ducmV2LnhtbESP3WoCMRSE74W+QzgF7zTbVqVujVJKBVEQuv25Pt0c&#10;dxeTkyWJur69EQQvh5n5hpktOmvEkXxoHCt4GmYgiEunG64U/HwvB68gQkTWaByTgjMFWMwfejPM&#10;tTvxFx2LWIkE4ZCjgjrGNpcylDVZDEPXEidv57zFmKSvpPZ4SnBr5HOWTaTFhtNCjS191FTui4NV&#10;sB91f+2L/9/InZke1uPfbGtGn0r1H7v3NxCRungP39orrWAyheuX9APk/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6utvEAAAA2wAAAA8AAAAAAAAAAAAAAAAAmAIAAGRycy9k&#10;b3ducmV2LnhtbFBLBQYAAAAABAAEAPUAAACJAwAAAAA=&#10;" fillcolor="#95b3d7" strokecolor="#95b3d7" strokeweight="1pt">
              <v:fill color2="#dbe5f1" angle="135" focus="50%" type="gradient"/>
              <v:shadow on="t" color="#243f60" opacity=".5" offset="1pt"/>
            </v:shape>
            <v:roundrect id="Rectángulo redondeado 11" o:spid="_x0000_s1075" style="position:absolute;left:37212;top:28783;width:23799;height:6515;visibility:visib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pRY74A&#10;AADbAAAADwAAAGRycy9kb3ducmV2LnhtbERPy4rCMBTdC/5DuANuRFNd+KhGEUEZV2IV15fm2pZJ&#10;bmoTtfP3ZiG4PJz3ct1aI57U+MqxgtEwAUGcO11xoeBy3g1mIHxA1mgck4J/8rBedTtLTLV78Yme&#10;WShEDGGfooIyhDqV0uclWfRDVxNH7uYaiyHCppC6wVcMt0aOk2QiLVYcG0qsaVtS/pc9rAI2Zj/j&#10;zflw5Kzu03U0T+4mKNX7aTcLEIHa8BV/3L9awTSuj1/iD5CrN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wKUWO+AAAA2wAAAA8AAAAAAAAAAAAAAAAAmAIAAGRycy9kb3ducmV2&#10;LnhtbFBLBQYAAAAABAAEAPUAAACDAwAAAAA=&#10;" fillcolor="#95b3d7" strokecolor="#95b3d7" strokeweight="1pt">
              <v:fill color2="#dbe5f1" angle="135" focus="50%" type="gradient"/>
              <v:shadow on="t" color="#243f60" opacity=".5" offset="1pt"/>
              <v:textbox>
                <w:txbxContent>
                  <w:p w:rsidR="00EB79AD" w:rsidRPr="006651F3" w:rsidRDefault="00EB79AD" w:rsidP="00475419">
                    <w:pPr>
                      <w:numPr>
                        <w:ilvl w:val="0"/>
                        <w:numId w:val="15"/>
                      </w:numPr>
                      <w:spacing w:after="0"/>
                      <w:ind w:left="284"/>
                      <w:rPr>
                        <w:b/>
                        <w:sz w:val="20"/>
                        <w:szCs w:val="20"/>
                      </w:rPr>
                    </w:pPr>
                    <w:r w:rsidRPr="006651F3">
                      <w:rPr>
                        <w:b/>
                        <w:sz w:val="20"/>
                        <w:szCs w:val="20"/>
                      </w:rPr>
                      <w:t>Nivel de internacionalización</w:t>
                    </w:r>
                  </w:p>
                  <w:p w:rsidR="00EB79AD" w:rsidRPr="006651F3" w:rsidRDefault="00EB79AD" w:rsidP="00475419">
                    <w:pPr>
                      <w:numPr>
                        <w:ilvl w:val="0"/>
                        <w:numId w:val="15"/>
                      </w:numPr>
                      <w:spacing w:after="0"/>
                      <w:ind w:left="284"/>
                      <w:rPr>
                        <w:b/>
                        <w:sz w:val="20"/>
                        <w:szCs w:val="20"/>
                      </w:rPr>
                    </w:pPr>
                    <w:r w:rsidRPr="006651F3">
                      <w:rPr>
                        <w:b/>
                        <w:bCs/>
                        <w:sz w:val="20"/>
                        <w:szCs w:val="20"/>
                      </w:rPr>
                      <w:t xml:space="preserve">Gestión de </w:t>
                    </w:r>
                    <w:smartTag w:uri="urn:schemas-microsoft-com:office:smarttags" w:element="PersonName">
                      <w:smartTagPr>
                        <w:attr w:name="ProductID" w:val="la Informaci￳n"/>
                      </w:smartTagPr>
                      <w:r w:rsidRPr="006651F3">
                        <w:rPr>
                          <w:b/>
                          <w:bCs/>
                          <w:sz w:val="20"/>
                          <w:szCs w:val="20"/>
                        </w:rPr>
                        <w:t>la Información</w:t>
                      </w:r>
                    </w:smartTag>
                    <w:r w:rsidRPr="006651F3">
                      <w:rPr>
                        <w:b/>
                        <w:bCs/>
                        <w:sz w:val="20"/>
                        <w:szCs w:val="20"/>
                      </w:rPr>
                      <w:t xml:space="preserve"> en Internacionalización</w:t>
                    </w:r>
                  </w:p>
                  <w:p w:rsidR="00EB79AD" w:rsidRPr="006651F3" w:rsidRDefault="00EB79AD" w:rsidP="00475419">
                    <w:pPr>
                      <w:spacing w:after="0"/>
                      <w:ind w:left="360"/>
                      <w:rPr>
                        <w:b/>
                        <w:sz w:val="20"/>
                        <w:szCs w:val="20"/>
                      </w:rPr>
                    </w:pPr>
                  </w:p>
                </w:txbxContent>
              </v:textbox>
            </v:roundrect>
            <v:roundrect id="Rectángulo redondeado 1" o:spid="_x0000_s1076" style="position:absolute;left:17492;top:10813;width:15082;height:2883;visibility:visib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eFFMQA&#10;AADbAAAADwAAAGRycy9kb3ducmV2LnhtbESPT2sCMRTE7wW/Q3iF3mpWD21ZjSJFUaSU+udgb4/N&#10;c7N08xKTqOu3N4VCj8PM/IYZTzvbiguF2DhWMOgXIIgrpxuuFex3i+c3EDEha2wdk4IbRZhOeg9j&#10;LLW78oYu21SLDOFYogKTki+ljJUhi7HvPHH2ji5YTFmGWuqA1wy3rRwWxYu02HBeMOjp3VD1sz1b&#10;BTO/XvrT9+bzAw3i1zEcwnzplHp67GYjEIm69B/+a6+0gtcB/H7JP0BO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kHhRTEAAAA2wAAAA8AAAAAAAAAAAAAAAAAmAIAAGRycy9k&#10;b3ducmV2LnhtbFBLBQYAAAAABAAEAPUAAACJAwAAAAA=&#10;" strokecolor="#4f81bd" strokeweight="2.5pt">
              <v:shadow color="#868686"/>
              <v:textbox>
                <w:txbxContent>
                  <w:p w:rsidR="00EB79AD" w:rsidRPr="000A4A89" w:rsidRDefault="00EB79AD" w:rsidP="00475419">
                    <w:pPr>
                      <w:jc w:val="center"/>
                      <w:rPr>
                        <w:b/>
                      </w:rPr>
                    </w:pPr>
                    <w:r w:rsidRPr="000A4A89">
                      <w:rPr>
                        <w:b/>
                      </w:rPr>
                      <w:t>Objetivo Institucional</w:t>
                    </w:r>
                  </w:p>
                </w:txbxContent>
              </v:textbox>
            </v:roundrect>
            <v:roundrect id="Rectángulo redondeado 2" o:spid="_x0000_s1077" style="position:absolute;left:37371;top:10813;width:22529;height:2883;visibility:visib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UbY8QA&#10;AADbAAAADwAAAGRycy9kb3ducmV2LnhtbESPT2sCMRTE7wW/Q3hCbzVbD21ZjSKlRZEi9c/B3h6b&#10;52bp5iUmUddvb4RCj8PM/IYZTzvbijOF2DhW8DwoQBBXTjdcK9htP5/eQMSErLF1TAquFGE66T2M&#10;sdTuwms6b1ItMoRjiQpMSr6UMlaGLMaB88TZO7hgMWUZaqkDXjLctnJYFC/SYsN5waCnd0PV7+Zk&#10;Fcz8cu6PP+vVFxrE70PYh4+5U+qx381GIBJ16T/8115oBa9DuH/JP0BO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VG2PEAAAA2wAAAA8AAAAAAAAAAAAAAAAAmAIAAGRycy9k&#10;b3ducmV2LnhtbFBLBQYAAAAABAAEAPUAAACJAwAAAAA=&#10;" strokecolor="#4f81bd" strokeweight="2.5pt">
              <v:shadow color="#868686"/>
              <v:textbox>
                <w:txbxContent>
                  <w:p w:rsidR="00EB79AD" w:rsidRPr="000A4A89" w:rsidRDefault="00EB79AD" w:rsidP="00475419">
                    <w:pPr>
                      <w:jc w:val="center"/>
                      <w:rPr>
                        <w:b/>
                      </w:rPr>
                    </w:pPr>
                    <w:r>
                      <w:rPr>
                        <w:b/>
                      </w:rPr>
                      <w:t>Componentes</w:t>
                    </w:r>
                  </w:p>
                </w:txbxContent>
              </v:textbox>
            </v:roundrect>
            <v:roundrect id="Rectángulo redondeado 4" o:spid="_x0000_s1078" style="position:absolute;left:2305;top:10813;width:10243;height:2883;visibility:visib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m++MQA&#10;AADbAAAADwAAAGRycy9kb3ducmV2LnhtbESPT2sCMRTE7wW/Q3iCt5qthVZWo0hpsRQp/umh3h6b&#10;52bp5iUmUbff3hQKHoeZ+Q0znXe2FWcKsXGs4GFYgCCunG64VvC1e7sfg4gJWWPrmBT8UoT5rHc3&#10;xVK7C2/ovE21yBCOJSowKflSylgZshiHzhNn7+CCxZRlqKUOeMlw28pRUTxJiw3nBYOeXgxVP9uT&#10;VbDwH0t/3G8+V2gQ14fwHV6XTqlBv1tMQCTq0i38337XCp4f4e9L/gFyd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ZvvjEAAAA2wAAAA8AAAAAAAAAAAAAAAAAmAIAAGRycy9k&#10;b3ducmV2LnhtbFBLBQYAAAAABAAEAPUAAACJAwAAAAA=&#10;" strokecolor="#4f81bd" strokeweight="2.5pt">
              <v:shadow color="#868686"/>
              <v:textbox>
                <w:txbxContent>
                  <w:p w:rsidR="00EB79AD" w:rsidRPr="002B224E" w:rsidRDefault="00EB79AD" w:rsidP="00475419">
                    <w:pPr>
                      <w:jc w:val="center"/>
                      <w:rPr>
                        <w:b/>
                        <w:lang w:val="es-CO"/>
                      </w:rPr>
                    </w:pPr>
                    <w:r>
                      <w:rPr>
                        <w:b/>
                        <w:lang w:val="es-CO"/>
                      </w:rPr>
                      <w:t>Fines</w:t>
                    </w:r>
                  </w:p>
                </w:txbxContent>
              </v:textbox>
            </v:roundrect>
            <v:rect id="Rectángulo 6" o:spid="_x0000_s1079" style="position:absolute;left:35780;top:5088;width:22530;height:310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WMvMYA&#10;AADbAAAADwAAAGRycy9kb3ducmV2LnhtbESPQWvCQBSE70L/w/IK3nTTUm1NXaW0il5yMLYHb4/s&#10;axKafZtm1yT6611B8DjMzDfMfNmbSrTUuNKygqdxBII4s7rkXMH3fj16A+E8ssbKMik4kYPl4mEw&#10;x1jbjnfUpj4XAcIuRgWF93UspcsKMujGtiYO3q9tDPogm1zqBrsAN5V8jqKpNFhyWCiwps+Csr/0&#10;aBTYfYXdz2T6v03a2ebrvEpO3SFRavjYf7yD8NT7e/jW3moFry9w/RJ+gFx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tWMvMYAAADbAAAADwAAAAAAAAAAAAAAAACYAgAAZHJz&#10;L2Rvd25yZXYueG1sUEsFBgAAAAAEAAQA9QAAAIsDAAAAAA==&#10;" fillcolor="#9bbb59 [3206]" strokecolor="#f2f2f2 [3041]" strokeweight="3pt">
              <v:shadow on="t" color="#4e6128 [1606]" opacity=".5" offset="1pt"/>
              <v:textbox>
                <w:txbxContent>
                  <w:p w:rsidR="00EB79AD" w:rsidRPr="002B224E" w:rsidRDefault="00EB79AD" w:rsidP="00475419">
                    <w:pPr>
                      <w:jc w:val="center"/>
                      <w:rPr>
                        <w:b/>
                        <w:lang w:val="es-CO"/>
                      </w:rPr>
                    </w:pPr>
                    <w:r w:rsidRPr="002B224E">
                      <w:rPr>
                        <w:b/>
                        <w:lang w:val="es-CO"/>
                      </w:rPr>
                      <w:t xml:space="preserve">Nivel </w:t>
                    </w:r>
                    <w:r>
                      <w:rPr>
                        <w:b/>
                        <w:lang w:val="es-CO"/>
                      </w:rPr>
                      <w:t>táctico</w:t>
                    </w:r>
                  </w:p>
                </w:txbxContent>
              </v:textbox>
            </v:rect>
            <v:rect id="Rectángulo 8" o:spid="_x0000_s1080" style="position:absolute;left:2305;top:4929;width:29909;height:310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kpJ8YA&#10;AADbAAAADwAAAGRycy9kb3ducmV2LnhtbESPT2vCQBTE74V+h+UVvNVNBa3GbKRYi15y8N/B2yP7&#10;moRm36bZbRL99N1CweMwM79hktVgatFR6yrLCl7GEQji3OqKCwWn48fzHITzyBpry6TgSg5W6eND&#10;grG2Pe+pO/hCBAi7GBWU3jexlC4vyaAb24Y4eJ+2NeiDbAupW+wD3NRyEkUzabDisFBiQ+uS8q/D&#10;j1FgjzX25+nse5d1i+37bZNd+0um1OhpeFuC8DT4e/i/vdMKXqfw9yX8AJn+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ZkpJ8YAAADbAAAADwAAAAAAAAAAAAAAAACYAgAAZHJz&#10;L2Rvd25yZXYueG1sUEsFBgAAAAAEAAQA9QAAAIsDAAAAAA==&#10;" fillcolor="#9bbb59 [3206]" strokecolor="#f2f2f2 [3041]" strokeweight="3pt">
              <v:shadow on="t" color="#4e6128 [1606]" opacity=".5" offset="1pt"/>
              <v:textbox>
                <w:txbxContent>
                  <w:p w:rsidR="00EB79AD" w:rsidRPr="002B224E" w:rsidRDefault="00EB79AD" w:rsidP="00475419">
                    <w:pPr>
                      <w:jc w:val="center"/>
                      <w:rPr>
                        <w:b/>
                        <w:lang w:val="es-CO"/>
                      </w:rPr>
                    </w:pPr>
                    <w:r w:rsidRPr="002B224E">
                      <w:rPr>
                        <w:b/>
                        <w:lang w:val="es-CO"/>
                      </w:rPr>
                      <w:t xml:space="preserve">Nivel </w:t>
                    </w:r>
                    <w:r>
                      <w:rPr>
                        <w:b/>
                        <w:lang w:val="es-CO"/>
                      </w:rPr>
                      <w:t>estratégico</w:t>
                    </w:r>
                  </w:p>
                </w:txbxContent>
              </v:textbox>
            </v:rect>
            <v:roundrect id="Rectángulo redondeado 12" o:spid="_x0000_s1081" style="position:absolute;top:33156;width:15779;height:19704;visibility:visib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9sjMMA&#10;AADbAAAADwAAAGRycy9kb3ducmV2LnhtbESPQWvCQBSE74L/YXlCL1I36SHa1FWk0NKexEQ8P7Kv&#10;SXD3bcxuk/Tfd4VCj8PMfMNs95M1YqDet44VpKsEBHHldMu1gnP59rgB4QOyRuOYFPyQh/1uPtti&#10;rt3IJxqKUIsIYZ+jgiaELpfSVw1Z9CvXEUfvy/UWQ5R9LXWPY4RbI5+SJJMWW44LDXb02lB1Lb6t&#10;AjbmfcOH8vPIRbekS/qc3ExQ6mExHV5ABJrCf/iv/aEVrDO4f4k/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K9sjMMAAADbAAAADwAAAAAAAAAAAAAAAACYAgAAZHJzL2Rv&#10;d25yZXYueG1sUEsFBgAAAAAEAAQA9QAAAIgDAAAAAA==&#10;" fillcolor="#95b3d7" strokecolor="#95b3d7" strokeweight="1pt">
              <v:fill color2="#dbe5f1" angle="135" focus="50%" type="gradient"/>
              <v:shadow on="t" color="#243f60" opacity=".5" offset="1pt"/>
              <v:textbox>
                <w:txbxContent>
                  <w:p w:rsidR="00EB79AD" w:rsidRPr="004C63F7" w:rsidRDefault="00EB79AD" w:rsidP="00475419">
                    <w:pPr>
                      <w:pStyle w:val="Sinespaciado"/>
                      <w:ind w:left="284"/>
                      <w:jc w:val="center"/>
                      <w:rPr>
                        <w:b/>
                        <w:sz w:val="20"/>
                        <w:szCs w:val="20"/>
                      </w:rPr>
                    </w:pPr>
                    <w:r>
                      <w:rPr>
                        <w:b/>
                        <w:sz w:val="20"/>
                        <w:szCs w:val="20"/>
                        <w:lang w:val="es-CO"/>
                      </w:rPr>
                      <w:t>Realizar aportes en el desarrollo social, económico, competitivo, científico tecnológico y financiero de los participantes en las alianzas estratégicas enmarcadas dentro del respeto y la ética</w:t>
                    </w:r>
                  </w:p>
                </w:txbxContent>
              </v:textbox>
            </v:roundrect>
            <v:rect id="Rectángulo 30" o:spid="_x0000_s1082" style="position:absolute;left:874;width:59601;height:310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z3GcYA&#10;AADbAAAADwAAAGRycy9kb3ducmV2LnhtbESPQWvCQBSE7wX/w/KE3nRjKbVEN0FK0wr20piLt5fs&#10;Mwlm34bsVlN/vVsQehxm5htmnY6mE2caXGtZwWIegSCurG65VlDss9krCOeRNXaWScEvOUiTycMa&#10;Y20v/E3n3NciQNjFqKDxvo+ldFVDBt3c9sTBO9rBoA9yqKUe8BLgppNPUfQiDbYcFhrs6a2h6pT/&#10;GAX1Nh+/3u1Hcf3clVmRPe/Kw6lU6nE6blYgPI3+P3xvb7WC5RL+voQfIJ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jz3GcYAAADbAAAADwAAAAAAAAAAAAAAAACYAgAAZHJz&#10;L2Rvd25yZXYueG1sUEsFBgAAAAAEAAQA9QAAAIsDAAAAAA==&#10;" fillcolor="#4f81bd [3204]" strokecolor="#f2f2f2 [3041]" strokeweight="3pt">
              <v:shadow on="t" color="#243f60 [1604]" opacity=".5" offset="1pt"/>
              <v:textbox>
                <w:txbxContent>
                  <w:p w:rsidR="00EB79AD" w:rsidRPr="002B224E" w:rsidRDefault="00EB79AD" w:rsidP="00475419">
                    <w:pPr>
                      <w:jc w:val="center"/>
                      <w:rPr>
                        <w:b/>
                        <w:lang w:val="es-CO"/>
                      </w:rPr>
                    </w:pPr>
                    <w:r>
                      <w:rPr>
                        <w:b/>
                        <w:lang w:val="es-CO"/>
                      </w:rPr>
                      <w:t>Estructura de la cadena de logro del Plan de Desarrollo Institucional</w:t>
                    </w:r>
                  </w:p>
                </w:txbxContent>
              </v:textbox>
            </v:rect>
            <w10:wrap type="none"/>
            <w10:anchorlock/>
          </v:group>
        </w:pict>
      </w:r>
    </w:p>
    <w:p w:rsidR="00475419" w:rsidRPr="00535E30" w:rsidRDefault="00475419" w:rsidP="00475419">
      <w:pPr>
        <w:spacing w:after="0" w:line="276" w:lineRule="auto"/>
        <w:jc w:val="left"/>
        <w:rPr>
          <w:rFonts w:asciiTheme="minorHAnsi" w:hAnsiTheme="minorHAnsi" w:cs="Arial"/>
          <w:highlight w:val="yellow"/>
        </w:rPr>
      </w:pPr>
    </w:p>
    <w:p w:rsidR="00475419" w:rsidRPr="00535E30" w:rsidRDefault="00475419" w:rsidP="00475419">
      <w:pPr>
        <w:spacing w:after="0" w:line="276" w:lineRule="auto"/>
        <w:jc w:val="left"/>
        <w:rPr>
          <w:rFonts w:asciiTheme="minorHAnsi" w:hAnsiTheme="minorHAnsi" w:cs="Arial"/>
          <w:highlight w:val="yellow"/>
        </w:rPr>
      </w:pPr>
    </w:p>
    <w:p w:rsidR="00475419" w:rsidRPr="00535E30" w:rsidRDefault="00475419" w:rsidP="00475419">
      <w:pPr>
        <w:spacing w:after="0" w:line="276" w:lineRule="auto"/>
        <w:rPr>
          <w:rFonts w:cs="Arial"/>
        </w:rPr>
      </w:pPr>
      <w:r w:rsidRPr="00535E30">
        <w:rPr>
          <w:rFonts w:cs="Arial"/>
        </w:rPr>
        <w:t xml:space="preserve">Los resultados para la vigencia </w:t>
      </w:r>
      <w:r w:rsidRPr="00535E63">
        <w:rPr>
          <w:rFonts w:cs="Arial"/>
          <w:b/>
        </w:rPr>
        <w:t>2012</w:t>
      </w:r>
      <w:r w:rsidRPr="00535E30">
        <w:rPr>
          <w:rFonts w:cs="Arial"/>
        </w:rPr>
        <w:t xml:space="preserve"> a nivel de Componentes se resumen en el siguiente cuadro, se debe tener en cuenta que para su cálculo se reconfiguraron los resultados de modo que los indicadores que alcanzaron un cumplimiento superior al </w:t>
      </w:r>
      <w:r w:rsidRPr="00535E63">
        <w:rPr>
          <w:rFonts w:cs="Arial"/>
          <w:b/>
        </w:rPr>
        <w:t>100%</w:t>
      </w:r>
      <w:r w:rsidRPr="00535E30">
        <w:rPr>
          <w:rFonts w:cs="Arial"/>
        </w:rPr>
        <w:t xml:space="preserve"> se ajustaron a dicho valor para no sesgar el resultado general. Tal como se explicó en el capítulo de objetivos, los objetivos institucionales son ponderados mediante valores obtenidos en el proceso de formulación del Plan mediante la metodología Delphi.</w:t>
      </w:r>
    </w:p>
    <w:p w:rsidR="00475419" w:rsidRDefault="00475419" w:rsidP="00475419">
      <w:pPr>
        <w:spacing w:after="0"/>
        <w:rPr>
          <w:rFonts w:cs="Arial"/>
        </w:rPr>
      </w:pPr>
    </w:p>
    <w:p w:rsidR="00475419" w:rsidRDefault="00475419" w:rsidP="00475419">
      <w:pPr>
        <w:spacing w:after="0"/>
        <w:rPr>
          <w:rFonts w:cs="Arial"/>
        </w:rPr>
      </w:pPr>
    </w:p>
    <w:p w:rsidR="00475419" w:rsidRDefault="00475419" w:rsidP="00475419">
      <w:pPr>
        <w:spacing w:after="0"/>
        <w:rPr>
          <w:rFonts w:cs="Arial"/>
        </w:rPr>
      </w:pPr>
      <w:r>
        <w:rPr>
          <w:noProof/>
          <w:lang w:val="es-CO" w:eastAsia="es-CO"/>
        </w:rPr>
        <w:drawing>
          <wp:inline distT="0" distB="0" distL="0" distR="0">
            <wp:extent cx="4572000" cy="3148013"/>
            <wp:effectExtent l="0" t="0" r="0" b="0"/>
            <wp:docPr id="27" name="Gráfico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101"/>
              </a:graphicData>
            </a:graphic>
          </wp:inline>
        </w:drawing>
      </w:r>
    </w:p>
    <w:p w:rsidR="00475419" w:rsidRDefault="00475419" w:rsidP="00475419">
      <w:pPr>
        <w:spacing w:after="0"/>
        <w:rPr>
          <w:rFonts w:cs="Arial"/>
        </w:rPr>
      </w:pPr>
    </w:p>
    <w:p w:rsidR="00475419" w:rsidRDefault="00475419" w:rsidP="00475419">
      <w:pPr>
        <w:spacing w:after="0"/>
        <w:rPr>
          <w:rFonts w:cs="Arial"/>
        </w:rPr>
      </w:pPr>
    </w:p>
    <w:tbl>
      <w:tblPr>
        <w:tblW w:w="8680" w:type="dxa"/>
        <w:tblInd w:w="55" w:type="dxa"/>
        <w:tblCellMar>
          <w:left w:w="70" w:type="dxa"/>
          <w:right w:w="70" w:type="dxa"/>
        </w:tblCellMar>
        <w:tblLook w:val="04A0" w:firstRow="1" w:lastRow="0" w:firstColumn="1" w:lastColumn="0" w:noHBand="0" w:noVBand="1"/>
      </w:tblPr>
      <w:tblGrid>
        <w:gridCol w:w="4120"/>
        <w:gridCol w:w="1420"/>
        <w:gridCol w:w="1420"/>
        <w:gridCol w:w="1720"/>
      </w:tblGrid>
      <w:tr w:rsidR="00475419" w:rsidRPr="002462A7" w:rsidTr="005678E7">
        <w:trPr>
          <w:trHeight w:val="831"/>
        </w:trPr>
        <w:tc>
          <w:tcPr>
            <w:tcW w:w="4120" w:type="dxa"/>
            <w:tcBorders>
              <w:top w:val="single" w:sz="8" w:space="0" w:color="auto"/>
              <w:left w:val="single" w:sz="8" w:space="0" w:color="auto"/>
              <w:bottom w:val="single" w:sz="4" w:space="0" w:color="auto"/>
              <w:right w:val="single" w:sz="4" w:space="0" w:color="auto"/>
            </w:tcBorders>
            <w:shd w:val="clear" w:color="000000" w:fill="B8CCE4"/>
            <w:vAlign w:val="center"/>
            <w:hideMark/>
          </w:tcPr>
          <w:p w:rsidR="00475419" w:rsidRPr="002462A7" w:rsidRDefault="00475419" w:rsidP="005678E7">
            <w:pPr>
              <w:spacing w:after="0"/>
              <w:jc w:val="center"/>
              <w:rPr>
                <w:rFonts w:eastAsia="Times New Roman" w:cs="Arial"/>
                <w:b/>
                <w:bCs/>
                <w:color w:val="000000"/>
                <w:lang w:eastAsia="es-CO"/>
              </w:rPr>
            </w:pPr>
            <w:r w:rsidRPr="002462A7">
              <w:rPr>
                <w:rFonts w:eastAsia="Times New Roman" w:cs="Arial"/>
                <w:b/>
                <w:bCs/>
                <w:color w:val="000000"/>
                <w:lang w:eastAsia="es-CO"/>
              </w:rPr>
              <w:t>Objetivo Institucional</w:t>
            </w:r>
          </w:p>
        </w:tc>
        <w:tc>
          <w:tcPr>
            <w:tcW w:w="1420" w:type="dxa"/>
            <w:tcBorders>
              <w:top w:val="single" w:sz="8" w:space="0" w:color="auto"/>
              <w:left w:val="nil"/>
              <w:bottom w:val="single" w:sz="4" w:space="0" w:color="auto"/>
              <w:right w:val="single" w:sz="4" w:space="0" w:color="auto"/>
            </w:tcBorders>
            <w:shd w:val="clear" w:color="000000" w:fill="B8CCE4"/>
            <w:vAlign w:val="center"/>
            <w:hideMark/>
          </w:tcPr>
          <w:p w:rsidR="00475419" w:rsidRPr="002462A7" w:rsidRDefault="00475419" w:rsidP="005678E7">
            <w:pPr>
              <w:spacing w:after="0"/>
              <w:jc w:val="center"/>
              <w:rPr>
                <w:rFonts w:eastAsia="Times New Roman" w:cs="Arial"/>
                <w:b/>
                <w:bCs/>
                <w:color w:val="000000"/>
                <w:lang w:eastAsia="es-CO"/>
              </w:rPr>
            </w:pPr>
            <w:r w:rsidRPr="002462A7">
              <w:rPr>
                <w:rFonts w:eastAsia="Times New Roman" w:cs="Arial"/>
                <w:b/>
                <w:bCs/>
                <w:color w:val="000000"/>
                <w:lang w:eastAsia="es-CO"/>
              </w:rPr>
              <w:t>Resultado de indicadores Componentes</w:t>
            </w:r>
          </w:p>
        </w:tc>
        <w:tc>
          <w:tcPr>
            <w:tcW w:w="1420" w:type="dxa"/>
            <w:tcBorders>
              <w:top w:val="single" w:sz="8" w:space="0" w:color="auto"/>
              <w:left w:val="nil"/>
              <w:bottom w:val="single" w:sz="4" w:space="0" w:color="auto"/>
              <w:right w:val="single" w:sz="4" w:space="0" w:color="auto"/>
            </w:tcBorders>
            <w:shd w:val="clear" w:color="000000" w:fill="B8CCE4"/>
            <w:vAlign w:val="center"/>
            <w:hideMark/>
          </w:tcPr>
          <w:p w:rsidR="00475419" w:rsidRPr="002462A7" w:rsidRDefault="00475419" w:rsidP="005678E7">
            <w:pPr>
              <w:spacing w:after="0"/>
              <w:jc w:val="center"/>
              <w:rPr>
                <w:rFonts w:eastAsia="Times New Roman" w:cs="Arial"/>
                <w:b/>
                <w:bCs/>
                <w:color w:val="000000"/>
                <w:lang w:eastAsia="es-CO"/>
              </w:rPr>
            </w:pPr>
            <w:r w:rsidRPr="002462A7">
              <w:rPr>
                <w:rFonts w:eastAsia="Times New Roman" w:cs="Arial"/>
                <w:b/>
                <w:bCs/>
                <w:color w:val="000000"/>
                <w:lang w:eastAsia="es-CO"/>
              </w:rPr>
              <w:t>Ponderador de objetivo</w:t>
            </w:r>
          </w:p>
        </w:tc>
        <w:tc>
          <w:tcPr>
            <w:tcW w:w="1720" w:type="dxa"/>
            <w:tcBorders>
              <w:top w:val="single" w:sz="8" w:space="0" w:color="auto"/>
              <w:left w:val="nil"/>
              <w:bottom w:val="single" w:sz="4" w:space="0" w:color="auto"/>
              <w:right w:val="single" w:sz="8" w:space="0" w:color="auto"/>
            </w:tcBorders>
            <w:shd w:val="clear" w:color="000000" w:fill="B8CCE4"/>
            <w:vAlign w:val="center"/>
            <w:hideMark/>
          </w:tcPr>
          <w:p w:rsidR="00475419" w:rsidRPr="002462A7" w:rsidRDefault="00475419" w:rsidP="005678E7">
            <w:pPr>
              <w:spacing w:after="0"/>
              <w:jc w:val="center"/>
              <w:rPr>
                <w:rFonts w:eastAsia="Times New Roman" w:cs="Arial"/>
                <w:b/>
                <w:bCs/>
                <w:color w:val="000000"/>
                <w:lang w:eastAsia="es-CO"/>
              </w:rPr>
            </w:pPr>
            <w:r w:rsidRPr="002462A7">
              <w:rPr>
                <w:rFonts w:eastAsia="Times New Roman" w:cs="Arial"/>
                <w:b/>
                <w:bCs/>
                <w:color w:val="000000"/>
                <w:lang w:eastAsia="es-CO"/>
              </w:rPr>
              <w:t>Resultado Ponderado</w:t>
            </w:r>
          </w:p>
        </w:tc>
      </w:tr>
      <w:tr w:rsidR="00475419" w:rsidRPr="002462A7" w:rsidTr="005678E7">
        <w:trPr>
          <w:trHeight w:val="300"/>
        </w:trPr>
        <w:tc>
          <w:tcPr>
            <w:tcW w:w="4120" w:type="dxa"/>
            <w:tcBorders>
              <w:top w:val="nil"/>
              <w:left w:val="single" w:sz="8" w:space="0" w:color="auto"/>
              <w:bottom w:val="single" w:sz="4" w:space="0" w:color="auto"/>
              <w:right w:val="single" w:sz="4" w:space="0" w:color="auto"/>
            </w:tcBorders>
            <w:shd w:val="clear" w:color="auto" w:fill="auto"/>
            <w:vAlign w:val="center"/>
            <w:hideMark/>
          </w:tcPr>
          <w:p w:rsidR="00475419" w:rsidRPr="002462A7" w:rsidRDefault="00475419" w:rsidP="005678E7">
            <w:pPr>
              <w:spacing w:after="0"/>
              <w:rPr>
                <w:rFonts w:eastAsia="Times New Roman" w:cs="Arial"/>
                <w:color w:val="000000"/>
                <w:lang w:eastAsia="es-CO"/>
              </w:rPr>
            </w:pPr>
            <w:r w:rsidRPr="002462A7">
              <w:rPr>
                <w:rFonts w:eastAsia="Times New Roman" w:cs="Arial"/>
                <w:color w:val="000000"/>
                <w:lang w:eastAsia="es-CO"/>
              </w:rPr>
              <w:t>Desarrollo institucional</w:t>
            </w:r>
          </w:p>
        </w:tc>
        <w:tc>
          <w:tcPr>
            <w:tcW w:w="1420" w:type="dxa"/>
            <w:tcBorders>
              <w:top w:val="nil"/>
              <w:left w:val="nil"/>
              <w:bottom w:val="single" w:sz="4" w:space="0" w:color="auto"/>
              <w:right w:val="single" w:sz="4" w:space="0" w:color="auto"/>
            </w:tcBorders>
            <w:shd w:val="clear" w:color="auto" w:fill="auto"/>
            <w:vAlign w:val="center"/>
            <w:hideMark/>
          </w:tcPr>
          <w:p w:rsidR="00475419" w:rsidRPr="002462A7" w:rsidRDefault="00475419" w:rsidP="005678E7">
            <w:pPr>
              <w:spacing w:after="0"/>
              <w:jc w:val="center"/>
              <w:rPr>
                <w:rFonts w:eastAsia="Times New Roman" w:cs="Arial"/>
                <w:color w:val="000000"/>
                <w:lang w:eastAsia="es-CO"/>
              </w:rPr>
            </w:pPr>
            <w:r>
              <w:rPr>
                <w:rFonts w:eastAsia="Times New Roman" w:cs="Arial"/>
                <w:color w:val="000000"/>
                <w:lang w:eastAsia="es-CO"/>
              </w:rPr>
              <w:t>94</w:t>
            </w:r>
            <w:r w:rsidRPr="002462A7">
              <w:rPr>
                <w:rFonts w:eastAsia="Times New Roman" w:cs="Arial"/>
                <w:color w:val="000000"/>
                <w:lang w:eastAsia="es-CO"/>
              </w:rPr>
              <w:t>,</w:t>
            </w:r>
            <w:r>
              <w:rPr>
                <w:rFonts w:eastAsia="Times New Roman" w:cs="Arial"/>
                <w:color w:val="000000"/>
                <w:lang w:eastAsia="es-CO"/>
              </w:rPr>
              <w:t>80</w:t>
            </w:r>
            <w:r w:rsidRPr="002462A7">
              <w:rPr>
                <w:rFonts w:eastAsia="Times New Roman" w:cs="Arial"/>
                <w:color w:val="000000"/>
                <w:lang w:eastAsia="es-CO"/>
              </w:rPr>
              <w:t>%</w:t>
            </w:r>
          </w:p>
        </w:tc>
        <w:tc>
          <w:tcPr>
            <w:tcW w:w="1420" w:type="dxa"/>
            <w:tcBorders>
              <w:top w:val="nil"/>
              <w:left w:val="nil"/>
              <w:bottom w:val="single" w:sz="4" w:space="0" w:color="auto"/>
              <w:right w:val="single" w:sz="4" w:space="0" w:color="auto"/>
            </w:tcBorders>
            <w:shd w:val="clear" w:color="auto" w:fill="auto"/>
            <w:noWrap/>
            <w:vAlign w:val="center"/>
            <w:hideMark/>
          </w:tcPr>
          <w:p w:rsidR="00475419" w:rsidRPr="002462A7" w:rsidRDefault="00475419" w:rsidP="005678E7">
            <w:pPr>
              <w:spacing w:after="0"/>
              <w:jc w:val="center"/>
              <w:rPr>
                <w:rFonts w:eastAsia="Times New Roman" w:cs="Arial"/>
                <w:color w:val="000000"/>
                <w:lang w:eastAsia="es-CO"/>
              </w:rPr>
            </w:pPr>
            <w:r w:rsidRPr="002462A7">
              <w:rPr>
                <w:rFonts w:eastAsia="Times New Roman" w:cs="Arial"/>
                <w:color w:val="000000"/>
                <w:lang w:eastAsia="es-CO"/>
              </w:rPr>
              <w:t>12,10%</w:t>
            </w:r>
          </w:p>
        </w:tc>
        <w:tc>
          <w:tcPr>
            <w:tcW w:w="1720" w:type="dxa"/>
            <w:tcBorders>
              <w:top w:val="nil"/>
              <w:left w:val="nil"/>
              <w:bottom w:val="single" w:sz="4" w:space="0" w:color="auto"/>
              <w:right w:val="single" w:sz="8" w:space="0" w:color="auto"/>
            </w:tcBorders>
            <w:shd w:val="clear" w:color="000000" w:fill="DCE6F1"/>
            <w:vAlign w:val="center"/>
            <w:hideMark/>
          </w:tcPr>
          <w:p w:rsidR="00475419" w:rsidRPr="002462A7" w:rsidRDefault="00475419" w:rsidP="005678E7">
            <w:pPr>
              <w:spacing w:after="0"/>
              <w:jc w:val="center"/>
              <w:rPr>
                <w:rFonts w:eastAsia="Times New Roman" w:cs="Arial"/>
                <w:color w:val="000000"/>
                <w:lang w:eastAsia="es-CO"/>
              </w:rPr>
            </w:pPr>
            <w:r w:rsidRPr="002462A7">
              <w:rPr>
                <w:rFonts w:eastAsia="Times New Roman" w:cs="Arial"/>
                <w:color w:val="000000"/>
                <w:lang w:eastAsia="es-CO"/>
              </w:rPr>
              <w:t>1</w:t>
            </w:r>
            <w:r>
              <w:rPr>
                <w:rFonts w:eastAsia="Times New Roman" w:cs="Arial"/>
                <w:color w:val="000000"/>
                <w:lang w:eastAsia="es-CO"/>
              </w:rPr>
              <w:t>1</w:t>
            </w:r>
            <w:r w:rsidRPr="002462A7">
              <w:rPr>
                <w:rFonts w:eastAsia="Times New Roman" w:cs="Arial"/>
                <w:color w:val="000000"/>
                <w:lang w:eastAsia="es-CO"/>
              </w:rPr>
              <w:t>,</w:t>
            </w:r>
            <w:r>
              <w:rPr>
                <w:rFonts w:eastAsia="Times New Roman" w:cs="Arial"/>
                <w:color w:val="000000"/>
                <w:lang w:eastAsia="es-CO"/>
              </w:rPr>
              <w:t>47</w:t>
            </w:r>
            <w:r w:rsidRPr="002462A7">
              <w:rPr>
                <w:rFonts w:eastAsia="Times New Roman" w:cs="Arial"/>
                <w:color w:val="000000"/>
                <w:lang w:eastAsia="es-CO"/>
              </w:rPr>
              <w:t>%</w:t>
            </w:r>
          </w:p>
        </w:tc>
      </w:tr>
      <w:tr w:rsidR="00475419" w:rsidRPr="002462A7" w:rsidTr="005678E7">
        <w:trPr>
          <w:trHeight w:val="300"/>
        </w:trPr>
        <w:tc>
          <w:tcPr>
            <w:tcW w:w="4120" w:type="dxa"/>
            <w:tcBorders>
              <w:top w:val="nil"/>
              <w:left w:val="single" w:sz="8" w:space="0" w:color="auto"/>
              <w:bottom w:val="single" w:sz="4" w:space="0" w:color="auto"/>
              <w:right w:val="single" w:sz="4" w:space="0" w:color="auto"/>
            </w:tcBorders>
            <w:shd w:val="clear" w:color="auto" w:fill="auto"/>
            <w:vAlign w:val="center"/>
            <w:hideMark/>
          </w:tcPr>
          <w:p w:rsidR="00475419" w:rsidRPr="002462A7" w:rsidRDefault="00475419" w:rsidP="005678E7">
            <w:pPr>
              <w:spacing w:after="0"/>
              <w:rPr>
                <w:rFonts w:eastAsia="Times New Roman" w:cs="Arial"/>
                <w:color w:val="000000"/>
                <w:lang w:eastAsia="es-CO"/>
              </w:rPr>
            </w:pPr>
            <w:r w:rsidRPr="002462A7">
              <w:rPr>
                <w:rFonts w:eastAsia="Times New Roman" w:cs="Arial"/>
                <w:color w:val="000000"/>
                <w:lang w:eastAsia="es-CO"/>
              </w:rPr>
              <w:t>Cobertura con calidad</w:t>
            </w:r>
          </w:p>
        </w:tc>
        <w:tc>
          <w:tcPr>
            <w:tcW w:w="1420" w:type="dxa"/>
            <w:tcBorders>
              <w:top w:val="nil"/>
              <w:left w:val="nil"/>
              <w:bottom w:val="single" w:sz="4" w:space="0" w:color="auto"/>
              <w:right w:val="single" w:sz="4" w:space="0" w:color="auto"/>
            </w:tcBorders>
            <w:shd w:val="clear" w:color="auto" w:fill="auto"/>
            <w:vAlign w:val="center"/>
            <w:hideMark/>
          </w:tcPr>
          <w:p w:rsidR="00475419" w:rsidRPr="002462A7" w:rsidRDefault="00475419" w:rsidP="005678E7">
            <w:pPr>
              <w:spacing w:after="0"/>
              <w:jc w:val="center"/>
              <w:rPr>
                <w:rFonts w:eastAsia="Times New Roman" w:cs="Arial"/>
                <w:color w:val="000000"/>
                <w:lang w:eastAsia="es-CO"/>
              </w:rPr>
            </w:pPr>
            <w:r w:rsidRPr="002462A7">
              <w:rPr>
                <w:rFonts w:eastAsia="Times New Roman" w:cs="Arial"/>
                <w:color w:val="000000"/>
                <w:lang w:eastAsia="es-CO"/>
              </w:rPr>
              <w:t>95,93%</w:t>
            </w:r>
          </w:p>
        </w:tc>
        <w:tc>
          <w:tcPr>
            <w:tcW w:w="1420" w:type="dxa"/>
            <w:tcBorders>
              <w:top w:val="nil"/>
              <w:left w:val="nil"/>
              <w:bottom w:val="single" w:sz="4" w:space="0" w:color="auto"/>
              <w:right w:val="single" w:sz="4" w:space="0" w:color="auto"/>
            </w:tcBorders>
            <w:shd w:val="clear" w:color="auto" w:fill="auto"/>
            <w:vAlign w:val="center"/>
            <w:hideMark/>
          </w:tcPr>
          <w:p w:rsidR="00475419" w:rsidRPr="002462A7" w:rsidRDefault="00475419" w:rsidP="005678E7">
            <w:pPr>
              <w:spacing w:after="0"/>
              <w:jc w:val="center"/>
              <w:rPr>
                <w:rFonts w:eastAsia="Times New Roman" w:cs="Arial"/>
                <w:color w:val="000000"/>
                <w:lang w:eastAsia="es-CO"/>
              </w:rPr>
            </w:pPr>
            <w:r w:rsidRPr="002462A7">
              <w:rPr>
                <w:rFonts w:eastAsia="Times New Roman" w:cs="Arial"/>
                <w:color w:val="000000"/>
                <w:lang w:eastAsia="es-CO"/>
              </w:rPr>
              <w:t>20,50%</w:t>
            </w:r>
          </w:p>
        </w:tc>
        <w:tc>
          <w:tcPr>
            <w:tcW w:w="1720" w:type="dxa"/>
            <w:tcBorders>
              <w:top w:val="nil"/>
              <w:left w:val="nil"/>
              <w:bottom w:val="single" w:sz="4" w:space="0" w:color="auto"/>
              <w:right w:val="single" w:sz="8" w:space="0" w:color="auto"/>
            </w:tcBorders>
            <w:shd w:val="clear" w:color="000000" w:fill="DCE6F1"/>
            <w:vAlign w:val="center"/>
            <w:hideMark/>
          </w:tcPr>
          <w:p w:rsidR="00475419" w:rsidRPr="002462A7" w:rsidRDefault="00475419" w:rsidP="005678E7">
            <w:pPr>
              <w:spacing w:after="0"/>
              <w:jc w:val="center"/>
              <w:rPr>
                <w:rFonts w:eastAsia="Times New Roman" w:cs="Arial"/>
                <w:color w:val="000000"/>
                <w:lang w:eastAsia="es-CO"/>
              </w:rPr>
            </w:pPr>
            <w:r w:rsidRPr="002462A7">
              <w:rPr>
                <w:rFonts w:eastAsia="Times New Roman" w:cs="Arial"/>
                <w:color w:val="000000"/>
                <w:lang w:eastAsia="es-CO"/>
              </w:rPr>
              <w:t>19,67%</w:t>
            </w:r>
          </w:p>
        </w:tc>
      </w:tr>
      <w:tr w:rsidR="00475419" w:rsidRPr="002462A7" w:rsidTr="005678E7">
        <w:trPr>
          <w:trHeight w:val="300"/>
        </w:trPr>
        <w:tc>
          <w:tcPr>
            <w:tcW w:w="4120" w:type="dxa"/>
            <w:tcBorders>
              <w:top w:val="nil"/>
              <w:left w:val="single" w:sz="8" w:space="0" w:color="auto"/>
              <w:bottom w:val="single" w:sz="4" w:space="0" w:color="auto"/>
              <w:right w:val="single" w:sz="4" w:space="0" w:color="auto"/>
            </w:tcBorders>
            <w:shd w:val="clear" w:color="auto" w:fill="auto"/>
            <w:vAlign w:val="center"/>
            <w:hideMark/>
          </w:tcPr>
          <w:p w:rsidR="00475419" w:rsidRPr="002462A7" w:rsidRDefault="00475419" w:rsidP="005678E7">
            <w:pPr>
              <w:spacing w:after="0"/>
              <w:rPr>
                <w:rFonts w:eastAsia="Times New Roman" w:cs="Arial"/>
                <w:color w:val="000000"/>
                <w:lang w:eastAsia="es-CO"/>
              </w:rPr>
            </w:pPr>
            <w:r w:rsidRPr="002462A7">
              <w:rPr>
                <w:rFonts w:eastAsia="Times New Roman" w:cs="Arial"/>
                <w:color w:val="000000"/>
                <w:lang w:eastAsia="es-CO"/>
              </w:rPr>
              <w:t>Bienestar institucional</w:t>
            </w:r>
          </w:p>
        </w:tc>
        <w:tc>
          <w:tcPr>
            <w:tcW w:w="1420" w:type="dxa"/>
            <w:tcBorders>
              <w:top w:val="nil"/>
              <w:left w:val="nil"/>
              <w:bottom w:val="single" w:sz="4" w:space="0" w:color="auto"/>
              <w:right w:val="single" w:sz="4" w:space="0" w:color="auto"/>
            </w:tcBorders>
            <w:shd w:val="clear" w:color="auto" w:fill="auto"/>
            <w:vAlign w:val="center"/>
            <w:hideMark/>
          </w:tcPr>
          <w:p w:rsidR="00475419" w:rsidRPr="002462A7" w:rsidRDefault="00475419" w:rsidP="005678E7">
            <w:pPr>
              <w:spacing w:after="0"/>
              <w:jc w:val="center"/>
              <w:rPr>
                <w:rFonts w:eastAsia="Times New Roman" w:cs="Arial"/>
                <w:color w:val="000000"/>
                <w:lang w:eastAsia="es-CO"/>
              </w:rPr>
            </w:pPr>
            <w:r w:rsidRPr="002462A7">
              <w:rPr>
                <w:rFonts w:eastAsia="Times New Roman" w:cs="Arial"/>
                <w:color w:val="000000"/>
                <w:lang w:eastAsia="es-CO"/>
              </w:rPr>
              <w:t>96,84%</w:t>
            </w:r>
          </w:p>
        </w:tc>
        <w:tc>
          <w:tcPr>
            <w:tcW w:w="1420" w:type="dxa"/>
            <w:tcBorders>
              <w:top w:val="nil"/>
              <w:left w:val="nil"/>
              <w:bottom w:val="single" w:sz="4" w:space="0" w:color="auto"/>
              <w:right w:val="single" w:sz="4" w:space="0" w:color="auto"/>
            </w:tcBorders>
            <w:shd w:val="clear" w:color="auto" w:fill="auto"/>
            <w:vAlign w:val="center"/>
            <w:hideMark/>
          </w:tcPr>
          <w:p w:rsidR="00475419" w:rsidRPr="002462A7" w:rsidRDefault="00475419" w:rsidP="005678E7">
            <w:pPr>
              <w:spacing w:after="0"/>
              <w:jc w:val="center"/>
              <w:rPr>
                <w:rFonts w:eastAsia="Times New Roman" w:cs="Arial"/>
                <w:color w:val="000000"/>
                <w:lang w:eastAsia="es-CO"/>
              </w:rPr>
            </w:pPr>
            <w:r w:rsidRPr="002462A7">
              <w:rPr>
                <w:rFonts w:eastAsia="Times New Roman" w:cs="Arial"/>
                <w:color w:val="000000"/>
                <w:lang w:eastAsia="es-CO"/>
              </w:rPr>
              <w:t>11,90%</w:t>
            </w:r>
          </w:p>
        </w:tc>
        <w:tc>
          <w:tcPr>
            <w:tcW w:w="1720" w:type="dxa"/>
            <w:tcBorders>
              <w:top w:val="nil"/>
              <w:left w:val="nil"/>
              <w:bottom w:val="single" w:sz="4" w:space="0" w:color="auto"/>
              <w:right w:val="single" w:sz="8" w:space="0" w:color="auto"/>
            </w:tcBorders>
            <w:shd w:val="clear" w:color="000000" w:fill="DCE6F1"/>
            <w:vAlign w:val="center"/>
            <w:hideMark/>
          </w:tcPr>
          <w:p w:rsidR="00475419" w:rsidRPr="002462A7" w:rsidRDefault="00475419" w:rsidP="005678E7">
            <w:pPr>
              <w:spacing w:after="0"/>
              <w:jc w:val="center"/>
              <w:rPr>
                <w:rFonts w:eastAsia="Times New Roman" w:cs="Arial"/>
                <w:color w:val="000000"/>
                <w:lang w:eastAsia="es-CO"/>
              </w:rPr>
            </w:pPr>
            <w:r w:rsidRPr="002462A7">
              <w:rPr>
                <w:rFonts w:eastAsia="Times New Roman" w:cs="Arial"/>
                <w:color w:val="000000"/>
                <w:lang w:eastAsia="es-CO"/>
              </w:rPr>
              <w:t>11,52%</w:t>
            </w:r>
          </w:p>
        </w:tc>
      </w:tr>
      <w:tr w:rsidR="00475419" w:rsidRPr="002462A7" w:rsidTr="005678E7">
        <w:trPr>
          <w:trHeight w:val="300"/>
        </w:trPr>
        <w:tc>
          <w:tcPr>
            <w:tcW w:w="4120" w:type="dxa"/>
            <w:tcBorders>
              <w:top w:val="nil"/>
              <w:left w:val="single" w:sz="8" w:space="0" w:color="auto"/>
              <w:bottom w:val="single" w:sz="4" w:space="0" w:color="auto"/>
              <w:right w:val="single" w:sz="4" w:space="0" w:color="auto"/>
            </w:tcBorders>
            <w:shd w:val="clear" w:color="auto" w:fill="auto"/>
            <w:vAlign w:val="center"/>
            <w:hideMark/>
          </w:tcPr>
          <w:p w:rsidR="00475419" w:rsidRPr="002462A7" w:rsidRDefault="00475419" w:rsidP="005678E7">
            <w:pPr>
              <w:spacing w:after="0"/>
              <w:rPr>
                <w:rFonts w:eastAsia="Times New Roman" w:cs="Arial"/>
                <w:color w:val="000000"/>
                <w:lang w:eastAsia="es-CO"/>
              </w:rPr>
            </w:pPr>
            <w:r w:rsidRPr="002462A7">
              <w:rPr>
                <w:rFonts w:eastAsia="Times New Roman" w:cs="Arial"/>
                <w:color w:val="000000"/>
                <w:lang w:eastAsia="es-CO"/>
              </w:rPr>
              <w:t>Investigación, innovación y extensión</w:t>
            </w:r>
          </w:p>
        </w:tc>
        <w:tc>
          <w:tcPr>
            <w:tcW w:w="1420" w:type="dxa"/>
            <w:tcBorders>
              <w:top w:val="nil"/>
              <w:left w:val="nil"/>
              <w:bottom w:val="single" w:sz="4" w:space="0" w:color="auto"/>
              <w:right w:val="single" w:sz="4" w:space="0" w:color="auto"/>
            </w:tcBorders>
            <w:shd w:val="clear" w:color="auto" w:fill="auto"/>
            <w:vAlign w:val="center"/>
            <w:hideMark/>
          </w:tcPr>
          <w:p w:rsidR="00475419" w:rsidRPr="002462A7" w:rsidRDefault="00475419" w:rsidP="005678E7">
            <w:pPr>
              <w:spacing w:after="0"/>
              <w:jc w:val="center"/>
              <w:rPr>
                <w:rFonts w:eastAsia="Times New Roman" w:cs="Arial"/>
                <w:color w:val="000000"/>
                <w:lang w:eastAsia="es-CO"/>
              </w:rPr>
            </w:pPr>
            <w:r w:rsidRPr="002462A7">
              <w:rPr>
                <w:rFonts w:eastAsia="Times New Roman" w:cs="Arial"/>
                <w:color w:val="000000"/>
                <w:lang w:eastAsia="es-CO"/>
              </w:rPr>
              <w:t>87,66%</w:t>
            </w:r>
          </w:p>
        </w:tc>
        <w:tc>
          <w:tcPr>
            <w:tcW w:w="1420" w:type="dxa"/>
            <w:tcBorders>
              <w:top w:val="nil"/>
              <w:left w:val="nil"/>
              <w:bottom w:val="single" w:sz="4" w:space="0" w:color="auto"/>
              <w:right w:val="single" w:sz="4" w:space="0" w:color="auto"/>
            </w:tcBorders>
            <w:shd w:val="clear" w:color="auto" w:fill="auto"/>
            <w:vAlign w:val="center"/>
            <w:hideMark/>
          </w:tcPr>
          <w:p w:rsidR="00475419" w:rsidRPr="002462A7" w:rsidRDefault="00475419" w:rsidP="005678E7">
            <w:pPr>
              <w:spacing w:after="0"/>
              <w:jc w:val="center"/>
              <w:rPr>
                <w:rFonts w:eastAsia="Times New Roman" w:cs="Arial"/>
                <w:color w:val="000000"/>
                <w:lang w:eastAsia="es-CO"/>
              </w:rPr>
            </w:pPr>
            <w:r w:rsidRPr="002462A7">
              <w:rPr>
                <w:rFonts w:eastAsia="Times New Roman" w:cs="Arial"/>
                <w:color w:val="000000"/>
                <w:lang w:eastAsia="es-CO"/>
              </w:rPr>
              <w:t>23,30%</w:t>
            </w:r>
          </w:p>
        </w:tc>
        <w:tc>
          <w:tcPr>
            <w:tcW w:w="1720" w:type="dxa"/>
            <w:tcBorders>
              <w:top w:val="nil"/>
              <w:left w:val="nil"/>
              <w:bottom w:val="single" w:sz="4" w:space="0" w:color="auto"/>
              <w:right w:val="single" w:sz="8" w:space="0" w:color="auto"/>
            </w:tcBorders>
            <w:shd w:val="clear" w:color="000000" w:fill="DCE6F1"/>
            <w:vAlign w:val="center"/>
            <w:hideMark/>
          </w:tcPr>
          <w:p w:rsidR="00475419" w:rsidRPr="002462A7" w:rsidRDefault="00475419" w:rsidP="005678E7">
            <w:pPr>
              <w:spacing w:after="0"/>
              <w:jc w:val="center"/>
              <w:rPr>
                <w:rFonts w:eastAsia="Times New Roman" w:cs="Arial"/>
                <w:color w:val="000000"/>
                <w:lang w:eastAsia="es-CO"/>
              </w:rPr>
            </w:pPr>
            <w:r w:rsidRPr="002462A7">
              <w:rPr>
                <w:rFonts w:eastAsia="Times New Roman" w:cs="Arial"/>
                <w:color w:val="000000"/>
                <w:lang w:eastAsia="es-CO"/>
              </w:rPr>
              <w:t>20,42%</w:t>
            </w:r>
          </w:p>
        </w:tc>
      </w:tr>
      <w:tr w:rsidR="00475419" w:rsidRPr="002462A7" w:rsidTr="005678E7">
        <w:trPr>
          <w:trHeight w:val="300"/>
        </w:trPr>
        <w:tc>
          <w:tcPr>
            <w:tcW w:w="4120" w:type="dxa"/>
            <w:tcBorders>
              <w:top w:val="nil"/>
              <w:left w:val="single" w:sz="8" w:space="0" w:color="auto"/>
              <w:bottom w:val="single" w:sz="4" w:space="0" w:color="auto"/>
              <w:right w:val="single" w:sz="4" w:space="0" w:color="auto"/>
            </w:tcBorders>
            <w:shd w:val="clear" w:color="auto" w:fill="auto"/>
            <w:vAlign w:val="center"/>
            <w:hideMark/>
          </w:tcPr>
          <w:p w:rsidR="00475419" w:rsidRPr="002462A7" w:rsidRDefault="00475419" w:rsidP="005678E7">
            <w:pPr>
              <w:spacing w:after="0"/>
              <w:rPr>
                <w:rFonts w:eastAsia="Times New Roman" w:cs="Arial"/>
                <w:color w:val="000000"/>
                <w:lang w:eastAsia="es-CO"/>
              </w:rPr>
            </w:pPr>
            <w:r w:rsidRPr="002462A7">
              <w:rPr>
                <w:rFonts w:eastAsia="Times New Roman" w:cs="Arial"/>
                <w:color w:val="000000"/>
                <w:lang w:eastAsia="es-CO"/>
              </w:rPr>
              <w:t>Internacionalización</w:t>
            </w:r>
          </w:p>
        </w:tc>
        <w:tc>
          <w:tcPr>
            <w:tcW w:w="1420" w:type="dxa"/>
            <w:tcBorders>
              <w:top w:val="nil"/>
              <w:left w:val="nil"/>
              <w:bottom w:val="single" w:sz="4" w:space="0" w:color="auto"/>
              <w:right w:val="single" w:sz="4" w:space="0" w:color="auto"/>
            </w:tcBorders>
            <w:shd w:val="clear" w:color="auto" w:fill="auto"/>
            <w:vAlign w:val="center"/>
            <w:hideMark/>
          </w:tcPr>
          <w:p w:rsidR="00475419" w:rsidRPr="002462A7" w:rsidRDefault="00475419" w:rsidP="005678E7">
            <w:pPr>
              <w:spacing w:after="0"/>
              <w:jc w:val="center"/>
              <w:rPr>
                <w:rFonts w:eastAsia="Times New Roman" w:cs="Arial"/>
                <w:color w:val="000000"/>
                <w:lang w:eastAsia="es-CO"/>
              </w:rPr>
            </w:pPr>
            <w:r w:rsidRPr="002462A7">
              <w:rPr>
                <w:rFonts w:eastAsia="Times New Roman" w:cs="Arial"/>
                <w:color w:val="000000"/>
                <w:lang w:eastAsia="es-CO"/>
              </w:rPr>
              <w:t>75,94%</w:t>
            </w:r>
          </w:p>
        </w:tc>
        <w:tc>
          <w:tcPr>
            <w:tcW w:w="1420" w:type="dxa"/>
            <w:tcBorders>
              <w:top w:val="nil"/>
              <w:left w:val="nil"/>
              <w:bottom w:val="single" w:sz="4" w:space="0" w:color="auto"/>
              <w:right w:val="single" w:sz="4" w:space="0" w:color="auto"/>
            </w:tcBorders>
            <w:shd w:val="clear" w:color="auto" w:fill="auto"/>
            <w:vAlign w:val="center"/>
            <w:hideMark/>
          </w:tcPr>
          <w:p w:rsidR="00475419" w:rsidRPr="002462A7" w:rsidRDefault="00475419" w:rsidP="005678E7">
            <w:pPr>
              <w:spacing w:after="0"/>
              <w:jc w:val="center"/>
              <w:rPr>
                <w:rFonts w:eastAsia="Times New Roman" w:cs="Arial"/>
                <w:color w:val="000000"/>
                <w:lang w:eastAsia="es-CO"/>
              </w:rPr>
            </w:pPr>
            <w:r w:rsidRPr="002462A7">
              <w:rPr>
                <w:rFonts w:eastAsia="Times New Roman" w:cs="Arial"/>
                <w:color w:val="000000"/>
                <w:lang w:eastAsia="es-CO"/>
              </w:rPr>
              <w:t>10,60%</w:t>
            </w:r>
          </w:p>
        </w:tc>
        <w:tc>
          <w:tcPr>
            <w:tcW w:w="1720" w:type="dxa"/>
            <w:tcBorders>
              <w:top w:val="nil"/>
              <w:left w:val="nil"/>
              <w:bottom w:val="single" w:sz="4" w:space="0" w:color="auto"/>
              <w:right w:val="single" w:sz="8" w:space="0" w:color="auto"/>
            </w:tcBorders>
            <w:shd w:val="clear" w:color="000000" w:fill="DCE6F1"/>
            <w:vAlign w:val="center"/>
            <w:hideMark/>
          </w:tcPr>
          <w:p w:rsidR="00475419" w:rsidRPr="002462A7" w:rsidRDefault="00475419" w:rsidP="005678E7">
            <w:pPr>
              <w:spacing w:after="0"/>
              <w:jc w:val="center"/>
              <w:rPr>
                <w:rFonts w:eastAsia="Times New Roman" w:cs="Arial"/>
                <w:color w:val="000000"/>
                <w:lang w:eastAsia="es-CO"/>
              </w:rPr>
            </w:pPr>
            <w:r w:rsidRPr="002462A7">
              <w:rPr>
                <w:rFonts w:eastAsia="Times New Roman" w:cs="Arial"/>
                <w:color w:val="000000"/>
                <w:lang w:eastAsia="es-CO"/>
              </w:rPr>
              <w:t>8,05%</w:t>
            </w:r>
          </w:p>
        </w:tc>
      </w:tr>
      <w:tr w:rsidR="00475419" w:rsidRPr="002462A7" w:rsidTr="005678E7">
        <w:trPr>
          <w:trHeight w:val="300"/>
        </w:trPr>
        <w:tc>
          <w:tcPr>
            <w:tcW w:w="4120" w:type="dxa"/>
            <w:tcBorders>
              <w:top w:val="nil"/>
              <w:left w:val="single" w:sz="8" w:space="0" w:color="auto"/>
              <w:bottom w:val="single" w:sz="4" w:space="0" w:color="auto"/>
              <w:right w:val="single" w:sz="4" w:space="0" w:color="auto"/>
            </w:tcBorders>
            <w:shd w:val="clear" w:color="auto" w:fill="auto"/>
            <w:vAlign w:val="center"/>
            <w:hideMark/>
          </w:tcPr>
          <w:p w:rsidR="00475419" w:rsidRPr="002462A7" w:rsidRDefault="00475419" w:rsidP="005678E7">
            <w:pPr>
              <w:spacing w:after="0"/>
              <w:rPr>
                <w:rFonts w:eastAsia="Times New Roman" w:cs="Arial"/>
                <w:color w:val="000000"/>
                <w:lang w:eastAsia="es-CO"/>
              </w:rPr>
            </w:pPr>
            <w:r w:rsidRPr="002462A7">
              <w:rPr>
                <w:rFonts w:eastAsia="Times New Roman" w:cs="Arial"/>
                <w:color w:val="000000"/>
                <w:lang w:eastAsia="es-CO"/>
              </w:rPr>
              <w:t>Impacto regional</w:t>
            </w:r>
          </w:p>
        </w:tc>
        <w:tc>
          <w:tcPr>
            <w:tcW w:w="1420" w:type="dxa"/>
            <w:tcBorders>
              <w:top w:val="nil"/>
              <w:left w:val="nil"/>
              <w:bottom w:val="single" w:sz="4" w:space="0" w:color="auto"/>
              <w:right w:val="single" w:sz="4" w:space="0" w:color="auto"/>
            </w:tcBorders>
            <w:shd w:val="clear" w:color="auto" w:fill="auto"/>
            <w:vAlign w:val="center"/>
            <w:hideMark/>
          </w:tcPr>
          <w:p w:rsidR="00475419" w:rsidRPr="002462A7" w:rsidRDefault="00475419" w:rsidP="005678E7">
            <w:pPr>
              <w:spacing w:after="0"/>
              <w:jc w:val="center"/>
              <w:rPr>
                <w:rFonts w:eastAsia="Times New Roman" w:cs="Arial"/>
                <w:color w:val="000000"/>
                <w:lang w:eastAsia="es-CO"/>
              </w:rPr>
            </w:pPr>
            <w:r w:rsidRPr="002462A7">
              <w:rPr>
                <w:rFonts w:eastAsia="Times New Roman" w:cs="Arial"/>
                <w:color w:val="000000"/>
                <w:lang w:eastAsia="es-CO"/>
              </w:rPr>
              <w:t>94,59%</w:t>
            </w:r>
          </w:p>
        </w:tc>
        <w:tc>
          <w:tcPr>
            <w:tcW w:w="1420" w:type="dxa"/>
            <w:tcBorders>
              <w:top w:val="nil"/>
              <w:left w:val="nil"/>
              <w:bottom w:val="single" w:sz="4" w:space="0" w:color="auto"/>
              <w:right w:val="single" w:sz="4" w:space="0" w:color="auto"/>
            </w:tcBorders>
            <w:shd w:val="clear" w:color="auto" w:fill="auto"/>
            <w:vAlign w:val="center"/>
            <w:hideMark/>
          </w:tcPr>
          <w:p w:rsidR="00475419" w:rsidRPr="002462A7" w:rsidRDefault="00475419" w:rsidP="005678E7">
            <w:pPr>
              <w:spacing w:after="0"/>
              <w:jc w:val="center"/>
              <w:rPr>
                <w:rFonts w:eastAsia="Times New Roman" w:cs="Arial"/>
                <w:color w:val="000000"/>
                <w:lang w:eastAsia="es-CO"/>
              </w:rPr>
            </w:pPr>
            <w:r w:rsidRPr="002462A7">
              <w:rPr>
                <w:rFonts w:eastAsia="Times New Roman" w:cs="Arial"/>
                <w:color w:val="000000"/>
                <w:lang w:eastAsia="es-CO"/>
              </w:rPr>
              <w:t>11,30%</w:t>
            </w:r>
          </w:p>
        </w:tc>
        <w:tc>
          <w:tcPr>
            <w:tcW w:w="1720" w:type="dxa"/>
            <w:tcBorders>
              <w:top w:val="nil"/>
              <w:left w:val="nil"/>
              <w:bottom w:val="single" w:sz="4" w:space="0" w:color="auto"/>
              <w:right w:val="single" w:sz="8" w:space="0" w:color="auto"/>
            </w:tcBorders>
            <w:shd w:val="clear" w:color="000000" w:fill="DCE6F1"/>
            <w:vAlign w:val="center"/>
            <w:hideMark/>
          </w:tcPr>
          <w:p w:rsidR="00475419" w:rsidRPr="002462A7" w:rsidRDefault="00475419" w:rsidP="005678E7">
            <w:pPr>
              <w:spacing w:after="0"/>
              <w:jc w:val="center"/>
              <w:rPr>
                <w:rFonts w:eastAsia="Times New Roman" w:cs="Arial"/>
                <w:color w:val="000000"/>
                <w:lang w:eastAsia="es-CO"/>
              </w:rPr>
            </w:pPr>
            <w:r w:rsidRPr="002462A7">
              <w:rPr>
                <w:rFonts w:eastAsia="Times New Roman" w:cs="Arial"/>
                <w:color w:val="000000"/>
                <w:lang w:eastAsia="es-CO"/>
              </w:rPr>
              <w:t>10,69%</w:t>
            </w:r>
          </w:p>
        </w:tc>
      </w:tr>
      <w:tr w:rsidR="00475419" w:rsidRPr="002462A7" w:rsidTr="005678E7">
        <w:trPr>
          <w:trHeight w:val="300"/>
        </w:trPr>
        <w:tc>
          <w:tcPr>
            <w:tcW w:w="4120" w:type="dxa"/>
            <w:tcBorders>
              <w:top w:val="nil"/>
              <w:left w:val="single" w:sz="8" w:space="0" w:color="auto"/>
              <w:bottom w:val="single" w:sz="4" w:space="0" w:color="auto"/>
              <w:right w:val="single" w:sz="4" w:space="0" w:color="auto"/>
            </w:tcBorders>
            <w:shd w:val="clear" w:color="auto" w:fill="auto"/>
            <w:vAlign w:val="center"/>
            <w:hideMark/>
          </w:tcPr>
          <w:p w:rsidR="00475419" w:rsidRPr="002462A7" w:rsidRDefault="00475419" w:rsidP="005678E7">
            <w:pPr>
              <w:spacing w:after="0"/>
              <w:rPr>
                <w:rFonts w:eastAsia="Times New Roman" w:cs="Arial"/>
                <w:color w:val="000000"/>
                <w:lang w:eastAsia="es-CO"/>
              </w:rPr>
            </w:pPr>
            <w:r w:rsidRPr="002462A7">
              <w:rPr>
                <w:rFonts w:eastAsia="Times New Roman" w:cs="Arial"/>
                <w:color w:val="000000"/>
                <w:lang w:eastAsia="es-CO"/>
              </w:rPr>
              <w:t>Alianzas estratégicas</w:t>
            </w:r>
          </w:p>
        </w:tc>
        <w:tc>
          <w:tcPr>
            <w:tcW w:w="1420" w:type="dxa"/>
            <w:tcBorders>
              <w:top w:val="nil"/>
              <w:left w:val="nil"/>
              <w:bottom w:val="single" w:sz="4" w:space="0" w:color="auto"/>
              <w:right w:val="single" w:sz="4" w:space="0" w:color="auto"/>
            </w:tcBorders>
            <w:shd w:val="clear" w:color="auto" w:fill="auto"/>
            <w:vAlign w:val="center"/>
            <w:hideMark/>
          </w:tcPr>
          <w:p w:rsidR="00475419" w:rsidRPr="002462A7" w:rsidRDefault="00475419" w:rsidP="005678E7">
            <w:pPr>
              <w:spacing w:after="0"/>
              <w:jc w:val="center"/>
              <w:rPr>
                <w:rFonts w:eastAsia="Times New Roman" w:cs="Arial"/>
                <w:color w:val="000000"/>
                <w:lang w:eastAsia="es-CO"/>
              </w:rPr>
            </w:pPr>
            <w:r w:rsidRPr="002462A7">
              <w:rPr>
                <w:rFonts w:eastAsia="Times New Roman" w:cs="Arial"/>
                <w:color w:val="000000"/>
                <w:lang w:eastAsia="es-CO"/>
              </w:rPr>
              <w:t>85,06%</w:t>
            </w:r>
          </w:p>
        </w:tc>
        <w:tc>
          <w:tcPr>
            <w:tcW w:w="1420" w:type="dxa"/>
            <w:tcBorders>
              <w:top w:val="nil"/>
              <w:left w:val="nil"/>
              <w:bottom w:val="single" w:sz="4" w:space="0" w:color="auto"/>
              <w:right w:val="single" w:sz="4" w:space="0" w:color="auto"/>
            </w:tcBorders>
            <w:shd w:val="clear" w:color="auto" w:fill="auto"/>
            <w:vAlign w:val="center"/>
            <w:hideMark/>
          </w:tcPr>
          <w:p w:rsidR="00475419" w:rsidRPr="002462A7" w:rsidRDefault="00475419" w:rsidP="005678E7">
            <w:pPr>
              <w:spacing w:after="0"/>
              <w:jc w:val="center"/>
              <w:rPr>
                <w:rFonts w:eastAsia="Times New Roman" w:cs="Arial"/>
                <w:color w:val="000000"/>
                <w:lang w:eastAsia="es-CO"/>
              </w:rPr>
            </w:pPr>
            <w:r w:rsidRPr="002462A7">
              <w:rPr>
                <w:rFonts w:eastAsia="Times New Roman" w:cs="Arial"/>
                <w:color w:val="000000"/>
                <w:lang w:eastAsia="es-CO"/>
              </w:rPr>
              <w:t>10,30%</w:t>
            </w:r>
          </w:p>
        </w:tc>
        <w:tc>
          <w:tcPr>
            <w:tcW w:w="1720" w:type="dxa"/>
            <w:tcBorders>
              <w:top w:val="nil"/>
              <w:left w:val="nil"/>
              <w:bottom w:val="single" w:sz="4" w:space="0" w:color="auto"/>
              <w:right w:val="single" w:sz="8" w:space="0" w:color="auto"/>
            </w:tcBorders>
            <w:shd w:val="clear" w:color="000000" w:fill="DCE6F1"/>
            <w:vAlign w:val="center"/>
            <w:hideMark/>
          </w:tcPr>
          <w:p w:rsidR="00475419" w:rsidRPr="002462A7" w:rsidRDefault="00475419" w:rsidP="005678E7">
            <w:pPr>
              <w:spacing w:after="0"/>
              <w:jc w:val="center"/>
              <w:rPr>
                <w:rFonts w:eastAsia="Times New Roman" w:cs="Arial"/>
                <w:color w:val="000000"/>
                <w:lang w:eastAsia="es-CO"/>
              </w:rPr>
            </w:pPr>
            <w:r w:rsidRPr="002462A7">
              <w:rPr>
                <w:rFonts w:eastAsia="Times New Roman" w:cs="Arial"/>
                <w:color w:val="000000"/>
                <w:lang w:eastAsia="es-CO"/>
              </w:rPr>
              <w:t>8,76%</w:t>
            </w:r>
          </w:p>
        </w:tc>
      </w:tr>
      <w:tr w:rsidR="00475419" w:rsidRPr="002B1722" w:rsidTr="005678E7">
        <w:trPr>
          <w:trHeight w:val="315"/>
        </w:trPr>
        <w:tc>
          <w:tcPr>
            <w:tcW w:w="6960" w:type="dxa"/>
            <w:gridSpan w:val="3"/>
            <w:tcBorders>
              <w:top w:val="single" w:sz="4" w:space="0" w:color="auto"/>
              <w:left w:val="single" w:sz="8" w:space="0" w:color="auto"/>
              <w:bottom w:val="single" w:sz="8" w:space="0" w:color="auto"/>
              <w:right w:val="single" w:sz="4" w:space="0" w:color="auto"/>
            </w:tcBorders>
            <w:shd w:val="clear" w:color="000000" w:fill="B8CCE4"/>
            <w:vAlign w:val="center"/>
            <w:hideMark/>
          </w:tcPr>
          <w:p w:rsidR="00475419" w:rsidRPr="002462A7" w:rsidRDefault="00475419" w:rsidP="005678E7">
            <w:pPr>
              <w:spacing w:after="0"/>
              <w:jc w:val="center"/>
              <w:rPr>
                <w:rFonts w:eastAsia="Times New Roman" w:cs="Arial"/>
                <w:b/>
                <w:bCs/>
                <w:color w:val="000000"/>
                <w:lang w:eastAsia="es-CO"/>
              </w:rPr>
            </w:pPr>
            <w:r w:rsidRPr="002462A7">
              <w:rPr>
                <w:rFonts w:eastAsia="Times New Roman" w:cs="Arial"/>
                <w:b/>
                <w:bCs/>
                <w:color w:val="000000"/>
                <w:lang w:eastAsia="es-CO"/>
              </w:rPr>
              <w:t>Resultados a nivel de Componentes</w:t>
            </w:r>
          </w:p>
        </w:tc>
        <w:tc>
          <w:tcPr>
            <w:tcW w:w="1720" w:type="dxa"/>
            <w:tcBorders>
              <w:top w:val="nil"/>
              <w:left w:val="nil"/>
              <w:bottom w:val="single" w:sz="8" w:space="0" w:color="auto"/>
              <w:right w:val="single" w:sz="8" w:space="0" w:color="auto"/>
            </w:tcBorders>
            <w:shd w:val="clear" w:color="000000" w:fill="B8CCE4"/>
            <w:vAlign w:val="center"/>
            <w:hideMark/>
          </w:tcPr>
          <w:p w:rsidR="00475419" w:rsidRPr="002462A7" w:rsidRDefault="00475419" w:rsidP="005678E7">
            <w:pPr>
              <w:spacing w:after="0"/>
              <w:jc w:val="center"/>
              <w:rPr>
                <w:rFonts w:eastAsia="Times New Roman" w:cs="Arial"/>
                <w:b/>
                <w:bCs/>
                <w:color w:val="000000"/>
                <w:lang w:eastAsia="es-CO"/>
              </w:rPr>
            </w:pPr>
            <w:r w:rsidRPr="002462A7">
              <w:rPr>
                <w:rFonts w:eastAsia="Times New Roman" w:cs="Arial"/>
                <w:b/>
                <w:bCs/>
                <w:color w:val="000000"/>
                <w:lang w:eastAsia="es-CO"/>
              </w:rPr>
              <w:t>9</w:t>
            </w:r>
            <w:r>
              <w:rPr>
                <w:rFonts w:eastAsia="Times New Roman" w:cs="Arial"/>
                <w:b/>
                <w:bCs/>
                <w:color w:val="000000"/>
                <w:lang w:eastAsia="es-CO"/>
              </w:rPr>
              <w:t>0</w:t>
            </w:r>
            <w:r w:rsidRPr="002462A7">
              <w:rPr>
                <w:rFonts w:eastAsia="Times New Roman" w:cs="Arial"/>
                <w:b/>
                <w:bCs/>
                <w:color w:val="000000"/>
                <w:lang w:eastAsia="es-CO"/>
              </w:rPr>
              <w:t>,</w:t>
            </w:r>
            <w:r>
              <w:rPr>
                <w:rFonts w:eastAsia="Times New Roman" w:cs="Arial"/>
                <w:b/>
                <w:bCs/>
                <w:color w:val="000000"/>
                <w:lang w:eastAsia="es-CO"/>
              </w:rPr>
              <w:t>58</w:t>
            </w:r>
            <w:r w:rsidRPr="002462A7">
              <w:rPr>
                <w:rFonts w:eastAsia="Times New Roman" w:cs="Arial"/>
                <w:b/>
                <w:bCs/>
                <w:color w:val="000000"/>
                <w:lang w:eastAsia="es-CO"/>
              </w:rPr>
              <w:t>%</w:t>
            </w:r>
          </w:p>
        </w:tc>
      </w:tr>
    </w:tbl>
    <w:p w:rsidR="00475419" w:rsidRPr="00535E63" w:rsidRDefault="00475419" w:rsidP="00475419">
      <w:pPr>
        <w:jc w:val="center"/>
        <w:rPr>
          <w:b/>
        </w:rPr>
      </w:pPr>
      <w:r w:rsidRPr="00535E63">
        <w:rPr>
          <w:b/>
        </w:rPr>
        <w:t>FUENTE: SIGOB</w:t>
      </w:r>
    </w:p>
    <w:p w:rsidR="00475419" w:rsidRPr="002B1722" w:rsidRDefault="00475419" w:rsidP="00475419">
      <w:pPr>
        <w:jc w:val="center"/>
        <w:rPr>
          <w:highlight w:val="yellow"/>
        </w:rPr>
      </w:pPr>
    </w:p>
    <w:p w:rsidR="00475419" w:rsidRPr="00535E63" w:rsidRDefault="00475419" w:rsidP="00475419">
      <w:r w:rsidRPr="00535E63">
        <w:t xml:space="preserve">En cuanto al nivel de componentes de los diferentes Objetivos institucionales del Plan de Desarrollo, el resultado alcanzado como cumplimiento de las metas planteadas es del </w:t>
      </w:r>
      <w:r w:rsidRPr="00535E63">
        <w:rPr>
          <w:b/>
        </w:rPr>
        <w:t>90</w:t>
      </w:r>
      <w:r>
        <w:rPr>
          <w:b/>
          <w:bCs/>
        </w:rPr>
        <w:t>,58%</w:t>
      </w:r>
      <w:r w:rsidRPr="00535E63">
        <w:rPr>
          <w:b/>
          <w:bCs/>
        </w:rPr>
        <w:t xml:space="preserve">, </w:t>
      </w:r>
      <w:r w:rsidRPr="00535E63">
        <w:t xml:space="preserve">siendo el más representativo en este nivel el objetivo de </w:t>
      </w:r>
      <w:r w:rsidR="00015FAA">
        <w:t>Bienestar Institucional</w:t>
      </w:r>
      <w:r w:rsidRPr="00535E63">
        <w:t>.</w:t>
      </w:r>
    </w:p>
    <w:p w:rsidR="00475419" w:rsidRDefault="00475419" w:rsidP="00475419">
      <w:pPr>
        <w:spacing w:after="200" w:line="276" w:lineRule="auto"/>
        <w:jc w:val="left"/>
        <w:rPr>
          <w:highlight w:val="yellow"/>
        </w:rPr>
      </w:pPr>
      <w:r>
        <w:rPr>
          <w:highlight w:val="yellow"/>
        </w:rPr>
        <w:br w:type="page"/>
      </w:r>
    </w:p>
    <w:p w:rsidR="00475419" w:rsidRPr="00535E30" w:rsidRDefault="00475419" w:rsidP="00475419"/>
    <w:p w:rsidR="00475419" w:rsidRPr="00535E30" w:rsidRDefault="00475419" w:rsidP="00475419">
      <w:pPr>
        <w:pStyle w:val="Ttulo2"/>
        <w:spacing w:line="276" w:lineRule="auto"/>
      </w:pPr>
      <w:bookmarkStart w:id="172" w:name="_Toc304826945"/>
      <w:bookmarkStart w:id="173" w:name="_Toc347392851"/>
      <w:bookmarkStart w:id="174" w:name="_Toc350957786"/>
      <w:bookmarkStart w:id="175" w:name="_Toc354671379"/>
      <w:r w:rsidRPr="00535E30">
        <w:rPr>
          <w:caps w:val="0"/>
        </w:rPr>
        <w:t>COMPONENTES DESARROLLO INSTITUCIONAL</w:t>
      </w:r>
      <w:bookmarkEnd w:id="172"/>
      <w:bookmarkEnd w:id="173"/>
      <w:bookmarkEnd w:id="174"/>
      <w:bookmarkEnd w:id="175"/>
    </w:p>
    <w:p w:rsidR="00475419" w:rsidRPr="00535E30" w:rsidRDefault="00475419" w:rsidP="00475419">
      <w:pPr>
        <w:spacing w:after="0"/>
        <w:rPr>
          <w:rFonts w:cs="Arial"/>
          <w:b/>
        </w:rPr>
      </w:pPr>
    </w:p>
    <w:p w:rsidR="00475419" w:rsidRPr="00535E30" w:rsidRDefault="00475419" w:rsidP="00475419">
      <w:pPr>
        <w:spacing w:after="0"/>
        <w:rPr>
          <w:rFonts w:cs="Arial"/>
        </w:rPr>
      </w:pPr>
      <w:r w:rsidRPr="00535E30">
        <w:rPr>
          <w:rFonts w:cs="Arial"/>
        </w:rPr>
        <w:t>A manera de tablas, a continuación se presenta y se explica en resumen los avances alcanzados en las metas planteadas para la vigencia 2012, con corte a primer semestre de 2012:</w:t>
      </w:r>
    </w:p>
    <w:p w:rsidR="00475419" w:rsidRPr="00535E30" w:rsidRDefault="00475419" w:rsidP="00475419">
      <w:pPr>
        <w:spacing w:after="0"/>
        <w:rPr>
          <w:rFonts w:cs="Arial"/>
          <w:b/>
        </w:rPr>
      </w:pPr>
    </w:p>
    <w:p w:rsidR="00475419" w:rsidRPr="00535E30" w:rsidRDefault="00475419" w:rsidP="00475419">
      <w:pPr>
        <w:pStyle w:val="Sinespaciado"/>
        <w:numPr>
          <w:ilvl w:val="0"/>
          <w:numId w:val="10"/>
        </w:numPr>
        <w:spacing w:line="276" w:lineRule="auto"/>
        <w:ind w:left="284" w:hanging="284"/>
        <w:rPr>
          <w:rFonts w:asciiTheme="minorHAnsi" w:hAnsiTheme="minorHAnsi" w:cs="Arial"/>
          <w:b/>
        </w:rPr>
      </w:pPr>
      <w:r w:rsidRPr="00535E30">
        <w:rPr>
          <w:rFonts w:asciiTheme="minorHAnsi" w:hAnsiTheme="minorHAnsi" w:cs="Arial"/>
          <w:b/>
        </w:rPr>
        <w:t>Gestión estratégica del campus</w:t>
      </w:r>
    </w:p>
    <w:p w:rsidR="00475419" w:rsidRPr="00535E30" w:rsidRDefault="00475419" w:rsidP="00475419">
      <w:pPr>
        <w:pStyle w:val="Sinespaciado"/>
        <w:spacing w:line="276" w:lineRule="auto"/>
        <w:rPr>
          <w:rFonts w:asciiTheme="minorHAnsi" w:hAnsiTheme="minorHAnsi" w:cs="Arial"/>
          <w:b/>
        </w:rPr>
      </w:pPr>
    </w:p>
    <w:tbl>
      <w:tblPr>
        <w:tblW w:w="5790" w:type="pct"/>
        <w:jc w:val="center"/>
        <w:tblCellMar>
          <w:left w:w="0" w:type="dxa"/>
          <w:right w:w="0" w:type="dxa"/>
        </w:tblCellMar>
        <w:tblLook w:val="04A0" w:firstRow="1" w:lastRow="0" w:firstColumn="1" w:lastColumn="0" w:noHBand="0" w:noVBand="1"/>
      </w:tblPr>
      <w:tblGrid>
        <w:gridCol w:w="1631"/>
        <w:gridCol w:w="907"/>
        <w:gridCol w:w="919"/>
        <w:gridCol w:w="794"/>
        <w:gridCol w:w="6007"/>
      </w:tblGrid>
      <w:tr w:rsidR="00475419" w:rsidRPr="00535E30" w:rsidTr="005678E7">
        <w:trPr>
          <w:trHeight w:val="20"/>
          <w:tblHeader/>
          <w:jc w:val="center"/>
        </w:trPr>
        <w:tc>
          <w:tcPr>
            <w:tcW w:w="795"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442"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448"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387"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2928"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20"/>
          <w:jc w:val="center"/>
        </w:trPr>
        <w:tc>
          <w:tcPr>
            <w:tcW w:w="795"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Índice de construcción</w:t>
            </w:r>
          </w:p>
        </w:tc>
        <w:tc>
          <w:tcPr>
            <w:tcW w:w="44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2,22</w:t>
            </w:r>
          </w:p>
        </w:tc>
        <w:tc>
          <w:tcPr>
            <w:tcW w:w="448"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2,27</w:t>
            </w:r>
          </w:p>
        </w:tc>
        <w:tc>
          <w:tcPr>
            <w:tcW w:w="387"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jc w:val="center"/>
              <w:rPr>
                <w:rFonts w:cs="Arial"/>
                <w:sz w:val="18"/>
                <w:szCs w:val="18"/>
              </w:rPr>
            </w:pPr>
            <w:r w:rsidRPr="00535E30">
              <w:rPr>
                <w:rFonts w:cs="Arial"/>
                <w:sz w:val="18"/>
                <w:szCs w:val="18"/>
              </w:rPr>
              <w:t>100,00%</w:t>
            </w:r>
          </w:p>
        </w:tc>
        <w:tc>
          <w:tcPr>
            <w:tcW w:w="2928"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La medición del índice de construcción corresponde a  la relación de la ocupación en primer piso de las edificaciones que conforman la planta física, frente al total del área construida.</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Para el 2012 se proyectó un índice de construcción de 2,22. Proyección que corresponde a la puesta en funcionamiento del módulo interdisciplinario tercer etapa.   Se reporte indicador en cumplimiento con la meta establecida determinado en 2,27</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Es importante mencionar en este componente los estudios que se adelantan para la definición del proyecto os Centro Multipropósito en su primera etapa de definición de esquema básico arquitectónico.  En gestión de recursos, se logró la aprobación por parte de Planeación Nacional de $2.500.000.000 anuales para planta física.</w:t>
            </w:r>
          </w:p>
        </w:tc>
      </w:tr>
    </w:tbl>
    <w:p w:rsidR="00475419" w:rsidRPr="00535E30" w:rsidRDefault="00475419" w:rsidP="00475419">
      <w:pPr>
        <w:pStyle w:val="Sinespaciado"/>
        <w:spacing w:line="276" w:lineRule="auto"/>
        <w:rPr>
          <w:rFonts w:asciiTheme="minorHAnsi" w:hAnsiTheme="minorHAnsi" w:cs="Arial"/>
          <w:b/>
        </w:rPr>
      </w:pPr>
    </w:p>
    <w:p w:rsidR="00475419" w:rsidRPr="00535E30" w:rsidRDefault="00475419" w:rsidP="00475419">
      <w:pPr>
        <w:pStyle w:val="Sinespaciado"/>
        <w:numPr>
          <w:ilvl w:val="0"/>
          <w:numId w:val="10"/>
        </w:numPr>
        <w:spacing w:line="276" w:lineRule="auto"/>
        <w:ind w:left="284" w:hanging="284"/>
        <w:rPr>
          <w:rFonts w:asciiTheme="minorHAnsi" w:hAnsiTheme="minorHAnsi" w:cs="Arial"/>
          <w:b/>
        </w:rPr>
      </w:pPr>
      <w:r w:rsidRPr="00535E30">
        <w:rPr>
          <w:rFonts w:asciiTheme="minorHAnsi" w:hAnsiTheme="minorHAnsi" w:cs="Arial"/>
          <w:b/>
        </w:rPr>
        <w:t>Gestión y sostenibilidad ambiental</w:t>
      </w:r>
    </w:p>
    <w:p w:rsidR="00475419" w:rsidRPr="00535E30" w:rsidRDefault="00475419" w:rsidP="00475419">
      <w:pPr>
        <w:pStyle w:val="Sinespaciado"/>
        <w:spacing w:line="276" w:lineRule="auto"/>
        <w:rPr>
          <w:rFonts w:asciiTheme="minorHAnsi" w:hAnsiTheme="minorHAnsi" w:cs="Arial"/>
          <w:b/>
        </w:rPr>
      </w:pPr>
    </w:p>
    <w:tbl>
      <w:tblPr>
        <w:tblW w:w="5501" w:type="pct"/>
        <w:jc w:val="center"/>
        <w:tblCellMar>
          <w:left w:w="0" w:type="dxa"/>
          <w:right w:w="0" w:type="dxa"/>
        </w:tblCellMar>
        <w:tblLook w:val="04A0" w:firstRow="1" w:lastRow="0" w:firstColumn="1" w:lastColumn="0" w:noHBand="0" w:noVBand="1"/>
      </w:tblPr>
      <w:tblGrid>
        <w:gridCol w:w="1651"/>
        <w:gridCol w:w="982"/>
        <w:gridCol w:w="992"/>
        <w:gridCol w:w="860"/>
        <w:gridCol w:w="5261"/>
      </w:tblGrid>
      <w:tr w:rsidR="00475419" w:rsidRPr="00535E30" w:rsidTr="005678E7">
        <w:trPr>
          <w:trHeight w:val="20"/>
          <w:tblHeader/>
          <w:jc w:val="center"/>
        </w:trPr>
        <w:tc>
          <w:tcPr>
            <w:tcW w:w="847"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504"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509"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441"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2699"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20"/>
          <w:jc w:val="center"/>
        </w:trPr>
        <w:tc>
          <w:tcPr>
            <w:tcW w:w="84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Gestión ambiental universitaria</w:t>
            </w:r>
          </w:p>
        </w:tc>
        <w:tc>
          <w:tcPr>
            <w:tcW w:w="50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54,80</w:t>
            </w:r>
            <w:r>
              <w:rPr>
                <w:rFonts w:cs="Arial"/>
                <w:sz w:val="18"/>
                <w:szCs w:val="18"/>
              </w:rPr>
              <w:t>%</w:t>
            </w:r>
          </w:p>
        </w:tc>
        <w:tc>
          <w:tcPr>
            <w:tcW w:w="509"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49,20</w:t>
            </w:r>
            <w:r>
              <w:rPr>
                <w:rFonts w:cs="Arial"/>
                <w:color w:val="000000"/>
                <w:sz w:val="18"/>
                <w:szCs w:val="18"/>
              </w:rPr>
              <w:t>%</w:t>
            </w:r>
          </w:p>
        </w:tc>
        <w:tc>
          <w:tcPr>
            <w:tcW w:w="441"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jc w:val="center"/>
              <w:rPr>
                <w:rFonts w:cs="Arial"/>
                <w:sz w:val="18"/>
                <w:szCs w:val="18"/>
              </w:rPr>
            </w:pPr>
            <w:r w:rsidRPr="00535E30">
              <w:rPr>
                <w:rFonts w:cs="Arial"/>
                <w:sz w:val="18"/>
                <w:szCs w:val="18"/>
              </w:rPr>
              <w:t>89,78%</w:t>
            </w:r>
          </w:p>
        </w:tc>
        <w:tc>
          <w:tcPr>
            <w:tcW w:w="2699"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Se tuvo un cumplimiento final del 49.2% del 54.8% que se tenía proyectado (ver documento soporte). Lo que equivale al 89.78% de la meta 2012.</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numPr>
                <w:ilvl w:val="1"/>
                <w:numId w:val="16"/>
              </w:numPr>
              <w:spacing w:line="276" w:lineRule="auto"/>
              <w:ind w:left="364"/>
              <w:jc w:val="both"/>
              <w:rPr>
                <w:rFonts w:asciiTheme="minorHAnsi" w:hAnsiTheme="minorHAnsi" w:cs="Arial"/>
                <w:sz w:val="18"/>
                <w:szCs w:val="18"/>
              </w:rPr>
            </w:pPr>
            <w:r w:rsidRPr="00535E30">
              <w:rPr>
                <w:rFonts w:asciiTheme="minorHAnsi" w:hAnsiTheme="minorHAnsi" w:cs="Arial"/>
                <w:sz w:val="18"/>
                <w:szCs w:val="18"/>
              </w:rPr>
              <w:t>Las áreas de bosque  en conservación ambiental de la universidad no han sido intervenidas y continúan en un 61.4% del área total del campus, cumpliendo la meta.</w:t>
            </w:r>
          </w:p>
          <w:p w:rsidR="00475419" w:rsidRPr="00535E30" w:rsidRDefault="00475419" w:rsidP="005678E7">
            <w:pPr>
              <w:pStyle w:val="Sinespaciado"/>
              <w:numPr>
                <w:ilvl w:val="1"/>
                <w:numId w:val="16"/>
              </w:numPr>
              <w:spacing w:line="276" w:lineRule="auto"/>
              <w:ind w:left="364"/>
              <w:jc w:val="both"/>
              <w:rPr>
                <w:rFonts w:asciiTheme="minorHAnsi" w:hAnsiTheme="minorHAnsi" w:cs="Arial"/>
                <w:sz w:val="18"/>
                <w:szCs w:val="18"/>
              </w:rPr>
            </w:pPr>
            <w:r w:rsidRPr="00535E30">
              <w:rPr>
                <w:rFonts w:asciiTheme="minorHAnsi" w:hAnsiTheme="minorHAnsi" w:cs="Arial"/>
                <w:sz w:val="18"/>
                <w:szCs w:val="18"/>
              </w:rPr>
              <w:t>Se ha logrado la meta de llegar a 402 especies en conservación en las áreas de conservación del campus; especialmente especies de valor ecológico o especies amenazadas de extinción.</w:t>
            </w:r>
          </w:p>
          <w:p w:rsidR="00475419" w:rsidRPr="00535E30" w:rsidRDefault="00475419" w:rsidP="005678E7">
            <w:pPr>
              <w:pStyle w:val="Sinespaciado"/>
              <w:numPr>
                <w:ilvl w:val="1"/>
                <w:numId w:val="16"/>
              </w:numPr>
              <w:spacing w:line="276" w:lineRule="auto"/>
              <w:ind w:left="364"/>
              <w:jc w:val="both"/>
              <w:rPr>
                <w:rFonts w:asciiTheme="minorHAnsi" w:hAnsiTheme="minorHAnsi" w:cs="Arial"/>
                <w:sz w:val="18"/>
                <w:szCs w:val="18"/>
              </w:rPr>
            </w:pPr>
            <w:r w:rsidRPr="00535E30">
              <w:rPr>
                <w:rFonts w:asciiTheme="minorHAnsi" w:hAnsiTheme="minorHAnsi" w:cs="Arial"/>
                <w:sz w:val="18"/>
                <w:szCs w:val="18"/>
              </w:rPr>
              <w:t xml:space="preserve">Durante todo el año se capacitaron y sensibilizaron 195 Administrativos con el desarrollo de jornadas en la huerta agroecológica, </w:t>
            </w:r>
            <w:proofErr w:type="spellStart"/>
            <w:r w:rsidRPr="00535E30">
              <w:rPr>
                <w:rFonts w:asciiTheme="minorHAnsi" w:hAnsiTheme="minorHAnsi" w:cs="Arial"/>
                <w:sz w:val="18"/>
                <w:szCs w:val="18"/>
              </w:rPr>
              <w:t>reciclotones</w:t>
            </w:r>
            <w:proofErr w:type="spellEnd"/>
            <w:r w:rsidRPr="00535E30">
              <w:rPr>
                <w:rFonts w:asciiTheme="minorHAnsi" w:hAnsiTheme="minorHAnsi" w:cs="Arial"/>
                <w:sz w:val="18"/>
                <w:szCs w:val="18"/>
              </w:rPr>
              <w:t xml:space="preserve"> UTP, campañas de cero desechables en la UTP, entre otras.</w:t>
            </w:r>
          </w:p>
          <w:p w:rsidR="00475419" w:rsidRPr="00535E30" w:rsidRDefault="00475419" w:rsidP="005678E7">
            <w:pPr>
              <w:pStyle w:val="Sinespaciado"/>
              <w:numPr>
                <w:ilvl w:val="1"/>
                <w:numId w:val="16"/>
              </w:numPr>
              <w:spacing w:line="276" w:lineRule="auto"/>
              <w:ind w:left="364"/>
              <w:jc w:val="both"/>
              <w:rPr>
                <w:rFonts w:asciiTheme="minorHAnsi" w:hAnsiTheme="minorHAnsi" w:cs="Arial"/>
                <w:sz w:val="18"/>
                <w:szCs w:val="18"/>
              </w:rPr>
            </w:pPr>
            <w:r w:rsidRPr="00535E30">
              <w:rPr>
                <w:rFonts w:asciiTheme="minorHAnsi" w:hAnsiTheme="minorHAnsi" w:cs="Arial"/>
                <w:sz w:val="18"/>
                <w:szCs w:val="18"/>
              </w:rPr>
              <w:t>Se capacitaron y sensibilizaron 317 Docentes catedráticos, transitorios y de planta de la UTP</w:t>
            </w:r>
          </w:p>
          <w:p w:rsidR="00475419" w:rsidRPr="00535E30" w:rsidRDefault="00475419" w:rsidP="005678E7">
            <w:pPr>
              <w:pStyle w:val="Sinespaciado"/>
              <w:numPr>
                <w:ilvl w:val="1"/>
                <w:numId w:val="16"/>
              </w:numPr>
              <w:spacing w:line="276" w:lineRule="auto"/>
              <w:ind w:left="364"/>
              <w:jc w:val="both"/>
              <w:rPr>
                <w:rFonts w:asciiTheme="minorHAnsi" w:hAnsiTheme="minorHAnsi" w:cs="Arial"/>
                <w:sz w:val="18"/>
                <w:szCs w:val="18"/>
              </w:rPr>
            </w:pPr>
            <w:r w:rsidRPr="00535E30">
              <w:rPr>
                <w:rFonts w:asciiTheme="minorHAnsi" w:hAnsiTheme="minorHAnsi" w:cs="Arial"/>
                <w:sz w:val="18"/>
                <w:szCs w:val="18"/>
              </w:rPr>
              <w:t xml:space="preserve">Se capacitaron y sensibilizaron 4027 estudiantes de pregrado de la </w:t>
            </w:r>
            <w:r w:rsidRPr="00535E30">
              <w:rPr>
                <w:rFonts w:asciiTheme="minorHAnsi" w:hAnsiTheme="minorHAnsi" w:cs="Arial"/>
                <w:sz w:val="18"/>
                <w:szCs w:val="18"/>
              </w:rPr>
              <w:lastRenderedPageBreak/>
              <w:t>UTP</w:t>
            </w:r>
          </w:p>
          <w:p w:rsidR="00475419" w:rsidRPr="00535E30" w:rsidRDefault="00475419" w:rsidP="005678E7">
            <w:pPr>
              <w:pStyle w:val="Sinespaciado"/>
              <w:numPr>
                <w:ilvl w:val="1"/>
                <w:numId w:val="16"/>
              </w:numPr>
              <w:spacing w:line="276" w:lineRule="auto"/>
              <w:ind w:left="364"/>
              <w:jc w:val="both"/>
              <w:rPr>
                <w:rFonts w:asciiTheme="minorHAnsi" w:hAnsiTheme="minorHAnsi" w:cs="Arial"/>
                <w:sz w:val="18"/>
                <w:szCs w:val="18"/>
              </w:rPr>
            </w:pPr>
            <w:r w:rsidRPr="00535E30">
              <w:rPr>
                <w:rFonts w:asciiTheme="minorHAnsi" w:hAnsiTheme="minorHAnsi" w:cs="Arial"/>
                <w:sz w:val="18"/>
                <w:szCs w:val="18"/>
              </w:rPr>
              <w:t>Se aprovecharon 10.607 kg de material reciclado por parte del programa UTP Recicla</w:t>
            </w:r>
          </w:p>
          <w:p w:rsidR="00475419" w:rsidRPr="00535E30" w:rsidRDefault="00475419" w:rsidP="005678E7">
            <w:pPr>
              <w:pStyle w:val="Sinespaciado"/>
              <w:numPr>
                <w:ilvl w:val="1"/>
                <w:numId w:val="16"/>
              </w:numPr>
              <w:spacing w:line="276" w:lineRule="auto"/>
              <w:ind w:left="364"/>
              <w:jc w:val="both"/>
              <w:rPr>
                <w:rFonts w:asciiTheme="minorHAnsi" w:hAnsiTheme="minorHAnsi" w:cs="Arial"/>
                <w:sz w:val="18"/>
                <w:szCs w:val="18"/>
              </w:rPr>
            </w:pPr>
            <w:r w:rsidRPr="00535E30">
              <w:rPr>
                <w:rFonts w:asciiTheme="minorHAnsi" w:hAnsiTheme="minorHAnsi" w:cs="Arial"/>
                <w:sz w:val="18"/>
                <w:szCs w:val="18"/>
              </w:rPr>
              <w:t>Se aprovecharon alrededor de 20 toneladas de material reciclado por parte de la Cooperativa Paz y Futuro</w:t>
            </w:r>
          </w:p>
        </w:tc>
      </w:tr>
    </w:tbl>
    <w:p w:rsidR="00475419" w:rsidRPr="00535E30" w:rsidRDefault="00475419" w:rsidP="00475419">
      <w:pPr>
        <w:pStyle w:val="Sinespaciado"/>
        <w:spacing w:line="276" w:lineRule="auto"/>
        <w:rPr>
          <w:rFonts w:asciiTheme="minorHAnsi" w:hAnsiTheme="minorHAnsi" w:cs="Arial"/>
          <w:b/>
        </w:rPr>
      </w:pPr>
    </w:p>
    <w:p w:rsidR="00475419" w:rsidRPr="00535E30" w:rsidRDefault="00475419" w:rsidP="00475419">
      <w:pPr>
        <w:pStyle w:val="Sinespaciado"/>
        <w:spacing w:line="276" w:lineRule="auto"/>
        <w:rPr>
          <w:rFonts w:asciiTheme="minorHAnsi" w:hAnsiTheme="minorHAnsi" w:cs="Arial"/>
          <w:b/>
        </w:rPr>
      </w:pPr>
    </w:p>
    <w:p w:rsidR="00475419" w:rsidRPr="00535E30" w:rsidRDefault="00475419" w:rsidP="00475419">
      <w:pPr>
        <w:pStyle w:val="Sinespaciado"/>
        <w:numPr>
          <w:ilvl w:val="0"/>
          <w:numId w:val="10"/>
        </w:numPr>
        <w:spacing w:line="276" w:lineRule="auto"/>
        <w:ind w:left="284" w:hanging="284"/>
        <w:rPr>
          <w:rFonts w:asciiTheme="minorHAnsi" w:hAnsiTheme="minorHAnsi" w:cs="Arial"/>
          <w:b/>
        </w:rPr>
      </w:pPr>
      <w:r w:rsidRPr="00535E30">
        <w:rPr>
          <w:rFonts w:asciiTheme="minorHAnsi" w:hAnsiTheme="minorHAnsi" w:cs="Arial"/>
          <w:b/>
        </w:rPr>
        <w:t>Gestión de las sedes alternas</w:t>
      </w:r>
    </w:p>
    <w:p w:rsidR="00475419" w:rsidRPr="00535E30" w:rsidRDefault="00475419" w:rsidP="00475419">
      <w:pPr>
        <w:pStyle w:val="Sinespaciado"/>
        <w:spacing w:line="276" w:lineRule="auto"/>
        <w:rPr>
          <w:rFonts w:asciiTheme="minorHAnsi" w:hAnsiTheme="minorHAnsi" w:cs="Arial"/>
          <w:b/>
        </w:rPr>
      </w:pPr>
    </w:p>
    <w:tbl>
      <w:tblPr>
        <w:tblW w:w="5493" w:type="pct"/>
        <w:jc w:val="center"/>
        <w:tblInd w:w="-3517" w:type="dxa"/>
        <w:tblCellMar>
          <w:left w:w="0" w:type="dxa"/>
          <w:right w:w="0" w:type="dxa"/>
        </w:tblCellMar>
        <w:tblLook w:val="04A0" w:firstRow="1" w:lastRow="0" w:firstColumn="1" w:lastColumn="0" w:noHBand="0" w:noVBand="1"/>
      </w:tblPr>
      <w:tblGrid>
        <w:gridCol w:w="1717"/>
        <w:gridCol w:w="981"/>
        <w:gridCol w:w="998"/>
        <w:gridCol w:w="862"/>
        <w:gridCol w:w="5173"/>
      </w:tblGrid>
      <w:tr w:rsidR="00475419" w:rsidRPr="00535E30" w:rsidTr="005678E7">
        <w:trPr>
          <w:trHeight w:val="20"/>
          <w:tblHeader/>
          <w:jc w:val="center"/>
        </w:trPr>
        <w:tc>
          <w:tcPr>
            <w:tcW w:w="882"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504"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513"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443"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2658"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20"/>
          <w:jc w:val="center"/>
        </w:trPr>
        <w:tc>
          <w:tcPr>
            <w:tcW w:w="88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Atención de necesidades externas</w:t>
            </w:r>
          </w:p>
        </w:tc>
        <w:tc>
          <w:tcPr>
            <w:tcW w:w="50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100,00</w:t>
            </w:r>
            <w:r>
              <w:rPr>
                <w:rFonts w:cs="Arial"/>
                <w:sz w:val="18"/>
                <w:szCs w:val="18"/>
              </w:rPr>
              <w:t>%</w:t>
            </w:r>
          </w:p>
        </w:tc>
        <w:tc>
          <w:tcPr>
            <w:tcW w:w="513"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100,00</w:t>
            </w:r>
            <w:r>
              <w:rPr>
                <w:rFonts w:cs="Arial"/>
                <w:color w:val="000000"/>
                <w:sz w:val="18"/>
                <w:szCs w:val="18"/>
              </w:rPr>
              <w:t>%</w:t>
            </w:r>
          </w:p>
        </w:tc>
        <w:tc>
          <w:tcPr>
            <w:tcW w:w="443"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jc w:val="center"/>
              <w:rPr>
                <w:rFonts w:cs="Arial"/>
                <w:sz w:val="18"/>
                <w:szCs w:val="18"/>
              </w:rPr>
            </w:pPr>
            <w:r w:rsidRPr="00535E30">
              <w:rPr>
                <w:rFonts w:cs="Arial"/>
                <w:sz w:val="18"/>
                <w:szCs w:val="18"/>
              </w:rPr>
              <w:t>100,00%</w:t>
            </w:r>
          </w:p>
        </w:tc>
        <w:tc>
          <w:tcPr>
            <w:tcW w:w="2658" w:type="pct"/>
            <w:tcBorders>
              <w:top w:val="single" w:sz="4" w:space="0" w:color="000000"/>
              <w:left w:val="single" w:sz="4" w:space="0" w:color="000000"/>
              <w:bottom w:val="single" w:sz="4" w:space="0" w:color="000000"/>
              <w:right w:val="single" w:sz="4" w:space="0" w:color="000000"/>
            </w:tcBorders>
            <w:shd w:val="clear" w:color="auto" w:fill="auto"/>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Las actividades programadas para la vigencia 2012 fueron cumplidas en el 100%.</w:t>
            </w:r>
          </w:p>
        </w:tc>
      </w:tr>
    </w:tbl>
    <w:p w:rsidR="00475419" w:rsidRPr="00535E30" w:rsidRDefault="00475419" w:rsidP="00475419">
      <w:pPr>
        <w:pStyle w:val="Sinespaciado"/>
        <w:spacing w:line="276" w:lineRule="auto"/>
        <w:rPr>
          <w:rFonts w:asciiTheme="minorHAnsi" w:hAnsiTheme="minorHAnsi" w:cs="Arial"/>
          <w:b/>
        </w:rPr>
      </w:pPr>
    </w:p>
    <w:p w:rsidR="00475419" w:rsidRPr="00535E30" w:rsidRDefault="00475419" w:rsidP="00475419">
      <w:pPr>
        <w:pStyle w:val="Sinespaciado"/>
        <w:numPr>
          <w:ilvl w:val="0"/>
          <w:numId w:val="10"/>
        </w:numPr>
        <w:spacing w:line="276" w:lineRule="auto"/>
        <w:ind w:left="284" w:hanging="284"/>
        <w:rPr>
          <w:rFonts w:asciiTheme="minorHAnsi" w:hAnsiTheme="minorHAnsi" w:cs="Arial"/>
          <w:b/>
        </w:rPr>
      </w:pPr>
      <w:r w:rsidRPr="00535E30">
        <w:rPr>
          <w:rFonts w:asciiTheme="minorHAnsi" w:hAnsiTheme="minorHAnsi" w:cs="Arial"/>
          <w:b/>
        </w:rPr>
        <w:t>Sostenibilidad de la infraestructura física</w:t>
      </w:r>
    </w:p>
    <w:p w:rsidR="00475419" w:rsidRPr="00535E30" w:rsidRDefault="00475419" w:rsidP="00475419">
      <w:pPr>
        <w:pStyle w:val="Sinespaciado"/>
        <w:spacing w:line="276" w:lineRule="auto"/>
        <w:rPr>
          <w:rFonts w:asciiTheme="minorHAnsi" w:hAnsiTheme="minorHAnsi" w:cs="Arial"/>
          <w:b/>
        </w:rPr>
      </w:pPr>
    </w:p>
    <w:tbl>
      <w:tblPr>
        <w:tblW w:w="5510" w:type="pct"/>
        <w:jc w:val="center"/>
        <w:tblCellMar>
          <w:left w:w="0" w:type="dxa"/>
          <w:right w:w="0" w:type="dxa"/>
        </w:tblCellMar>
        <w:tblLook w:val="04A0" w:firstRow="1" w:lastRow="0" w:firstColumn="1" w:lastColumn="0" w:noHBand="0" w:noVBand="1"/>
      </w:tblPr>
      <w:tblGrid>
        <w:gridCol w:w="1470"/>
        <w:gridCol w:w="980"/>
        <w:gridCol w:w="996"/>
        <w:gridCol w:w="861"/>
        <w:gridCol w:w="5455"/>
      </w:tblGrid>
      <w:tr w:rsidR="00475419" w:rsidRPr="00535E30" w:rsidTr="005678E7">
        <w:trPr>
          <w:trHeight w:val="20"/>
          <w:tblHeader/>
          <w:jc w:val="center"/>
        </w:trPr>
        <w:tc>
          <w:tcPr>
            <w:tcW w:w="753"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502"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510"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441"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2794"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20"/>
          <w:jc w:val="center"/>
        </w:trPr>
        <w:tc>
          <w:tcPr>
            <w:tcW w:w="753"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Cobertura de los equipamientos</w:t>
            </w:r>
          </w:p>
        </w:tc>
        <w:tc>
          <w:tcPr>
            <w:tcW w:w="50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75,00</w:t>
            </w:r>
          </w:p>
        </w:tc>
        <w:tc>
          <w:tcPr>
            <w:tcW w:w="51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78,00</w:t>
            </w:r>
          </w:p>
        </w:tc>
        <w:tc>
          <w:tcPr>
            <w:tcW w:w="441"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jc w:val="center"/>
              <w:rPr>
                <w:rFonts w:cs="Arial"/>
                <w:sz w:val="18"/>
                <w:szCs w:val="18"/>
              </w:rPr>
            </w:pPr>
            <w:r w:rsidRPr="00535E30">
              <w:rPr>
                <w:rFonts w:cs="Arial"/>
                <w:sz w:val="18"/>
                <w:szCs w:val="18"/>
              </w:rPr>
              <w:t>100,00%</w:t>
            </w:r>
          </w:p>
        </w:tc>
        <w:tc>
          <w:tcPr>
            <w:tcW w:w="2794"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Se cumplió la meta del 78 equivalente al 104% de lo programado.  Esto debido a la actualización </w:t>
            </w:r>
            <w:proofErr w:type="spellStart"/>
            <w:r w:rsidRPr="00535E30">
              <w:rPr>
                <w:rFonts w:asciiTheme="minorHAnsi" w:hAnsiTheme="minorHAnsi" w:cs="Arial"/>
                <w:sz w:val="18"/>
                <w:szCs w:val="18"/>
              </w:rPr>
              <w:t>planimétrica</w:t>
            </w:r>
            <w:proofErr w:type="spellEnd"/>
            <w:r w:rsidRPr="00535E30">
              <w:rPr>
                <w:rFonts w:asciiTheme="minorHAnsi" w:hAnsiTheme="minorHAnsi" w:cs="Arial"/>
                <w:sz w:val="18"/>
                <w:szCs w:val="18"/>
              </w:rPr>
              <w:t xml:space="preserve"> y de áreas de la planta física universitaria, la cual dio como resultado mayores áreas en las edificaciones.</w:t>
            </w:r>
          </w:p>
        </w:tc>
      </w:tr>
    </w:tbl>
    <w:p w:rsidR="00475419" w:rsidRPr="00535E30" w:rsidRDefault="00475419" w:rsidP="00475419">
      <w:pPr>
        <w:pStyle w:val="Sinespaciado"/>
        <w:spacing w:line="276" w:lineRule="auto"/>
        <w:rPr>
          <w:rFonts w:asciiTheme="minorHAnsi" w:hAnsiTheme="minorHAnsi" w:cs="Arial"/>
          <w:b/>
        </w:rPr>
      </w:pPr>
    </w:p>
    <w:p w:rsidR="00475419" w:rsidRPr="00535E30" w:rsidRDefault="00475419" w:rsidP="00475419">
      <w:pPr>
        <w:pStyle w:val="Sinespaciado"/>
        <w:numPr>
          <w:ilvl w:val="0"/>
          <w:numId w:val="10"/>
        </w:numPr>
        <w:spacing w:line="276" w:lineRule="auto"/>
        <w:ind w:left="284" w:hanging="284"/>
        <w:rPr>
          <w:rFonts w:asciiTheme="minorHAnsi" w:hAnsiTheme="minorHAnsi" w:cs="Arial"/>
          <w:b/>
        </w:rPr>
      </w:pPr>
      <w:r w:rsidRPr="00535E30">
        <w:rPr>
          <w:rFonts w:asciiTheme="minorHAnsi" w:hAnsiTheme="minorHAnsi" w:cs="Arial"/>
          <w:b/>
        </w:rPr>
        <w:t>Sistemas de información</w:t>
      </w:r>
    </w:p>
    <w:p w:rsidR="00475419" w:rsidRPr="00535E30" w:rsidRDefault="00475419" w:rsidP="00475419">
      <w:pPr>
        <w:pStyle w:val="Sinespaciado"/>
        <w:spacing w:line="276" w:lineRule="auto"/>
        <w:rPr>
          <w:rFonts w:asciiTheme="minorHAnsi" w:hAnsiTheme="minorHAnsi" w:cs="Arial"/>
          <w:b/>
        </w:rPr>
      </w:pPr>
    </w:p>
    <w:tbl>
      <w:tblPr>
        <w:tblW w:w="5579" w:type="pct"/>
        <w:jc w:val="center"/>
        <w:tblInd w:w="-3517" w:type="dxa"/>
        <w:tblCellMar>
          <w:left w:w="0" w:type="dxa"/>
          <w:right w:w="0" w:type="dxa"/>
        </w:tblCellMar>
        <w:tblLook w:val="04A0" w:firstRow="1" w:lastRow="0" w:firstColumn="1" w:lastColumn="0" w:noHBand="0" w:noVBand="1"/>
      </w:tblPr>
      <w:tblGrid>
        <w:gridCol w:w="1517"/>
        <w:gridCol w:w="982"/>
        <w:gridCol w:w="998"/>
        <w:gridCol w:w="866"/>
        <w:gridCol w:w="5521"/>
      </w:tblGrid>
      <w:tr w:rsidR="00475419" w:rsidRPr="00535E30" w:rsidTr="005678E7">
        <w:trPr>
          <w:trHeight w:val="20"/>
          <w:tblHeader/>
          <w:jc w:val="center"/>
        </w:trPr>
        <w:tc>
          <w:tcPr>
            <w:tcW w:w="767"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497"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505"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438"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2793"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20"/>
          <w:jc w:val="center"/>
        </w:trPr>
        <w:tc>
          <w:tcPr>
            <w:tcW w:w="76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Desarrollo del Sistema de Información</w:t>
            </w:r>
          </w:p>
        </w:tc>
        <w:tc>
          <w:tcPr>
            <w:tcW w:w="49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50,00</w:t>
            </w:r>
            <w:r>
              <w:rPr>
                <w:rFonts w:cs="Arial"/>
                <w:sz w:val="18"/>
                <w:szCs w:val="18"/>
              </w:rPr>
              <w:t>%</w:t>
            </w:r>
          </w:p>
        </w:tc>
        <w:tc>
          <w:tcPr>
            <w:tcW w:w="505"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48,70</w:t>
            </w:r>
            <w:r>
              <w:rPr>
                <w:rFonts w:cs="Arial"/>
                <w:color w:val="000000"/>
                <w:sz w:val="18"/>
                <w:szCs w:val="18"/>
              </w:rPr>
              <w:t>%</w:t>
            </w:r>
          </w:p>
        </w:tc>
        <w:tc>
          <w:tcPr>
            <w:tcW w:w="438"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jc w:val="center"/>
              <w:rPr>
                <w:rFonts w:cs="Arial"/>
                <w:sz w:val="18"/>
                <w:szCs w:val="18"/>
              </w:rPr>
            </w:pPr>
            <w:r w:rsidRPr="00535E30">
              <w:rPr>
                <w:rFonts w:cs="Arial"/>
                <w:sz w:val="18"/>
                <w:szCs w:val="18"/>
              </w:rPr>
              <w:t>97,40%</w:t>
            </w:r>
          </w:p>
        </w:tc>
        <w:tc>
          <w:tcPr>
            <w:tcW w:w="2793"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El resultado de este componente se soporta en el avance de los siguientes sistemas de información:</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Software Académico: 65%</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Sistema Financiero: 60%</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Sistema de Personal: 62%</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Observatorio del Egresado: 88%</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Gestión de Tramites: 80%</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Sistema para la Vicerrectoría de Responsabilidad Social: 100%</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Sistema División de Servicios: 95%</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Sistema para le Vicerrectoría de Innovación: 88%</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Vicerrectoría Administrativa: 87%</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Web Institucional: 100%</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Diseño: 100%</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Seguridad de la Información: 55%</w:t>
            </w:r>
          </w:p>
        </w:tc>
      </w:tr>
    </w:tbl>
    <w:p w:rsidR="00475419" w:rsidRDefault="00475419" w:rsidP="00475419">
      <w:pPr>
        <w:pStyle w:val="Sinespaciado"/>
        <w:spacing w:line="276" w:lineRule="auto"/>
        <w:rPr>
          <w:rFonts w:asciiTheme="minorHAnsi" w:hAnsiTheme="minorHAnsi" w:cs="Arial"/>
          <w:b/>
        </w:rPr>
      </w:pPr>
    </w:p>
    <w:p w:rsidR="00475419" w:rsidRDefault="00475419" w:rsidP="00475419">
      <w:pPr>
        <w:pStyle w:val="Sinespaciado"/>
        <w:spacing w:line="276" w:lineRule="auto"/>
        <w:rPr>
          <w:rFonts w:asciiTheme="minorHAnsi" w:hAnsiTheme="minorHAnsi" w:cs="Arial"/>
          <w:b/>
        </w:rPr>
      </w:pPr>
    </w:p>
    <w:p w:rsidR="00475419" w:rsidRDefault="00475419" w:rsidP="00475419">
      <w:pPr>
        <w:pStyle w:val="Sinespaciado"/>
        <w:spacing w:line="276" w:lineRule="auto"/>
        <w:rPr>
          <w:rFonts w:asciiTheme="minorHAnsi" w:hAnsiTheme="minorHAnsi" w:cs="Arial"/>
          <w:b/>
        </w:rPr>
      </w:pPr>
    </w:p>
    <w:p w:rsidR="00475419" w:rsidRPr="00535E30" w:rsidRDefault="00475419" w:rsidP="00475419">
      <w:pPr>
        <w:pStyle w:val="Sinespaciado"/>
        <w:spacing w:line="276" w:lineRule="auto"/>
        <w:rPr>
          <w:rFonts w:asciiTheme="minorHAnsi" w:hAnsiTheme="minorHAnsi" w:cs="Arial"/>
          <w:b/>
        </w:rPr>
      </w:pPr>
    </w:p>
    <w:p w:rsidR="00475419" w:rsidRPr="00535E30" w:rsidRDefault="00475419" w:rsidP="00475419">
      <w:pPr>
        <w:pStyle w:val="Sinespaciado"/>
        <w:numPr>
          <w:ilvl w:val="0"/>
          <w:numId w:val="10"/>
        </w:numPr>
        <w:spacing w:line="276" w:lineRule="auto"/>
        <w:ind w:left="284" w:hanging="284"/>
        <w:rPr>
          <w:rFonts w:asciiTheme="minorHAnsi" w:hAnsiTheme="minorHAnsi" w:cs="Arial"/>
          <w:b/>
        </w:rPr>
      </w:pPr>
      <w:r w:rsidRPr="00535E30">
        <w:rPr>
          <w:rFonts w:asciiTheme="minorHAnsi" w:hAnsiTheme="minorHAnsi" w:cs="Arial"/>
          <w:b/>
        </w:rPr>
        <w:t>Automatización de los recursos físicos</w:t>
      </w:r>
    </w:p>
    <w:p w:rsidR="00475419" w:rsidRPr="00535E30" w:rsidRDefault="00475419" w:rsidP="00475419">
      <w:pPr>
        <w:pStyle w:val="Sinespaciado"/>
        <w:spacing w:line="276" w:lineRule="auto"/>
        <w:rPr>
          <w:rFonts w:asciiTheme="minorHAnsi" w:hAnsiTheme="minorHAnsi" w:cs="Arial"/>
          <w:b/>
        </w:rPr>
      </w:pPr>
    </w:p>
    <w:tbl>
      <w:tblPr>
        <w:tblW w:w="5621" w:type="pct"/>
        <w:jc w:val="center"/>
        <w:tblInd w:w="-3517" w:type="dxa"/>
        <w:tblCellMar>
          <w:left w:w="0" w:type="dxa"/>
          <w:right w:w="0" w:type="dxa"/>
        </w:tblCellMar>
        <w:tblLook w:val="04A0" w:firstRow="1" w:lastRow="0" w:firstColumn="1" w:lastColumn="0" w:noHBand="0" w:noVBand="1"/>
      </w:tblPr>
      <w:tblGrid>
        <w:gridCol w:w="1579"/>
        <w:gridCol w:w="940"/>
        <w:gridCol w:w="954"/>
        <w:gridCol w:w="827"/>
        <w:gridCol w:w="5658"/>
      </w:tblGrid>
      <w:tr w:rsidR="00475419" w:rsidRPr="00535E30" w:rsidTr="005678E7">
        <w:trPr>
          <w:trHeight w:val="20"/>
          <w:tblHeader/>
          <w:jc w:val="center"/>
        </w:trPr>
        <w:tc>
          <w:tcPr>
            <w:tcW w:w="793"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472"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479"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415"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2841"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1506"/>
          <w:jc w:val="center"/>
        </w:trPr>
        <w:tc>
          <w:tcPr>
            <w:tcW w:w="793"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Servicios Automatizados</w:t>
            </w:r>
          </w:p>
        </w:tc>
        <w:tc>
          <w:tcPr>
            <w:tcW w:w="47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30,00</w:t>
            </w:r>
            <w:r>
              <w:rPr>
                <w:rFonts w:cs="Arial"/>
                <w:sz w:val="18"/>
                <w:szCs w:val="18"/>
              </w:rPr>
              <w:t>%</w:t>
            </w:r>
          </w:p>
        </w:tc>
        <w:tc>
          <w:tcPr>
            <w:tcW w:w="479"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29,20</w:t>
            </w:r>
            <w:r>
              <w:rPr>
                <w:rFonts w:cs="Arial"/>
                <w:color w:val="000000"/>
                <w:sz w:val="18"/>
                <w:szCs w:val="18"/>
              </w:rPr>
              <w:t>%</w:t>
            </w:r>
          </w:p>
        </w:tc>
        <w:tc>
          <w:tcPr>
            <w:tcW w:w="415"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jc w:val="center"/>
              <w:rPr>
                <w:rFonts w:cs="Arial"/>
                <w:sz w:val="18"/>
                <w:szCs w:val="18"/>
              </w:rPr>
            </w:pPr>
            <w:r w:rsidRPr="00535E30">
              <w:rPr>
                <w:rFonts w:cs="Arial"/>
                <w:sz w:val="18"/>
                <w:szCs w:val="18"/>
              </w:rPr>
              <w:t>97,33%</w:t>
            </w:r>
          </w:p>
        </w:tc>
        <w:tc>
          <w:tcPr>
            <w:tcW w:w="2841"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Este componente tiene un cumplimiento final del 97%, realizándose las actividades de instalación de paneles de control de iluminación los cuales permiten integrar el sistema de iluminación al software de automatización, y a su vez realizar un control horario de los circuitos de iluminación. Los cuales, ayudan a que el sistema de iluminación se encienda en horarios no requeridos.</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Se realizó la instalación de un </w:t>
            </w:r>
            <w:proofErr w:type="spellStart"/>
            <w:r w:rsidRPr="00535E30">
              <w:rPr>
                <w:rFonts w:asciiTheme="minorHAnsi" w:hAnsiTheme="minorHAnsi" w:cs="Arial"/>
                <w:sz w:val="18"/>
                <w:szCs w:val="18"/>
              </w:rPr>
              <w:t>caudalimetro</w:t>
            </w:r>
            <w:proofErr w:type="spellEnd"/>
            <w:r w:rsidRPr="00535E30">
              <w:rPr>
                <w:rFonts w:asciiTheme="minorHAnsi" w:hAnsiTheme="minorHAnsi" w:cs="Arial"/>
                <w:sz w:val="18"/>
                <w:szCs w:val="18"/>
              </w:rPr>
              <w:t xml:space="preserve"> y de un analizador de redes, para monitorear el consumo de agua y  energía en el edificio de industrial.</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Se dio por terminado el contrato de automatización del edificio de industrial. Instalando en los pisos segundo y tercero sistemas de luminarias tipo LED las cuales nos ofrecen un 50% de ahorro en el consumo de energía convencional con luminarias fluorescentes de 2x32 W.</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Se realizó la instalación de paneles de control de iluminación los cuales permiten integrar el sistema de iluminación al software de automatización, y a su vez realizar un control horario de los circuitos de iluminación. Los cuales ayudan a que el sistema de iluminación so encienda en horarios no requeridos.</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Se realizó la instalación de sensores de movimiento en los baños de la edificación de modo que las luminarias solo encienda dan cuando son requeridas, La siguiente edificación se tiene contemplada automatizar es el edificio de eléctrica, a la cual se pretenden instalar los mismos subsistemas, además que están analizando diferentes software de gestión de consumos para implementar su instalación.</w:t>
            </w:r>
          </w:p>
        </w:tc>
      </w:tr>
    </w:tbl>
    <w:p w:rsidR="00475419" w:rsidRPr="00535E30" w:rsidRDefault="00475419" w:rsidP="00475419">
      <w:pPr>
        <w:pStyle w:val="Sinespaciado"/>
        <w:spacing w:line="276" w:lineRule="auto"/>
        <w:rPr>
          <w:rFonts w:asciiTheme="minorHAnsi" w:hAnsiTheme="minorHAnsi" w:cs="Arial"/>
          <w:b/>
        </w:rPr>
      </w:pPr>
    </w:p>
    <w:p w:rsidR="00475419" w:rsidRPr="00535E30" w:rsidRDefault="00475419" w:rsidP="00475419">
      <w:pPr>
        <w:pStyle w:val="Sinespaciado"/>
        <w:numPr>
          <w:ilvl w:val="0"/>
          <w:numId w:val="10"/>
        </w:numPr>
        <w:spacing w:line="276" w:lineRule="auto"/>
        <w:ind w:left="284" w:hanging="284"/>
        <w:rPr>
          <w:rFonts w:asciiTheme="minorHAnsi" w:hAnsiTheme="minorHAnsi" w:cs="Arial"/>
          <w:b/>
        </w:rPr>
      </w:pPr>
      <w:r w:rsidRPr="00535E30">
        <w:rPr>
          <w:rFonts w:asciiTheme="minorHAnsi" w:hAnsiTheme="minorHAnsi" w:cs="Arial"/>
          <w:b/>
        </w:rPr>
        <w:t>Sostenibilidad de hardware y software</w:t>
      </w:r>
    </w:p>
    <w:p w:rsidR="00475419" w:rsidRPr="00535E30" w:rsidRDefault="00475419" w:rsidP="00475419">
      <w:pPr>
        <w:pStyle w:val="Sinespaciado"/>
        <w:spacing w:line="276" w:lineRule="auto"/>
        <w:rPr>
          <w:rFonts w:asciiTheme="minorHAnsi" w:hAnsiTheme="minorHAnsi" w:cs="Arial"/>
          <w:b/>
        </w:rPr>
      </w:pPr>
    </w:p>
    <w:tbl>
      <w:tblPr>
        <w:tblW w:w="5669" w:type="pct"/>
        <w:jc w:val="center"/>
        <w:tblInd w:w="-3517" w:type="dxa"/>
        <w:tblCellMar>
          <w:left w:w="0" w:type="dxa"/>
          <w:right w:w="0" w:type="dxa"/>
        </w:tblCellMar>
        <w:tblLook w:val="04A0" w:firstRow="1" w:lastRow="0" w:firstColumn="1" w:lastColumn="0" w:noHBand="0" w:noVBand="1"/>
      </w:tblPr>
      <w:tblGrid>
        <w:gridCol w:w="1653"/>
        <w:gridCol w:w="982"/>
        <w:gridCol w:w="1000"/>
        <w:gridCol w:w="864"/>
        <w:gridCol w:w="5544"/>
      </w:tblGrid>
      <w:tr w:rsidR="00475419" w:rsidRPr="00535E30" w:rsidTr="005678E7">
        <w:trPr>
          <w:trHeight w:val="20"/>
          <w:tblHeader/>
          <w:jc w:val="center"/>
        </w:trPr>
        <w:tc>
          <w:tcPr>
            <w:tcW w:w="823"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489"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498"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430"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2760"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1431"/>
          <w:jc w:val="center"/>
        </w:trPr>
        <w:tc>
          <w:tcPr>
            <w:tcW w:w="823"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Optimización de la Infraestructura Tecnológica</w:t>
            </w:r>
          </w:p>
        </w:tc>
        <w:tc>
          <w:tcPr>
            <w:tcW w:w="489"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60,00</w:t>
            </w:r>
            <w:r>
              <w:rPr>
                <w:rFonts w:cs="Arial"/>
                <w:sz w:val="18"/>
                <w:szCs w:val="18"/>
              </w:rPr>
              <w:t>%</w:t>
            </w:r>
          </w:p>
        </w:tc>
        <w:tc>
          <w:tcPr>
            <w:tcW w:w="498"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60,00</w:t>
            </w:r>
            <w:r>
              <w:rPr>
                <w:rFonts w:cs="Arial"/>
                <w:color w:val="000000"/>
                <w:sz w:val="18"/>
                <w:szCs w:val="18"/>
              </w:rPr>
              <w:t>%</w:t>
            </w:r>
          </w:p>
        </w:tc>
        <w:tc>
          <w:tcPr>
            <w:tcW w:w="430"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jc w:val="center"/>
              <w:rPr>
                <w:rFonts w:cs="Arial"/>
                <w:sz w:val="18"/>
                <w:szCs w:val="18"/>
              </w:rPr>
            </w:pPr>
            <w:r w:rsidRPr="00535E30">
              <w:rPr>
                <w:rFonts w:cs="Arial"/>
                <w:sz w:val="18"/>
                <w:szCs w:val="18"/>
              </w:rPr>
              <w:t>100,00%</w:t>
            </w:r>
          </w:p>
        </w:tc>
        <w:tc>
          <w:tcPr>
            <w:tcW w:w="2760"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El componente de Sostenibilidad de Hardware y Software tiene un cumplimiento final del 100%. Lo cual corresponde a la ejecución de los siguientes proyectos con sus respetivos porcentajes:</w:t>
            </w:r>
          </w:p>
          <w:p w:rsidR="00475419" w:rsidRPr="00535E30" w:rsidRDefault="00475419" w:rsidP="005678E7">
            <w:pPr>
              <w:pStyle w:val="Sinespaciado"/>
              <w:spacing w:line="276" w:lineRule="auto"/>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Administración de la Red: 100%</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Administración de salas: 100%.</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 xml:space="preserve">Renovación equipos de Cómputo: 100% </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Mantenimientos Preventivos: 100%</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Mantenimientos Correctivos: 95%</w:t>
            </w:r>
          </w:p>
        </w:tc>
      </w:tr>
    </w:tbl>
    <w:p w:rsidR="00475419" w:rsidRDefault="00475419" w:rsidP="00475419">
      <w:pPr>
        <w:pStyle w:val="Sinespaciado"/>
        <w:spacing w:line="276" w:lineRule="auto"/>
        <w:rPr>
          <w:rFonts w:asciiTheme="minorHAnsi" w:hAnsiTheme="minorHAnsi" w:cs="Arial"/>
          <w:b/>
        </w:rPr>
      </w:pPr>
    </w:p>
    <w:p w:rsidR="00475419" w:rsidRPr="00535E30" w:rsidRDefault="00475419" w:rsidP="00475419">
      <w:pPr>
        <w:pStyle w:val="Sinespaciado"/>
        <w:spacing w:line="276" w:lineRule="auto"/>
        <w:rPr>
          <w:rFonts w:asciiTheme="minorHAnsi" w:hAnsiTheme="minorHAnsi" w:cs="Arial"/>
          <w:b/>
        </w:rPr>
      </w:pPr>
    </w:p>
    <w:p w:rsidR="00475419" w:rsidRPr="00535E30" w:rsidRDefault="00475419" w:rsidP="00475419">
      <w:pPr>
        <w:pStyle w:val="Sinespaciado"/>
        <w:numPr>
          <w:ilvl w:val="0"/>
          <w:numId w:val="10"/>
        </w:numPr>
        <w:spacing w:line="276" w:lineRule="auto"/>
        <w:ind w:left="284" w:hanging="284"/>
        <w:rPr>
          <w:rFonts w:asciiTheme="minorHAnsi" w:hAnsiTheme="minorHAnsi" w:cs="Arial"/>
          <w:b/>
        </w:rPr>
      </w:pPr>
      <w:r w:rsidRPr="00535E30">
        <w:rPr>
          <w:rFonts w:asciiTheme="minorHAnsi" w:hAnsiTheme="minorHAnsi" w:cs="Arial"/>
          <w:b/>
        </w:rPr>
        <w:t>Sistemas de comunicación</w:t>
      </w:r>
    </w:p>
    <w:p w:rsidR="00475419" w:rsidRPr="00535E30" w:rsidRDefault="00475419" w:rsidP="00475419">
      <w:pPr>
        <w:pStyle w:val="Sinespaciado"/>
        <w:spacing w:line="276" w:lineRule="auto"/>
        <w:rPr>
          <w:rFonts w:asciiTheme="minorHAnsi" w:hAnsiTheme="minorHAnsi" w:cs="Arial"/>
          <w:b/>
        </w:rPr>
      </w:pPr>
    </w:p>
    <w:tbl>
      <w:tblPr>
        <w:tblW w:w="5688" w:type="pct"/>
        <w:jc w:val="center"/>
        <w:tblInd w:w="-3517" w:type="dxa"/>
        <w:tblCellMar>
          <w:left w:w="0" w:type="dxa"/>
          <w:right w:w="0" w:type="dxa"/>
        </w:tblCellMar>
        <w:tblLook w:val="04A0" w:firstRow="1" w:lastRow="0" w:firstColumn="1" w:lastColumn="0" w:noHBand="0" w:noVBand="1"/>
      </w:tblPr>
      <w:tblGrid>
        <w:gridCol w:w="1658"/>
        <w:gridCol w:w="1149"/>
        <w:gridCol w:w="1000"/>
        <w:gridCol w:w="863"/>
        <w:gridCol w:w="5407"/>
      </w:tblGrid>
      <w:tr w:rsidR="00475419" w:rsidRPr="00535E30" w:rsidTr="005678E7">
        <w:trPr>
          <w:trHeight w:val="20"/>
          <w:tblHeader/>
          <w:jc w:val="center"/>
        </w:trPr>
        <w:tc>
          <w:tcPr>
            <w:tcW w:w="823"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570"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496"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428"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2683"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20"/>
          <w:jc w:val="center"/>
        </w:trPr>
        <w:tc>
          <w:tcPr>
            <w:tcW w:w="823"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 xml:space="preserve">Desarrollo de las </w:t>
            </w:r>
            <w:proofErr w:type="spellStart"/>
            <w:r w:rsidRPr="00535E30">
              <w:rPr>
                <w:rFonts w:cs="Arial"/>
                <w:sz w:val="18"/>
                <w:szCs w:val="18"/>
              </w:rPr>
              <w:t>MTIC´s</w:t>
            </w:r>
            <w:proofErr w:type="spellEnd"/>
          </w:p>
        </w:tc>
        <w:tc>
          <w:tcPr>
            <w:tcW w:w="57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60,00</w:t>
            </w:r>
            <w:r>
              <w:rPr>
                <w:rFonts w:cs="Arial"/>
                <w:sz w:val="18"/>
                <w:szCs w:val="18"/>
              </w:rPr>
              <w:t>%</w:t>
            </w:r>
          </w:p>
        </w:tc>
        <w:tc>
          <w:tcPr>
            <w:tcW w:w="496"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60,00</w:t>
            </w:r>
            <w:r>
              <w:rPr>
                <w:rFonts w:cs="Arial"/>
                <w:color w:val="000000"/>
                <w:sz w:val="18"/>
                <w:szCs w:val="18"/>
              </w:rPr>
              <w:t>%</w:t>
            </w:r>
          </w:p>
        </w:tc>
        <w:tc>
          <w:tcPr>
            <w:tcW w:w="428"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jc w:val="center"/>
              <w:rPr>
                <w:rFonts w:cs="Arial"/>
                <w:sz w:val="18"/>
                <w:szCs w:val="18"/>
              </w:rPr>
            </w:pPr>
            <w:r w:rsidRPr="00535E30">
              <w:rPr>
                <w:rFonts w:cs="Arial"/>
                <w:sz w:val="18"/>
                <w:szCs w:val="18"/>
              </w:rPr>
              <w:t>100,00%</w:t>
            </w:r>
          </w:p>
        </w:tc>
        <w:tc>
          <w:tcPr>
            <w:tcW w:w="2683"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Este componente tiene un cumplimiento final del 100%, conformado por los siguientes proyectos con sus correspondientes porcentajes:</w:t>
            </w:r>
          </w:p>
          <w:p w:rsidR="00475419" w:rsidRPr="00535E30" w:rsidRDefault="00475419" w:rsidP="005678E7">
            <w:pPr>
              <w:pStyle w:val="Sinespaciado"/>
              <w:spacing w:line="276" w:lineRule="auto"/>
              <w:rPr>
                <w:rFonts w:asciiTheme="minorHAnsi" w:hAnsiTheme="minorHAnsi" w:cs="Arial"/>
                <w:sz w:val="18"/>
                <w:szCs w:val="18"/>
              </w:rPr>
            </w:pP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Administración de la red: 90%</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Televisión: 100%</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Grupo de Investigación CRIE: 97%</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Redes académicas de alta velocidad: 97%</w:t>
            </w:r>
          </w:p>
        </w:tc>
      </w:tr>
    </w:tbl>
    <w:p w:rsidR="00475419" w:rsidRPr="00535E30" w:rsidRDefault="00475419" w:rsidP="00475419">
      <w:pPr>
        <w:pStyle w:val="Sinespaciado"/>
        <w:spacing w:line="276" w:lineRule="auto"/>
        <w:rPr>
          <w:rFonts w:asciiTheme="minorHAnsi" w:hAnsiTheme="minorHAnsi" w:cs="Arial"/>
          <w:b/>
        </w:rPr>
      </w:pPr>
    </w:p>
    <w:p w:rsidR="00475419" w:rsidRPr="00535E30" w:rsidRDefault="00475419" w:rsidP="00475419">
      <w:pPr>
        <w:pStyle w:val="Sinespaciado"/>
        <w:numPr>
          <w:ilvl w:val="0"/>
          <w:numId w:val="10"/>
        </w:numPr>
        <w:spacing w:line="276" w:lineRule="auto"/>
        <w:ind w:left="426" w:hanging="426"/>
        <w:rPr>
          <w:rFonts w:asciiTheme="minorHAnsi" w:hAnsiTheme="minorHAnsi" w:cs="Arial"/>
          <w:b/>
        </w:rPr>
      </w:pPr>
      <w:r w:rsidRPr="00535E30">
        <w:rPr>
          <w:rFonts w:asciiTheme="minorHAnsi" w:hAnsiTheme="minorHAnsi" w:cs="Arial"/>
          <w:b/>
        </w:rPr>
        <w:t>Procesos de gestión humana</w:t>
      </w:r>
    </w:p>
    <w:p w:rsidR="00475419" w:rsidRPr="00535E30" w:rsidRDefault="00475419" w:rsidP="00475419">
      <w:pPr>
        <w:pStyle w:val="Sinespaciado"/>
        <w:spacing w:line="276" w:lineRule="auto"/>
        <w:rPr>
          <w:rFonts w:asciiTheme="minorHAnsi" w:hAnsiTheme="minorHAnsi" w:cs="Arial"/>
          <w:b/>
        </w:rPr>
      </w:pPr>
    </w:p>
    <w:tbl>
      <w:tblPr>
        <w:tblW w:w="5767" w:type="pct"/>
        <w:jc w:val="center"/>
        <w:tblInd w:w="-3517" w:type="dxa"/>
        <w:tblCellMar>
          <w:left w:w="0" w:type="dxa"/>
          <w:right w:w="0" w:type="dxa"/>
        </w:tblCellMar>
        <w:tblLook w:val="04A0" w:firstRow="1" w:lastRow="0" w:firstColumn="1" w:lastColumn="0" w:noHBand="0" w:noVBand="1"/>
      </w:tblPr>
      <w:tblGrid>
        <w:gridCol w:w="1516"/>
        <w:gridCol w:w="1032"/>
        <w:gridCol w:w="1032"/>
        <w:gridCol w:w="881"/>
        <w:gridCol w:w="5756"/>
      </w:tblGrid>
      <w:tr w:rsidR="00475419" w:rsidRPr="00535E30" w:rsidTr="005678E7">
        <w:trPr>
          <w:trHeight w:val="20"/>
          <w:tblHeader/>
          <w:jc w:val="center"/>
        </w:trPr>
        <w:tc>
          <w:tcPr>
            <w:tcW w:w="742"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505"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505"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431"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2817"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20"/>
          <w:jc w:val="center"/>
        </w:trPr>
        <w:tc>
          <w:tcPr>
            <w:tcW w:w="74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Ejecución de procesos para el desarrollo del talento humano</w:t>
            </w:r>
          </w:p>
        </w:tc>
        <w:tc>
          <w:tcPr>
            <w:tcW w:w="505"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20,00</w:t>
            </w:r>
            <w:r>
              <w:rPr>
                <w:rFonts w:cs="Arial"/>
                <w:sz w:val="18"/>
                <w:szCs w:val="18"/>
              </w:rPr>
              <w:t>%</w:t>
            </w:r>
          </w:p>
        </w:tc>
        <w:tc>
          <w:tcPr>
            <w:tcW w:w="505"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18,66</w:t>
            </w:r>
            <w:r>
              <w:rPr>
                <w:rFonts w:cs="Arial"/>
                <w:color w:val="000000"/>
                <w:sz w:val="18"/>
                <w:szCs w:val="18"/>
              </w:rPr>
              <w:t>%</w:t>
            </w:r>
          </w:p>
        </w:tc>
        <w:tc>
          <w:tcPr>
            <w:tcW w:w="431" w:type="pct"/>
            <w:tcBorders>
              <w:top w:val="single" w:sz="4" w:space="0" w:color="000000"/>
              <w:left w:val="single" w:sz="4" w:space="0" w:color="000000"/>
              <w:bottom w:val="single" w:sz="4" w:space="0" w:color="000000"/>
              <w:right w:val="single" w:sz="4" w:space="0" w:color="000000"/>
            </w:tcBorders>
            <w:shd w:val="clear" w:color="auto" w:fill="auto"/>
            <w:vAlign w:val="center"/>
          </w:tcPr>
          <w:p w:rsidR="00475419" w:rsidRPr="00535E30" w:rsidRDefault="00475419" w:rsidP="005678E7">
            <w:pPr>
              <w:jc w:val="center"/>
              <w:rPr>
                <w:rFonts w:cs="Arial"/>
                <w:sz w:val="18"/>
                <w:szCs w:val="18"/>
              </w:rPr>
            </w:pPr>
            <w:r w:rsidRPr="00535E30">
              <w:rPr>
                <w:rFonts w:cs="Arial"/>
                <w:sz w:val="18"/>
                <w:szCs w:val="18"/>
              </w:rPr>
              <w:t>93,30%</w:t>
            </w:r>
          </w:p>
        </w:tc>
        <w:tc>
          <w:tcPr>
            <w:tcW w:w="2817"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Se tuvo un cumplimiento final del 93.3 % en el proyecto Procesos de Gestión Humana, el cual se refleja en el cumplimiento de las actividades estipuladas en el plan operativo de las cuales se resaltan las siguientes:</w:t>
            </w:r>
          </w:p>
          <w:p w:rsidR="00475419" w:rsidRPr="00535E30" w:rsidRDefault="00475419" w:rsidP="005678E7">
            <w:pPr>
              <w:pStyle w:val="Sinespaciado"/>
              <w:spacing w:line="276" w:lineRule="auto"/>
              <w:ind w:left="219" w:hanging="142"/>
              <w:rPr>
                <w:rFonts w:asciiTheme="minorHAnsi" w:hAnsiTheme="minorHAnsi" w:cs="Arial"/>
                <w:sz w:val="18"/>
                <w:szCs w:val="18"/>
              </w:rPr>
            </w:pPr>
          </w:p>
          <w:p w:rsidR="00475419" w:rsidRPr="00535E30" w:rsidRDefault="00475419" w:rsidP="005678E7">
            <w:pPr>
              <w:pStyle w:val="Sinespaciado"/>
              <w:spacing w:line="276" w:lineRule="auto"/>
              <w:ind w:left="219" w:hanging="142"/>
              <w:jc w:val="both"/>
              <w:rPr>
                <w:rFonts w:asciiTheme="minorHAnsi" w:hAnsiTheme="minorHAnsi" w:cs="Arial"/>
                <w:sz w:val="18"/>
                <w:szCs w:val="18"/>
              </w:rPr>
            </w:pPr>
            <w:r w:rsidRPr="00535E30">
              <w:rPr>
                <w:rFonts w:asciiTheme="minorHAnsi" w:hAnsiTheme="minorHAnsi" w:cs="Arial"/>
                <w:sz w:val="18"/>
                <w:szCs w:val="18"/>
              </w:rPr>
              <w:t>1. Desarrollo Procesos de selección.</w:t>
            </w:r>
          </w:p>
          <w:p w:rsidR="00475419" w:rsidRPr="00535E30" w:rsidRDefault="00475419" w:rsidP="005678E7">
            <w:pPr>
              <w:pStyle w:val="Sinespaciado"/>
              <w:spacing w:line="276" w:lineRule="auto"/>
              <w:ind w:left="219" w:hanging="142"/>
              <w:jc w:val="both"/>
              <w:rPr>
                <w:rFonts w:asciiTheme="minorHAnsi" w:hAnsiTheme="minorHAnsi" w:cs="Arial"/>
                <w:sz w:val="18"/>
                <w:szCs w:val="18"/>
              </w:rPr>
            </w:pPr>
            <w:r w:rsidRPr="00535E30">
              <w:rPr>
                <w:rFonts w:asciiTheme="minorHAnsi" w:hAnsiTheme="minorHAnsi" w:cs="Arial"/>
                <w:sz w:val="18"/>
                <w:szCs w:val="18"/>
              </w:rPr>
              <w:t>2. Medición impacto de capacitación institucional 2011.</w:t>
            </w:r>
          </w:p>
          <w:p w:rsidR="00475419" w:rsidRPr="00535E30" w:rsidRDefault="00475419" w:rsidP="005678E7">
            <w:pPr>
              <w:pStyle w:val="Sinespaciado"/>
              <w:spacing w:line="276" w:lineRule="auto"/>
              <w:ind w:left="219" w:hanging="142"/>
              <w:jc w:val="both"/>
              <w:rPr>
                <w:rFonts w:asciiTheme="minorHAnsi" w:hAnsiTheme="minorHAnsi" w:cs="Arial"/>
                <w:sz w:val="18"/>
                <w:szCs w:val="18"/>
              </w:rPr>
            </w:pPr>
            <w:r w:rsidRPr="00535E30">
              <w:rPr>
                <w:rFonts w:asciiTheme="minorHAnsi" w:hAnsiTheme="minorHAnsi" w:cs="Arial"/>
                <w:sz w:val="18"/>
                <w:szCs w:val="18"/>
              </w:rPr>
              <w:t xml:space="preserve">3. Elaboración y presentación informe de capacitación 2011 y plan 2012 al comité de capacitación administrativa. </w:t>
            </w:r>
          </w:p>
          <w:p w:rsidR="00475419" w:rsidRPr="00535E30" w:rsidRDefault="00475419" w:rsidP="005678E7">
            <w:pPr>
              <w:pStyle w:val="Sinespaciado"/>
              <w:spacing w:line="276" w:lineRule="auto"/>
              <w:ind w:left="219" w:hanging="142"/>
              <w:jc w:val="both"/>
              <w:rPr>
                <w:rFonts w:asciiTheme="minorHAnsi" w:hAnsiTheme="minorHAnsi" w:cs="Arial"/>
                <w:sz w:val="18"/>
                <w:szCs w:val="18"/>
              </w:rPr>
            </w:pPr>
            <w:r w:rsidRPr="00535E30">
              <w:rPr>
                <w:rFonts w:asciiTheme="minorHAnsi" w:hAnsiTheme="minorHAnsi" w:cs="Arial"/>
                <w:sz w:val="18"/>
                <w:szCs w:val="18"/>
              </w:rPr>
              <w:t>4. Aplicación del Instrumento de riesgo psicosocial al personal administrativo (316 personas).</w:t>
            </w:r>
          </w:p>
          <w:p w:rsidR="00475419" w:rsidRPr="00535E30" w:rsidRDefault="00475419" w:rsidP="005678E7">
            <w:pPr>
              <w:pStyle w:val="Sinespaciado"/>
              <w:spacing w:line="276" w:lineRule="auto"/>
              <w:ind w:left="219" w:hanging="142"/>
              <w:jc w:val="both"/>
              <w:rPr>
                <w:rFonts w:asciiTheme="minorHAnsi" w:hAnsiTheme="minorHAnsi" w:cs="Arial"/>
                <w:sz w:val="18"/>
                <w:szCs w:val="18"/>
              </w:rPr>
            </w:pPr>
            <w:r w:rsidRPr="00535E30">
              <w:rPr>
                <w:rFonts w:asciiTheme="minorHAnsi" w:hAnsiTheme="minorHAnsi" w:cs="Arial"/>
                <w:sz w:val="18"/>
                <w:szCs w:val="18"/>
              </w:rPr>
              <w:t>5. Inducción Administrativo al personal nuevo.</w:t>
            </w:r>
          </w:p>
          <w:p w:rsidR="00475419" w:rsidRPr="00535E30" w:rsidRDefault="00475419" w:rsidP="005678E7">
            <w:pPr>
              <w:pStyle w:val="Sinespaciado"/>
              <w:spacing w:line="276" w:lineRule="auto"/>
              <w:ind w:left="219" w:hanging="142"/>
              <w:jc w:val="both"/>
              <w:rPr>
                <w:rFonts w:asciiTheme="minorHAnsi" w:hAnsiTheme="minorHAnsi" w:cs="Arial"/>
                <w:sz w:val="18"/>
                <w:szCs w:val="18"/>
              </w:rPr>
            </w:pPr>
            <w:r w:rsidRPr="00535E30">
              <w:rPr>
                <w:rFonts w:asciiTheme="minorHAnsi" w:hAnsiTheme="minorHAnsi" w:cs="Arial"/>
                <w:sz w:val="18"/>
                <w:szCs w:val="18"/>
              </w:rPr>
              <w:t>6. Re inducción Administrativa.</w:t>
            </w:r>
          </w:p>
          <w:p w:rsidR="00475419" w:rsidRPr="00535E30" w:rsidRDefault="00475419" w:rsidP="005678E7">
            <w:pPr>
              <w:pStyle w:val="Sinespaciado"/>
              <w:spacing w:line="276" w:lineRule="auto"/>
              <w:ind w:left="219" w:hanging="142"/>
              <w:jc w:val="both"/>
              <w:rPr>
                <w:rFonts w:asciiTheme="minorHAnsi" w:hAnsiTheme="minorHAnsi" w:cs="Arial"/>
                <w:sz w:val="18"/>
                <w:szCs w:val="18"/>
              </w:rPr>
            </w:pPr>
            <w:r w:rsidRPr="00535E30">
              <w:rPr>
                <w:rFonts w:asciiTheme="minorHAnsi" w:hAnsiTheme="minorHAnsi" w:cs="Arial"/>
                <w:sz w:val="18"/>
                <w:szCs w:val="18"/>
              </w:rPr>
              <w:t>7. Inducción Docente.</w:t>
            </w:r>
          </w:p>
          <w:p w:rsidR="00475419" w:rsidRPr="00535E30" w:rsidRDefault="00475419" w:rsidP="005678E7">
            <w:pPr>
              <w:pStyle w:val="Sinespaciado"/>
              <w:spacing w:line="276" w:lineRule="auto"/>
              <w:ind w:left="219" w:hanging="142"/>
              <w:jc w:val="both"/>
              <w:rPr>
                <w:rFonts w:asciiTheme="minorHAnsi" w:hAnsiTheme="minorHAnsi" w:cs="Arial"/>
                <w:sz w:val="18"/>
                <w:szCs w:val="18"/>
              </w:rPr>
            </w:pPr>
            <w:r w:rsidRPr="00535E30">
              <w:rPr>
                <w:rFonts w:asciiTheme="minorHAnsi" w:hAnsiTheme="minorHAnsi" w:cs="Arial"/>
                <w:sz w:val="18"/>
                <w:szCs w:val="18"/>
              </w:rPr>
              <w:t>8. Programa Retiro Laboral.</w:t>
            </w:r>
          </w:p>
          <w:p w:rsidR="00475419" w:rsidRPr="00535E30" w:rsidRDefault="00475419" w:rsidP="005678E7">
            <w:pPr>
              <w:pStyle w:val="Sinespaciado"/>
              <w:spacing w:line="276" w:lineRule="auto"/>
              <w:ind w:left="219" w:hanging="142"/>
              <w:jc w:val="both"/>
              <w:rPr>
                <w:rFonts w:asciiTheme="minorHAnsi" w:hAnsiTheme="minorHAnsi" w:cs="Arial"/>
                <w:sz w:val="18"/>
                <w:szCs w:val="18"/>
              </w:rPr>
            </w:pPr>
            <w:r w:rsidRPr="00535E30">
              <w:rPr>
                <w:rFonts w:asciiTheme="minorHAnsi" w:hAnsiTheme="minorHAnsi" w:cs="Arial"/>
                <w:sz w:val="18"/>
                <w:szCs w:val="18"/>
              </w:rPr>
              <w:t>9. Avance del  67.9 % en la ejecución del plan de capacitación.</w:t>
            </w:r>
          </w:p>
          <w:p w:rsidR="00475419" w:rsidRPr="00535E30" w:rsidRDefault="00475419" w:rsidP="005678E7">
            <w:pPr>
              <w:pStyle w:val="Sinespaciado"/>
              <w:spacing w:line="276" w:lineRule="auto"/>
              <w:ind w:left="219" w:hanging="142"/>
              <w:jc w:val="both"/>
              <w:rPr>
                <w:rFonts w:asciiTheme="minorHAnsi" w:hAnsiTheme="minorHAnsi" w:cs="Arial"/>
                <w:sz w:val="18"/>
                <w:szCs w:val="18"/>
              </w:rPr>
            </w:pPr>
            <w:r w:rsidRPr="00535E30">
              <w:rPr>
                <w:rFonts w:asciiTheme="minorHAnsi" w:hAnsiTheme="minorHAnsi" w:cs="Arial"/>
                <w:sz w:val="18"/>
                <w:szCs w:val="18"/>
              </w:rPr>
              <w:t>10. 100 % de Avance en la revisión y ajuste del modelo de competencias del personal administrativo de ambos estamentos y ajustes en el software.</w:t>
            </w:r>
          </w:p>
          <w:p w:rsidR="00475419" w:rsidRPr="00535E30" w:rsidRDefault="00475419" w:rsidP="005678E7">
            <w:pPr>
              <w:pStyle w:val="Sinespaciado"/>
              <w:spacing w:line="276" w:lineRule="auto"/>
              <w:ind w:left="219" w:hanging="142"/>
              <w:jc w:val="both"/>
              <w:rPr>
                <w:rFonts w:asciiTheme="minorHAnsi" w:hAnsiTheme="minorHAnsi" w:cs="Arial"/>
                <w:sz w:val="18"/>
                <w:szCs w:val="18"/>
              </w:rPr>
            </w:pPr>
            <w:r w:rsidRPr="00535E30">
              <w:rPr>
                <w:rFonts w:asciiTheme="minorHAnsi" w:hAnsiTheme="minorHAnsi" w:cs="Arial"/>
                <w:sz w:val="18"/>
                <w:szCs w:val="18"/>
              </w:rPr>
              <w:t>11. Implementación de Evaluación de competencias al personal. administrativo en ambos estamentos.</w:t>
            </w:r>
          </w:p>
          <w:p w:rsidR="00475419" w:rsidRPr="00535E30" w:rsidRDefault="00475419" w:rsidP="005678E7">
            <w:pPr>
              <w:pStyle w:val="Sinespaciado"/>
              <w:spacing w:line="276" w:lineRule="auto"/>
              <w:ind w:left="219" w:hanging="142"/>
              <w:jc w:val="both"/>
              <w:rPr>
                <w:rFonts w:asciiTheme="minorHAnsi" w:hAnsiTheme="minorHAnsi" w:cs="Arial"/>
                <w:sz w:val="18"/>
                <w:szCs w:val="18"/>
              </w:rPr>
            </w:pPr>
            <w:r w:rsidRPr="00535E30">
              <w:rPr>
                <w:rFonts w:asciiTheme="minorHAnsi" w:hAnsiTheme="minorHAnsi" w:cs="Arial"/>
                <w:sz w:val="18"/>
                <w:szCs w:val="18"/>
              </w:rPr>
              <w:t>12. Las actividades correspondientes a los Subprogramas Higiene y Seguridad  - Medicina Preventiva y del Trabajo, se han desarrollado de acuerdo al plan de trabajo establecido por el responsable.</w:t>
            </w:r>
          </w:p>
        </w:tc>
      </w:tr>
    </w:tbl>
    <w:p w:rsidR="00475419" w:rsidRPr="00535E30" w:rsidRDefault="00475419" w:rsidP="00475419">
      <w:pPr>
        <w:pStyle w:val="Sinespaciado"/>
        <w:spacing w:line="276" w:lineRule="auto"/>
        <w:rPr>
          <w:rFonts w:asciiTheme="minorHAnsi" w:hAnsiTheme="minorHAnsi" w:cs="Arial"/>
          <w:b/>
        </w:rPr>
      </w:pPr>
    </w:p>
    <w:p w:rsidR="00475419" w:rsidRPr="00535E30" w:rsidRDefault="00475419" w:rsidP="00475419">
      <w:pPr>
        <w:pStyle w:val="Sinespaciado"/>
        <w:numPr>
          <w:ilvl w:val="0"/>
          <w:numId w:val="10"/>
        </w:numPr>
        <w:spacing w:line="276" w:lineRule="auto"/>
        <w:ind w:left="284" w:hanging="284"/>
        <w:rPr>
          <w:rFonts w:asciiTheme="minorHAnsi" w:hAnsiTheme="minorHAnsi" w:cs="Arial"/>
          <w:b/>
        </w:rPr>
      </w:pPr>
      <w:r w:rsidRPr="00535E30">
        <w:rPr>
          <w:rFonts w:asciiTheme="minorHAnsi" w:hAnsiTheme="minorHAnsi" w:cs="Arial"/>
          <w:b/>
        </w:rPr>
        <w:t>Cultura organizacional</w:t>
      </w:r>
    </w:p>
    <w:p w:rsidR="00475419" w:rsidRPr="00535E30" w:rsidRDefault="00475419" w:rsidP="00475419">
      <w:pPr>
        <w:pStyle w:val="Sinespaciado"/>
        <w:spacing w:line="276" w:lineRule="auto"/>
        <w:rPr>
          <w:rFonts w:asciiTheme="minorHAnsi" w:hAnsiTheme="minorHAnsi" w:cs="Arial"/>
          <w:b/>
        </w:rPr>
      </w:pPr>
    </w:p>
    <w:tbl>
      <w:tblPr>
        <w:tblW w:w="5765" w:type="pct"/>
        <w:jc w:val="center"/>
        <w:tblInd w:w="-3517" w:type="dxa"/>
        <w:tblCellMar>
          <w:left w:w="0" w:type="dxa"/>
          <w:right w:w="0" w:type="dxa"/>
        </w:tblCellMar>
        <w:tblLook w:val="04A0" w:firstRow="1" w:lastRow="0" w:firstColumn="1" w:lastColumn="0" w:noHBand="0" w:noVBand="1"/>
      </w:tblPr>
      <w:tblGrid>
        <w:gridCol w:w="1442"/>
        <w:gridCol w:w="884"/>
        <w:gridCol w:w="882"/>
        <w:gridCol w:w="1032"/>
        <w:gridCol w:w="5973"/>
      </w:tblGrid>
      <w:tr w:rsidR="00475419" w:rsidRPr="00535E30" w:rsidTr="005678E7">
        <w:trPr>
          <w:trHeight w:val="20"/>
          <w:tblHeader/>
          <w:jc w:val="center"/>
        </w:trPr>
        <w:tc>
          <w:tcPr>
            <w:tcW w:w="706"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433"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432"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505"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2924"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20"/>
          <w:jc w:val="center"/>
        </w:trPr>
        <w:tc>
          <w:tcPr>
            <w:tcW w:w="706"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 xml:space="preserve">Percepción de la comunidad sobre el esfuerzo </w:t>
            </w:r>
            <w:r w:rsidRPr="00535E30">
              <w:rPr>
                <w:rFonts w:cs="Arial"/>
                <w:sz w:val="18"/>
                <w:szCs w:val="18"/>
              </w:rPr>
              <w:lastRenderedPageBreak/>
              <w:t>institucional para mejorar el clima organizacional</w:t>
            </w:r>
          </w:p>
        </w:tc>
        <w:tc>
          <w:tcPr>
            <w:tcW w:w="433"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lastRenderedPageBreak/>
              <w:t>80,00</w:t>
            </w:r>
            <w:r>
              <w:rPr>
                <w:rFonts w:cs="Arial"/>
                <w:sz w:val="18"/>
                <w:szCs w:val="18"/>
              </w:rPr>
              <w:t>%</w:t>
            </w:r>
          </w:p>
        </w:tc>
        <w:tc>
          <w:tcPr>
            <w:tcW w:w="43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68,95</w:t>
            </w:r>
            <w:r>
              <w:rPr>
                <w:rFonts w:cs="Arial"/>
                <w:color w:val="000000"/>
                <w:sz w:val="18"/>
                <w:szCs w:val="18"/>
              </w:rPr>
              <w:t>%</w:t>
            </w:r>
          </w:p>
        </w:tc>
        <w:tc>
          <w:tcPr>
            <w:tcW w:w="505" w:type="pct"/>
            <w:tcBorders>
              <w:top w:val="single" w:sz="4" w:space="0" w:color="000000"/>
              <w:left w:val="single" w:sz="4" w:space="0" w:color="000000"/>
              <w:bottom w:val="single" w:sz="4" w:space="0" w:color="000000"/>
              <w:right w:val="single" w:sz="4" w:space="0" w:color="000000"/>
            </w:tcBorders>
            <w:shd w:val="clear" w:color="auto" w:fill="FFFFFF"/>
            <w:vAlign w:val="center"/>
          </w:tcPr>
          <w:p w:rsidR="00475419" w:rsidRPr="00535E30" w:rsidRDefault="00475419" w:rsidP="005678E7">
            <w:pPr>
              <w:jc w:val="center"/>
              <w:rPr>
                <w:rFonts w:cs="Arial"/>
                <w:sz w:val="18"/>
                <w:szCs w:val="18"/>
              </w:rPr>
            </w:pPr>
            <w:r w:rsidRPr="00535E30">
              <w:rPr>
                <w:rFonts w:cs="Arial"/>
                <w:sz w:val="18"/>
                <w:szCs w:val="18"/>
              </w:rPr>
              <w:t>86,19%</w:t>
            </w:r>
          </w:p>
        </w:tc>
        <w:tc>
          <w:tcPr>
            <w:tcW w:w="2924" w:type="pct"/>
            <w:tcBorders>
              <w:top w:val="single" w:sz="4" w:space="0" w:color="000000"/>
              <w:left w:val="single" w:sz="4" w:space="0" w:color="000000"/>
              <w:bottom w:val="single" w:sz="4" w:space="0" w:color="auto"/>
              <w:right w:val="single" w:sz="4" w:space="0" w:color="000000"/>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Percepción de la comunidad sobre el esfuerzo institucional, El avance de 68.95% corresponde a la percepción favorable que tiene la comunidad sobre el esfuerzo </w:t>
            </w:r>
            <w:r w:rsidRPr="00535E30">
              <w:rPr>
                <w:rFonts w:asciiTheme="minorHAnsi" w:hAnsiTheme="minorHAnsi" w:cs="Arial"/>
                <w:sz w:val="18"/>
                <w:szCs w:val="18"/>
              </w:rPr>
              <w:lastRenderedPageBreak/>
              <w:t>que hace la Institución por mejorar el clima.</w:t>
            </w:r>
          </w:p>
        </w:tc>
      </w:tr>
      <w:tr w:rsidR="00475419" w:rsidRPr="00535E30" w:rsidTr="005678E7">
        <w:trPr>
          <w:trHeight w:val="20"/>
          <w:jc w:val="center"/>
        </w:trPr>
        <w:tc>
          <w:tcPr>
            <w:tcW w:w="706"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lastRenderedPageBreak/>
              <w:t>Resultados medición de la Cultura Organizacional (Percepción favorable de la comunidad)</w:t>
            </w:r>
          </w:p>
        </w:tc>
        <w:tc>
          <w:tcPr>
            <w:tcW w:w="433"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7</w:t>
            </w:r>
            <w:r>
              <w:rPr>
                <w:rFonts w:cs="Arial"/>
                <w:sz w:val="18"/>
                <w:szCs w:val="18"/>
              </w:rPr>
              <w:t>8</w:t>
            </w:r>
            <w:r w:rsidRPr="00535E30">
              <w:rPr>
                <w:rFonts w:cs="Arial"/>
                <w:sz w:val="18"/>
                <w:szCs w:val="18"/>
              </w:rPr>
              <w:t>,</w:t>
            </w:r>
            <w:r>
              <w:rPr>
                <w:rFonts w:cs="Arial"/>
                <w:sz w:val="18"/>
                <w:szCs w:val="18"/>
              </w:rPr>
              <w:t>0</w:t>
            </w:r>
            <w:r w:rsidRPr="00535E30">
              <w:rPr>
                <w:rFonts w:cs="Arial"/>
                <w:sz w:val="18"/>
                <w:szCs w:val="18"/>
              </w:rPr>
              <w:t>0</w:t>
            </w:r>
            <w:r>
              <w:rPr>
                <w:rFonts w:cs="Arial"/>
                <w:sz w:val="18"/>
                <w:szCs w:val="18"/>
              </w:rPr>
              <w:t>%</w:t>
            </w:r>
          </w:p>
        </w:tc>
        <w:tc>
          <w:tcPr>
            <w:tcW w:w="43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76,10</w:t>
            </w:r>
            <w:r>
              <w:rPr>
                <w:rFonts w:cs="Arial"/>
                <w:color w:val="000000"/>
                <w:sz w:val="18"/>
                <w:szCs w:val="18"/>
              </w:rPr>
              <w:t>%</w:t>
            </w:r>
          </w:p>
        </w:tc>
        <w:tc>
          <w:tcPr>
            <w:tcW w:w="505" w:type="pct"/>
            <w:tcBorders>
              <w:top w:val="single" w:sz="4" w:space="0" w:color="auto"/>
              <w:left w:val="single" w:sz="4" w:space="0" w:color="000000"/>
              <w:bottom w:val="single" w:sz="4" w:space="0" w:color="000000"/>
              <w:right w:val="single" w:sz="4" w:space="0" w:color="000000"/>
            </w:tcBorders>
            <w:shd w:val="clear" w:color="auto" w:fill="FFFFFF"/>
            <w:vAlign w:val="center"/>
          </w:tcPr>
          <w:p w:rsidR="00475419" w:rsidRPr="00535E30" w:rsidRDefault="00475419" w:rsidP="005678E7">
            <w:pPr>
              <w:jc w:val="center"/>
              <w:rPr>
                <w:rFonts w:cs="Arial"/>
                <w:sz w:val="18"/>
                <w:szCs w:val="18"/>
              </w:rPr>
            </w:pPr>
            <w:r w:rsidRPr="00535E30">
              <w:rPr>
                <w:rFonts w:cs="Arial"/>
                <w:sz w:val="18"/>
                <w:szCs w:val="18"/>
              </w:rPr>
              <w:t>9</w:t>
            </w:r>
            <w:r>
              <w:rPr>
                <w:rFonts w:cs="Arial"/>
                <w:sz w:val="18"/>
                <w:szCs w:val="18"/>
              </w:rPr>
              <w:t>7</w:t>
            </w:r>
            <w:r w:rsidRPr="00535E30">
              <w:rPr>
                <w:rFonts w:cs="Arial"/>
                <w:sz w:val="18"/>
                <w:szCs w:val="18"/>
              </w:rPr>
              <w:t>,</w:t>
            </w:r>
            <w:r>
              <w:rPr>
                <w:rFonts w:cs="Arial"/>
                <w:sz w:val="18"/>
                <w:szCs w:val="18"/>
              </w:rPr>
              <w:t>56</w:t>
            </w:r>
            <w:r w:rsidRPr="00535E30">
              <w:rPr>
                <w:rFonts w:cs="Arial"/>
                <w:sz w:val="18"/>
                <w:szCs w:val="18"/>
              </w:rPr>
              <w:t>%</w:t>
            </w:r>
          </w:p>
        </w:tc>
        <w:tc>
          <w:tcPr>
            <w:tcW w:w="2924" w:type="pct"/>
            <w:tcBorders>
              <w:top w:val="single" w:sz="4" w:space="0" w:color="auto"/>
              <w:left w:val="single" w:sz="4" w:space="0" w:color="000000"/>
              <w:bottom w:val="single" w:sz="4" w:space="0" w:color="000000"/>
              <w:right w:val="single" w:sz="4" w:space="0" w:color="000000"/>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Medición Cultura Organizacional. El avance final de 76.1% corresponde a la Medición de la  Percepción de Clima en el estamento docente y administrativo para la presente vigencia, el cual se midió a través de  encuestas personalizadas a funcionarios de planta, transitorios y en misión de los estamentos docente y administrativo.</w:t>
            </w:r>
          </w:p>
        </w:tc>
      </w:tr>
    </w:tbl>
    <w:p w:rsidR="00475419" w:rsidRPr="00535E30" w:rsidRDefault="00475419" w:rsidP="00475419">
      <w:pPr>
        <w:pStyle w:val="Sinespaciado"/>
        <w:spacing w:line="276" w:lineRule="auto"/>
        <w:rPr>
          <w:rFonts w:asciiTheme="minorHAnsi" w:hAnsiTheme="minorHAnsi" w:cs="Arial"/>
          <w:b/>
        </w:rPr>
      </w:pPr>
    </w:p>
    <w:p w:rsidR="00475419" w:rsidRPr="00535E30" w:rsidRDefault="00475419" w:rsidP="00475419">
      <w:pPr>
        <w:pStyle w:val="Sinespaciado"/>
        <w:spacing w:line="276" w:lineRule="auto"/>
        <w:ind w:left="284"/>
        <w:rPr>
          <w:rFonts w:asciiTheme="minorHAnsi" w:hAnsiTheme="minorHAnsi" w:cs="Arial"/>
          <w:b/>
        </w:rPr>
      </w:pPr>
    </w:p>
    <w:p w:rsidR="00475419" w:rsidRPr="00535E30" w:rsidRDefault="00475419" w:rsidP="00475419">
      <w:pPr>
        <w:pStyle w:val="Sinespaciado"/>
        <w:numPr>
          <w:ilvl w:val="0"/>
          <w:numId w:val="10"/>
        </w:numPr>
        <w:spacing w:line="276" w:lineRule="auto"/>
        <w:ind w:left="284" w:hanging="284"/>
        <w:rPr>
          <w:rFonts w:asciiTheme="minorHAnsi" w:hAnsiTheme="minorHAnsi" w:cs="Arial"/>
          <w:b/>
        </w:rPr>
      </w:pPr>
      <w:r w:rsidRPr="00535E30">
        <w:rPr>
          <w:rFonts w:asciiTheme="minorHAnsi" w:hAnsiTheme="minorHAnsi" w:cs="Arial"/>
          <w:b/>
        </w:rPr>
        <w:t>Estructura organizacional</w:t>
      </w:r>
    </w:p>
    <w:p w:rsidR="00475419" w:rsidRPr="00535E30" w:rsidRDefault="00475419" w:rsidP="00475419">
      <w:pPr>
        <w:pStyle w:val="Sinespaciado"/>
        <w:spacing w:line="276" w:lineRule="auto"/>
        <w:rPr>
          <w:rFonts w:asciiTheme="minorHAnsi" w:hAnsiTheme="minorHAnsi" w:cs="Arial"/>
          <w:b/>
        </w:rPr>
      </w:pPr>
    </w:p>
    <w:tbl>
      <w:tblPr>
        <w:tblW w:w="5782" w:type="pct"/>
        <w:jc w:val="center"/>
        <w:tblInd w:w="-3517" w:type="dxa"/>
        <w:tblCellMar>
          <w:left w:w="0" w:type="dxa"/>
          <w:right w:w="0" w:type="dxa"/>
        </w:tblCellMar>
        <w:tblLook w:val="04A0" w:firstRow="1" w:lastRow="0" w:firstColumn="1" w:lastColumn="0" w:noHBand="0" w:noVBand="1"/>
      </w:tblPr>
      <w:tblGrid>
        <w:gridCol w:w="1354"/>
        <w:gridCol w:w="881"/>
        <w:gridCol w:w="879"/>
        <w:gridCol w:w="1026"/>
        <w:gridCol w:w="6103"/>
      </w:tblGrid>
      <w:tr w:rsidR="00475419" w:rsidRPr="00535E30" w:rsidTr="005678E7">
        <w:trPr>
          <w:trHeight w:val="20"/>
          <w:tblHeader/>
          <w:jc w:val="center"/>
        </w:trPr>
        <w:tc>
          <w:tcPr>
            <w:tcW w:w="661"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430"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429"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501"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2979"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20"/>
          <w:jc w:val="center"/>
        </w:trPr>
        <w:tc>
          <w:tcPr>
            <w:tcW w:w="66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Intervención de la estructura organizacional</w:t>
            </w:r>
          </w:p>
        </w:tc>
        <w:tc>
          <w:tcPr>
            <w:tcW w:w="43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100,00</w:t>
            </w:r>
            <w:r>
              <w:rPr>
                <w:rFonts w:cs="Arial"/>
                <w:sz w:val="18"/>
                <w:szCs w:val="18"/>
              </w:rPr>
              <w:t>%</w:t>
            </w:r>
          </w:p>
        </w:tc>
        <w:tc>
          <w:tcPr>
            <w:tcW w:w="429"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80,00</w:t>
            </w:r>
            <w:r>
              <w:rPr>
                <w:rFonts w:cs="Arial"/>
                <w:color w:val="000000"/>
                <w:sz w:val="18"/>
                <w:szCs w:val="18"/>
              </w:rPr>
              <w:t>%</w:t>
            </w:r>
          </w:p>
        </w:tc>
        <w:tc>
          <w:tcPr>
            <w:tcW w:w="501" w:type="pct"/>
            <w:tcBorders>
              <w:top w:val="single" w:sz="4" w:space="0" w:color="000000"/>
              <w:left w:val="single" w:sz="4" w:space="0" w:color="000000"/>
              <w:bottom w:val="single" w:sz="4" w:space="0" w:color="000000"/>
              <w:right w:val="single" w:sz="4" w:space="0" w:color="000000"/>
            </w:tcBorders>
            <w:shd w:val="clear" w:color="auto" w:fill="auto"/>
            <w:vAlign w:val="center"/>
          </w:tcPr>
          <w:p w:rsidR="00475419" w:rsidRPr="00535E30" w:rsidRDefault="00475419" w:rsidP="005678E7">
            <w:pPr>
              <w:jc w:val="center"/>
              <w:rPr>
                <w:rFonts w:cs="Arial"/>
                <w:sz w:val="18"/>
                <w:szCs w:val="18"/>
              </w:rPr>
            </w:pPr>
            <w:r w:rsidRPr="00535E30">
              <w:rPr>
                <w:rFonts w:cs="Arial"/>
                <w:sz w:val="18"/>
                <w:szCs w:val="18"/>
              </w:rPr>
              <w:t>80,00%</w:t>
            </w:r>
          </w:p>
        </w:tc>
        <w:tc>
          <w:tcPr>
            <w:tcW w:w="2979"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El Proceso de Estructura Organizacional se mide a través de la intervención de las dependencias, facultades, centros, divisiones, oficinas y Vicerrectorías y aprobación de la nueva estructura ante el Consejo Superior. </w:t>
            </w:r>
          </w:p>
          <w:p w:rsidR="00475419" w:rsidRPr="00535E30" w:rsidRDefault="00475419" w:rsidP="005678E7">
            <w:pPr>
              <w:pStyle w:val="Sinespaciado"/>
              <w:spacing w:line="276" w:lineRule="auto"/>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Se tiene un  avance  a la fecha del 80% que corresponde a la intervención de las 17 dependencias administrativas y 9 facultades.</w:t>
            </w:r>
          </w:p>
        </w:tc>
      </w:tr>
    </w:tbl>
    <w:p w:rsidR="00475419" w:rsidRPr="00535E30" w:rsidRDefault="00475419" w:rsidP="00475419">
      <w:pPr>
        <w:pStyle w:val="Sinespaciado"/>
        <w:spacing w:line="276" w:lineRule="auto"/>
        <w:rPr>
          <w:rFonts w:asciiTheme="minorHAnsi" w:hAnsiTheme="minorHAnsi" w:cs="Arial"/>
          <w:b/>
        </w:rPr>
      </w:pPr>
    </w:p>
    <w:p w:rsidR="00475419" w:rsidRPr="00535E30" w:rsidRDefault="00475419" w:rsidP="00475419">
      <w:pPr>
        <w:pStyle w:val="Sinespaciado"/>
        <w:numPr>
          <w:ilvl w:val="0"/>
          <w:numId w:val="10"/>
        </w:numPr>
        <w:spacing w:line="276" w:lineRule="auto"/>
        <w:ind w:left="284" w:hanging="284"/>
        <w:rPr>
          <w:rFonts w:asciiTheme="minorHAnsi" w:hAnsiTheme="minorHAnsi" w:cs="Arial"/>
          <w:b/>
        </w:rPr>
      </w:pPr>
      <w:r w:rsidRPr="00535E30">
        <w:rPr>
          <w:rFonts w:asciiTheme="minorHAnsi" w:hAnsiTheme="minorHAnsi" w:cs="Arial"/>
          <w:b/>
        </w:rPr>
        <w:t>Gestión de procesos</w:t>
      </w:r>
    </w:p>
    <w:p w:rsidR="00475419" w:rsidRPr="00535E30" w:rsidRDefault="00475419" w:rsidP="00475419">
      <w:pPr>
        <w:pStyle w:val="Sinespaciado"/>
        <w:spacing w:line="276" w:lineRule="auto"/>
        <w:rPr>
          <w:rFonts w:asciiTheme="minorHAnsi" w:hAnsiTheme="minorHAnsi" w:cs="Arial"/>
          <w:b/>
        </w:rPr>
      </w:pPr>
    </w:p>
    <w:tbl>
      <w:tblPr>
        <w:tblW w:w="5791" w:type="pct"/>
        <w:jc w:val="center"/>
        <w:tblInd w:w="-3517" w:type="dxa"/>
        <w:tblCellMar>
          <w:left w:w="0" w:type="dxa"/>
          <w:right w:w="0" w:type="dxa"/>
        </w:tblCellMar>
        <w:tblLook w:val="04A0" w:firstRow="1" w:lastRow="0" w:firstColumn="1" w:lastColumn="0" w:noHBand="0" w:noVBand="1"/>
      </w:tblPr>
      <w:tblGrid>
        <w:gridCol w:w="1357"/>
        <w:gridCol w:w="884"/>
        <w:gridCol w:w="882"/>
        <w:gridCol w:w="1030"/>
        <w:gridCol w:w="6106"/>
      </w:tblGrid>
      <w:tr w:rsidR="00475419" w:rsidRPr="00535E30" w:rsidTr="005678E7">
        <w:trPr>
          <w:trHeight w:val="57"/>
          <w:tblHeader/>
          <w:jc w:val="center"/>
        </w:trPr>
        <w:tc>
          <w:tcPr>
            <w:tcW w:w="661"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431"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430"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502"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2976"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57"/>
          <w:jc w:val="center"/>
        </w:trPr>
        <w:tc>
          <w:tcPr>
            <w:tcW w:w="66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Nivel de satisfacción de usuarios a nivel institucional</w:t>
            </w:r>
          </w:p>
        </w:tc>
        <w:tc>
          <w:tcPr>
            <w:tcW w:w="43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84,00</w:t>
            </w:r>
            <w:r>
              <w:rPr>
                <w:rFonts w:cs="Arial"/>
                <w:sz w:val="18"/>
                <w:szCs w:val="18"/>
              </w:rPr>
              <w:t>%</w:t>
            </w:r>
          </w:p>
        </w:tc>
        <w:tc>
          <w:tcPr>
            <w:tcW w:w="43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Pr>
                <w:rFonts w:cs="Arial"/>
                <w:color w:val="000000"/>
                <w:sz w:val="18"/>
                <w:szCs w:val="18"/>
              </w:rPr>
              <w:t>91</w:t>
            </w:r>
            <w:r w:rsidRPr="00535E30">
              <w:rPr>
                <w:rFonts w:cs="Arial"/>
                <w:color w:val="000000"/>
                <w:sz w:val="18"/>
                <w:szCs w:val="18"/>
              </w:rPr>
              <w:t>,</w:t>
            </w:r>
            <w:r>
              <w:rPr>
                <w:rFonts w:cs="Arial"/>
                <w:color w:val="000000"/>
                <w:sz w:val="18"/>
                <w:szCs w:val="18"/>
              </w:rPr>
              <w:t>0</w:t>
            </w:r>
            <w:r w:rsidRPr="00535E30">
              <w:rPr>
                <w:rFonts w:cs="Arial"/>
                <w:color w:val="000000"/>
                <w:sz w:val="18"/>
                <w:szCs w:val="18"/>
              </w:rPr>
              <w:t>0</w:t>
            </w:r>
            <w:r>
              <w:rPr>
                <w:rFonts w:cs="Arial"/>
                <w:color w:val="000000"/>
                <w:sz w:val="18"/>
                <w:szCs w:val="18"/>
              </w:rPr>
              <w:t>%</w:t>
            </w:r>
          </w:p>
        </w:tc>
        <w:tc>
          <w:tcPr>
            <w:tcW w:w="502" w:type="pct"/>
            <w:tcBorders>
              <w:top w:val="single" w:sz="4" w:space="0" w:color="000000"/>
              <w:left w:val="single" w:sz="4" w:space="0" w:color="000000"/>
              <w:bottom w:val="single" w:sz="4" w:space="0" w:color="000000"/>
              <w:right w:val="single" w:sz="4" w:space="0" w:color="000000"/>
            </w:tcBorders>
            <w:shd w:val="clear" w:color="auto" w:fill="auto"/>
            <w:vAlign w:val="center"/>
          </w:tcPr>
          <w:p w:rsidR="00475419" w:rsidRPr="00535E30" w:rsidRDefault="00475419" w:rsidP="005678E7">
            <w:pPr>
              <w:jc w:val="center"/>
              <w:rPr>
                <w:rFonts w:cs="Arial"/>
                <w:sz w:val="18"/>
                <w:szCs w:val="18"/>
              </w:rPr>
            </w:pPr>
            <w:r w:rsidRPr="00535E30">
              <w:rPr>
                <w:rFonts w:cs="Arial"/>
                <w:sz w:val="18"/>
                <w:szCs w:val="18"/>
              </w:rPr>
              <w:t>100,00%</w:t>
            </w:r>
          </w:p>
        </w:tc>
        <w:tc>
          <w:tcPr>
            <w:tcW w:w="2976" w:type="pct"/>
            <w:tcBorders>
              <w:top w:val="single" w:sz="4" w:space="0" w:color="000000"/>
              <w:left w:val="single" w:sz="4" w:space="0" w:color="000000"/>
              <w:bottom w:val="single" w:sz="4" w:space="0" w:color="000000"/>
              <w:right w:val="single" w:sz="4" w:space="0" w:color="000000"/>
            </w:tcBorders>
            <w:shd w:val="clear" w:color="auto" w:fill="auto"/>
            <w:vAlign w:val="center"/>
          </w:tcPr>
          <w:p w:rsidR="00475419" w:rsidRPr="00454550" w:rsidRDefault="00475419" w:rsidP="005678E7">
            <w:pPr>
              <w:pStyle w:val="Sinespaciado"/>
              <w:jc w:val="both"/>
              <w:rPr>
                <w:rFonts w:asciiTheme="minorHAnsi" w:hAnsiTheme="minorHAnsi" w:cs="Arial"/>
                <w:sz w:val="18"/>
                <w:szCs w:val="18"/>
              </w:rPr>
            </w:pPr>
            <w:r w:rsidRPr="00454550">
              <w:rPr>
                <w:rFonts w:asciiTheme="minorHAnsi" w:hAnsiTheme="minorHAnsi" w:cs="Arial"/>
                <w:sz w:val="18"/>
                <w:szCs w:val="18"/>
              </w:rPr>
              <w:t xml:space="preserve">El proyecto Gestión de Procesos, se mide a través de la medición de la satisfacción del usuario de los 21 procesos que actualmente pertenecen al SGC, a Diciembre 30 de 2012 se tienen  los resultados de la medición del segundo semestre </w:t>
            </w:r>
            <w:proofErr w:type="spellStart"/>
            <w:r w:rsidRPr="00454550">
              <w:rPr>
                <w:rFonts w:asciiTheme="minorHAnsi" w:hAnsiTheme="minorHAnsi" w:cs="Arial"/>
                <w:sz w:val="18"/>
                <w:szCs w:val="18"/>
              </w:rPr>
              <w:t>semestre</w:t>
            </w:r>
            <w:proofErr w:type="spellEnd"/>
            <w:r w:rsidRPr="00454550">
              <w:rPr>
                <w:rFonts w:asciiTheme="minorHAnsi" w:hAnsiTheme="minorHAnsi" w:cs="Arial"/>
                <w:sz w:val="18"/>
                <w:szCs w:val="18"/>
              </w:rPr>
              <w:t xml:space="preserve"> del 2012.</w:t>
            </w:r>
          </w:p>
          <w:p w:rsidR="00475419" w:rsidRPr="00454550" w:rsidRDefault="00475419" w:rsidP="005678E7">
            <w:pPr>
              <w:pStyle w:val="Sinespaciado"/>
              <w:jc w:val="both"/>
              <w:rPr>
                <w:rFonts w:asciiTheme="minorHAnsi" w:hAnsiTheme="minorHAnsi" w:cs="Arial"/>
                <w:sz w:val="18"/>
                <w:szCs w:val="18"/>
              </w:rPr>
            </w:pPr>
          </w:p>
          <w:p w:rsidR="00475419" w:rsidRPr="00454550" w:rsidRDefault="00475419" w:rsidP="005678E7">
            <w:pPr>
              <w:pStyle w:val="Sinespaciado"/>
              <w:jc w:val="both"/>
              <w:rPr>
                <w:rFonts w:asciiTheme="minorHAnsi" w:hAnsiTheme="minorHAnsi" w:cs="Arial"/>
                <w:sz w:val="18"/>
                <w:szCs w:val="18"/>
              </w:rPr>
            </w:pPr>
            <w:r w:rsidRPr="00454550">
              <w:rPr>
                <w:rFonts w:asciiTheme="minorHAnsi" w:hAnsiTheme="minorHAnsi" w:cs="Arial"/>
                <w:sz w:val="18"/>
                <w:szCs w:val="18"/>
              </w:rPr>
              <w:t>El promedio de porcentaje de satisfacción en el segundo semestre a Diciembre 30 de 2012, es 93,5%, estos resultados son un promedio de los resultados en porcentaje de cada uno de los procesos.</w:t>
            </w:r>
          </w:p>
          <w:p w:rsidR="00475419" w:rsidRPr="00454550" w:rsidRDefault="00475419" w:rsidP="005678E7">
            <w:pPr>
              <w:pStyle w:val="Sinespaciado"/>
              <w:jc w:val="both"/>
              <w:rPr>
                <w:rFonts w:asciiTheme="minorHAnsi" w:hAnsiTheme="minorHAnsi" w:cs="Arial"/>
                <w:sz w:val="18"/>
                <w:szCs w:val="18"/>
              </w:rPr>
            </w:pPr>
          </w:p>
          <w:p w:rsidR="00475419" w:rsidRPr="00454550" w:rsidRDefault="00475419" w:rsidP="005678E7">
            <w:pPr>
              <w:pStyle w:val="Sinespaciado"/>
              <w:jc w:val="both"/>
              <w:rPr>
                <w:rFonts w:asciiTheme="minorHAnsi" w:hAnsiTheme="minorHAnsi" w:cs="Arial"/>
                <w:sz w:val="18"/>
                <w:szCs w:val="18"/>
              </w:rPr>
            </w:pPr>
            <w:r w:rsidRPr="00454550">
              <w:rPr>
                <w:rFonts w:asciiTheme="minorHAnsi" w:hAnsiTheme="minorHAnsi" w:cs="Arial"/>
                <w:sz w:val="18"/>
                <w:szCs w:val="18"/>
              </w:rPr>
              <w:t>El promedio de satisfacción en el año 2012 es de 91%</w:t>
            </w:r>
          </w:p>
          <w:p w:rsidR="00475419" w:rsidRPr="00454550" w:rsidRDefault="00475419" w:rsidP="005678E7">
            <w:pPr>
              <w:pStyle w:val="Sinespaciad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454550">
              <w:rPr>
                <w:rFonts w:asciiTheme="minorHAnsi" w:hAnsiTheme="minorHAnsi" w:cs="Arial"/>
                <w:sz w:val="18"/>
                <w:szCs w:val="18"/>
              </w:rPr>
              <w:t>Actualmente es mayor el porcentaje de procesos que tienen un instrumento independiente al inicialmente proporcionado por el SGC, se espera que para el año 2013, todos los procesos tengan un instrumento diferente que les permita tomar decisiones claras para el mejoramiento continuo de su proceso y el logro de sus objetivos.</w:t>
            </w:r>
          </w:p>
        </w:tc>
      </w:tr>
    </w:tbl>
    <w:p w:rsidR="00475419" w:rsidRDefault="00475419" w:rsidP="00475419">
      <w:pPr>
        <w:pStyle w:val="Sinespaciado"/>
        <w:spacing w:line="276" w:lineRule="auto"/>
        <w:rPr>
          <w:rFonts w:asciiTheme="minorHAnsi" w:hAnsiTheme="minorHAnsi" w:cs="Arial"/>
          <w:b/>
        </w:rPr>
      </w:pPr>
    </w:p>
    <w:p w:rsidR="00475419" w:rsidRDefault="00475419" w:rsidP="00475419">
      <w:pPr>
        <w:pStyle w:val="Sinespaciado"/>
        <w:spacing w:line="276" w:lineRule="auto"/>
        <w:rPr>
          <w:rFonts w:asciiTheme="minorHAnsi" w:hAnsiTheme="minorHAnsi" w:cs="Arial"/>
          <w:b/>
        </w:rPr>
      </w:pPr>
    </w:p>
    <w:p w:rsidR="00475419" w:rsidRPr="00535E30" w:rsidRDefault="00475419" w:rsidP="00475419">
      <w:pPr>
        <w:pStyle w:val="Sinespaciado"/>
        <w:spacing w:line="276" w:lineRule="auto"/>
        <w:rPr>
          <w:rFonts w:asciiTheme="minorHAnsi" w:hAnsiTheme="minorHAnsi" w:cs="Arial"/>
          <w:b/>
        </w:rPr>
      </w:pPr>
    </w:p>
    <w:p w:rsidR="00475419" w:rsidRPr="00535E30" w:rsidRDefault="00475419" w:rsidP="00475419">
      <w:pPr>
        <w:pStyle w:val="Sinespaciado"/>
        <w:numPr>
          <w:ilvl w:val="0"/>
          <w:numId w:val="10"/>
        </w:numPr>
        <w:spacing w:line="276" w:lineRule="auto"/>
        <w:ind w:left="284" w:hanging="284"/>
        <w:rPr>
          <w:rFonts w:asciiTheme="minorHAnsi" w:hAnsiTheme="minorHAnsi" w:cs="Arial"/>
          <w:b/>
        </w:rPr>
      </w:pPr>
      <w:r w:rsidRPr="00535E30">
        <w:rPr>
          <w:rFonts w:asciiTheme="minorHAnsi" w:hAnsiTheme="minorHAnsi" w:cs="Arial"/>
          <w:b/>
        </w:rPr>
        <w:t>Optimización de ingresos</w:t>
      </w:r>
    </w:p>
    <w:p w:rsidR="00475419" w:rsidRPr="00535E30" w:rsidRDefault="00475419" w:rsidP="00475419">
      <w:pPr>
        <w:pStyle w:val="Sinespaciado"/>
        <w:spacing w:line="276" w:lineRule="auto"/>
        <w:rPr>
          <w:rFonts w:asciiTheme="minorHAnsi" w:hAnsiTheme="minorHAnsi" w:cs="Arial"/>
          <w:b/>
        </w:rPr>
      </w:pPr>
    </w:p>
    <w:tbl>
      <w:tblPr>
        <w:tblW w:w="5791" w:type="pct"/>
        <w:jc w:val="center"/>
        <w:tblInd w:w="-3517" w:type="dxa"/>
        <w:tblCellMar>
          <w:left w:w="0" w:type="dxa"/>
          <w:right w:w="0" w:type="dxa"/>
        </w:tblCellMar>
        <w:tblLook w:val="04A0" w:firstRow="1" w:lastRow="0" w:firstColumn="1" w:lastColumn="0" w:noHBand="0" w:noVBand="1"/>
      </w:tblPr>
      <w:tblGrid>
        <w:gridCol w:w="1355"/>
        <w:gridCol w:w="884"/>
        <w:gridCol w:w="882"/>
        <w:gridCol w:w="1030"/>
        <w:gridCol w:w="6108"/>
      </w:tblGrid>
      <w:tr w:rsidR="00475419" w:rsidRPr="00535E30" w:rsidTr="005678E7">
        <w:trPr>
          <w:trHeight w:val="57"/>
          <w:tblHeader/>
          <w:jc w:val="center"/>
        </w:trPr>
        <w:tc>
          <w:tcPr>
            <w:tcW w:w="660"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431"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430"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502"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2977"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57"/>
          <w:jc w:val="center"/>
        </w:trPr>
        <w:tc>
          <w:tcPr>
            <w:tcW w:w="66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lastRenderedPageBreak/>
              <w:t>Margen de optimización</w:t>
            </w:r>
          </w:p>
        </w:tc>
        <w:tc>
          <w:tcPr>
            <w:tcW w:w="43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80,00</w:t>
            </w:r>
            <w:r>
              <w:rPr>
                <w:rFonts w:cs="Arial"/>
                <w:sz w:val="18"/>
                <w:szCs w:val="18"/>
              </w:rPr>
              <w:t>%</w:t>
            </w:r>
          </w:p>
        </w:tc>
        <w:tc>
          <w:tcPr>
            <w:tcW w:w="43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Pr>
                <w:rFonts w:cs="Arial"/>
                <w:color w:val="000000"/>
                <w:sz w:val="18"/>
                <w:szCs w:val="18"/>
              </w:rPr>
              <w:t>9</w:t>
            </w:r>
            <w:r w:rsidRPr="00535E30">
              <w:rPr>
                <w:rFonts w:cs="Arial"/>
                <w:color w:val="000000"/>
                <w:sz w:val="18"/>
                <w:szCs w:val="18"/>
              </w:rPr>
              <w:t>6,00</w:t>
            </w:r>
            <w:r>
              <w:rPr>
                <w:rFonts w:cs="Arial"/>
                <w:color w:val="000000"/>
                <w:sz w:val="18"/>
                <w:szCs w:val="18"/>
              </w:rPr>
              <w:t>%</w:t>
            </w:r>
          </w:p>
        </w:tc>
        <w:tc>
          <w:tcPr>
            <w:tcW w:w="502" w:type="pct"/>
            <w:tcBorders>
              <w:top w:val="single" w:sz="4" w:space="0" w:color="000000"/>
              <w:left w:val="single" w:sz="4" w:space="0" w:color="000000"/>
              <w:bottom w:val="single" w:sz="4" w:space="0" w:color="000000"/>
              <w:right w:val="single" w:sz="4" w:space="0" w:color="000000"/>
            </w:tcBorders>
            <w:shd w:val="clear" w:color="auto" w:fill="auto"/>
            <w:vAlign w:val="center"/>
          </w:tcPr>
          <w:p w:rsidR="00475419" w:rsidRPr="00535E30" w:rsidRDefault="00475419" w:rsidP="005678E7">
            <w:pPr>
              <w:jc w:val="center"/>
              <w:rPr>
                <w:rFonts w:cs="Arial"/>
                <w:sz w:val="18"/>
                <w:szCs w:val="18"/>
              </w:rPr>
            </w:pPr>
            <w:r>
              <w:rPr>
                <w:rFonts w:cs="Arial"/>
                <w:sz w:val="18"/>
                <w:szCs w:val="18"/>
              </w:rPr>
              <w:t>10</w:t>
            </w:r>
            <w:r w:rsidRPr="00535E30">
              <w:rPr>
                <w:rFonts w:cs="Arial"/>
                <w:sz w:val="18"/>
                <w:szCs w:val="18"/>
              </w:rPr>
              <w:t>0,00%</w:t>
            </w:r>
          </w:p>
        </w:tc>
        <w:tc>
          <w:tcPr>
            <w:tcW w:w="2977" w:type="pct"/>
            <w:tcBorders>
              <w:top w:val="single" w:sz="4" w:space="0" w:color="000000"/>
              <w:left w:val="single" w:sz="4" w:space="0" w:color="000000"/>
              <w:bottom w:val="single" w:sz="4" w:space="0" w:color="000000"/>
              <w:right w:val="single" w:sz="4" w:space="0" w:color="000000"/>
            </w:tcBorders>
            <w:shd w:val="clear" w:color="auto" w:fill="auto"/>
            <w:vAlign w:val="center"/>
          </w:tcPr>
          <w:p w:rsidR="00475419" w:rsidRPr="004F4DDA" w:rsidRDefault="00475419" w:rsidP="005678E7">
            <w:pPr>
              <w:pStyle w:val="Sinespaciado"/>
              <w:spacing w:line="276" w:lineRule="auto"/>
              <w:rPr>
                <w:rFonts w:asciiTheme="minorHAnsi" w:hAnsiTheme="minorHAnsi" w:cs="Arial"/>
                <w:sz w:val="18"/>
                <w:szCs w:val="18"/>
              </w:rPr>
            </w:pPr>
            <w:r w:rsidRPr="004F4DDA">
              <w:rPr>
                <w:rFonts w:asciiTheme="minorHAnsi" w:hAnsiTheme="minorHAnsi" w:cs="Arial"/>
                <w:sz w:val="18"/>
                <w:szCs w:val="18"/>
              </w:rPr>
              <w:t xml:space="preserve">El componente </w:t>
            </w:r>
            <w:proofErr w:type="spellStart"/>
            <w:r w:rsidRPr="004F4DDA">
              <w:rPr>
                <w:rFonts w:asciiTheme="minorHAnsi" w:hAnsiTheme="minorHAnsi" w:cs="Arial"/>
                <w:sz w:val="18"/>
                <w:szCs w:val="18"/>
              </w:rPr>
              <w:t>Otpimización</w:t>
            </w:r>
            <w:proofErr w:type="spellEnd"/>
            <w:r w:rsidRPr="004F4DDA">
              <w:rPr>
                <w:rFonts w:asciiTheme="minorHAnsi" w:hAnsiTheme="minorHAnsi" w:cs="Arial"/>
                <w:sz w:val="18"/>
                <w:szCs w:val="18"/>
              </w:rPr>
              <w:t xml:space="preserve"> de ingresos tiene un </w:t>
            </w:r>
            <w:proofErr w:type="spellStart"/>
            <w:r w:rsidRPr="004F4DDA">
              <w:rPr>
                <w:rFonts w:asciiTheme="minorHAnsi" w:hAnsiTheme="minorHAnsi" w:cs="Arial"/>
                <w:sz w:val="18"/>
                <w:szCs w:val="18"/>
              </w:rPr>
              <w:t>avace</w:t>
            </w:r>
            <w:proofErr w:type="spellEnd"/>
            <w:r w:rsidRPr="004F4DDA">
              <w:rPr>
                <w:rFonts w:asciiTheme="minorHAnsi" w:hAnsiTheme="minorHAnsi" w:cs="Arial"/>
                <w:sz w:val="18"/>
                <w:szCs w:val="18"/>
              </w:rPr>
              <w:t xml:space="preserve"> del 120%, el cual se mide de la siguiente manera:</w:t>
            </w:r>
          </w:p>
          <w:p w:rsidR="00475419" w:rsidRPr="004F4DDA" w:rsidRDefault="00475419" w:rsidP="005678E7">
            <w:pPr>
              <w:pStyle w:val="Sinespaciado"/>
              <w:spacing w:line="276" w:lineRule="auto"/>
              <w:rPr>
                <w:rFonts w:asciiTheme="minorHAnsi" w:hAnsiTheme="minorHAnsi" w:cs="Arial"/>
                <w:sz w:val="18"/>
                <w:szCs w:val="18"/>
              </w:rPr>
            </w:pPr>
            <w:r w:rsidRPr="004F4DDA">
              <w:rPr>
                <w:rFonts w:asciiTheme="minorHAnsi" w:hAnsiTheme="minorHAnsi" w:cs="Arial"/>
                <w:sz w:val="18"/>
                <w:szCs w:val="18"/>
              </w:rPr>
              <w:t>80% * Incremento de los ingresos respecto al crecimiento de los gastos + 20% * avance del plan operativo</w:t>
            </w:r>
          </w:p>
          <w:p w:rsidR="00475419" w:rsidRPr="004F4DDA" w:rsidRDefault="00475419" w:rsidP="005678E7">
            <w:pPr>
              <w:pStyle w:val="Sinespaciado"/>
              <w:spacing w:line="276" w:lineRule="auto"/>
              <w:rPr>
                <w:rFonts w:asciiTheme="minorHAnsi" w:hAnsiTheme="minorHAnsi" w:cs="Arial"/>
                <w:sz w:val="18"/>
                <w:szCs w:val="18"/>
              </w:rPr>
            </w:pPr>
          </w:p>
          <w:p w:rsidR="00475419" w:rsidRPr="004F4DDA" w:rsidRDefault="00475419" w:rsidP="005678E7">
            <w:pPr>
              <w:pStyle w:val="Sinespaciado"/>
              <w:spacing w:line="276" w:lineRule="auto"/>
              <w:jc w:val="both"/>
              <w:rPr>
                <w:rFonts w:asciiTheme="minorHAnsi" w:hAnsiTheme="minorHAnsi" w:cs="Arial"/>
                <w:sz w:val="18"/>
                <w:szCs w:val="18"/>
              </w:rPr>
            </w:pPr>
            <w:r w:rsidRPr="004F4DDA">
              <w:rPr>
                <w:rFonts w:asciiTheme="minorHAnsi" w:hAnsiTheme="minorHAnsi" w:cs="Arial"/>
                <w:sz w:val="18"/>
                <w:szCs w:val="18"/>
              </w:rPr>
              <w:t>A 31 de diciembre</w:t>
            </w:r>
            <w:r>
              <w:rPr>
                <w:rFonts w:asciiTheme="minorHAnsi" w:hAnsiTheme="minorHAnsi" w:cs="Arial"/>
                <w:sz w:val="18"/>
                <w:szCs w:val="18"/>
              </w:rPr>
              <w:t xml:space="preserve"> </w:t>
            </w:r>
            <w:r w:rsidRPr="004F4DDA">
              <w:rPr>
                <w:rFonts w:asciiTheme="minorHAnsi" w:hAnsiTheme="minorHAnsi" w:cs="Arial"/>
                <w:sz w:val="18"/>
                <w:szCs w:val="18"/>
              </w:rPr>
              <w:t>se tiene la propuesta consolidada que permitirá a la Universidad minimizar el riesgo en la colocación de recursos, ayudar a financia el PDI y mejorar las condiciones de vida de los funcionarios y revisada por la División Financiera, está pendiente la presentación a las diferentes instancias (Secretaria General, Rector, Consejo Académico y Superior) para aprobación, pero por las múltiples actividades y cierre de vigencia se proyecta continuar en la vigencia 2013 con la etapa de aprobación, estas actividades se lograron en un 80%</w:t>
            </w:r>
          </w:p>
          <w:p w:rsidR="00475419" w:rsidRPr="004F4DDA" w:rsidRDefault="00475419" w:rsidP="005678E7">
            <w:pPr>
              <w:pStyle w:val="Sinespaciado"/>
              <w:spacing w:line="276" w:lineRule="auto"/>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color w:val="FF0000"/>
                <w:sz w:val="18"/>
                <w:szCs w:val="18"/>
              </w:rPr>
            </w:pPr>
            <w:r w:rsidRPr="004F4DDA">
              <w:rPr>
                <w:rFonts w:asciiTheme="minorHAnsi" w:hAnsiTheme="minorHAnsi" w:cs="Arial"/>
                <w:sz w:val="18"/>
                <w:szCs w:val="18"/>
              </w:rPr>
              <w:t>A 21 de febrero se ha logrado evaluar el 80% restante, el cual generó un resultado favorable en atención a que se tuvo un crecimiento de ingresos por encima del crecimiento de gastos.</w:t>
            </w:r>
          </w:p>
        </w:tc>
      </w:tr>
    </w:tbl>
    <w:p w:rsidR="00475419" w:rsidRPr="00535E30" w:rsidRDefault="00475419" w:rsidP="00475419">
      <w:pPr>
        <w:pStyle w:val="Sinespaciado"/>
        <w:spacing w:line="276" w:lineRule="auto"/>
        <w:rPr>
          <w:rFonts w:asciiTheme="minorHAnsi" w:hAnsiTheme="minorHAnsi" w:cs="Arial"/>
          <w:b/>
        </w:rPr>
      </w:pPr>
    </w:p>
    <w:p w:rsidR="00475419" w:rsidRPr="00535E30" w:rsidRDefault="00475419" w:rsidP="00475419">
      <w:pPr>
        <w:pStyle w:val="Sinespaciado"/>
        <w:numPr>
          <w:ilvl w:val="0"/>
          <w:numId w:val="10"/>
        </w:numPr>
        <w:spacing w:line="276" w:lineRule="auto"/>
        <w:ind w:left="284" w:hanging="284"/>
        <w:rPr>
          <w:rFonts w:asciiTheme="minorHAnsi" w:hAnsiTheme="minorHAnsi" w:cs="Arial"/>
          <w:b/>
        </w:rPr>
      </w:pPr>
      <w:r w:rsidRPr="00535E30">
        <w:rPr>
          <w:rFonts w:asciiTheme="minorHAnsi" w:hAnsiTheme="minorHAnsi" w:cs="Arial"/>
          <w:b/>
        </w:rPr>
        <w:t>Nuevas líneas de financiamiento</w:t>
      </w:r>
    </w:p>
    <w:p w:rsidR="00475419" w:rsidRPr="00535E30" w:rsidRDefault="00475419" w:rsidP="00475419">
      <w:pPr>
        <w:pStyle w:val="Sinespaciado"/>
        <w:spacing w:line="276" w:lineRule="auto"/>
        <w:rPr>
          <w:rFonts w:asciiTheme="minorHAnsi" w:hAnsiTheme="minorHAnsi" w:cs="Arial"/>
          <w:b/>
        </w:rPr>
      </w:pPr>
    </w:p>
    <w:tbl>
      <w:tblPr>
        <w:tblW w:w="5817" w:type="pct"/>
        <w:jc w:val="center"/>
        <w:tblInd w:w="-3517" w:type="dxa"/>
        <w:tblCellMar>
          <w:left w:w="0" w:type="dxa"/>
          <w:right w:w="0" w:type="dxa"/>
        </w:tblCellMar>
        <w:tblLook w:val="04A0" w:firstRow="1" w:lastRow="0" w:firstColumn="1" w:lastColumn="0" w:noHBand="0" w:noVBand="1"/>
      </w:tblPr>
      <w:tblGrid>
        <w:gridCol w:w="1354"/>
        <w:gridCol w:w="983"/>
        <w:gridCol w:w="1000"/>
        <w:gridCol w:w="861"/>
        <w:gridCol w:w="6107"/>
      </w:tblGrid>
      <w:tr w:rsidR="00475419" w:rsidRPr="00535E30" w:rsidTr="005678E7">
        <w:trPr>
          <w:trHeight w:val="57"/>
          <w:tblHeader/>
          <w:jc w:val="center"/>
        </w:trPr>
        <w:tc>
          <w:tcPr>
            <w:tcW w:w="657"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477"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485"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418"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2963"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57"/>
          <w:jc w:val="center"/>
        </w:trPr>
        <w:tc>
          <w:tcPr>
            <w:tcW w:w="65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Nivel de Financiamiento</w:t>
            </w:r>
          </w:p>
        </w:tc>
        <w:tc>
          <w:tcPr>
            <w:tcW w:w="47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22,00</w:t>
            </w:r>
            <w:r>
              <w:rPr>
                <w:rFonts w:cs="Arial"/>
                <w:sz w:val="18"/>
                <w:szCs w:val="18"/>
              </w:rPr>
              <w:t>%</w:t>
            </w:r>
          </w:p>
        </w:tc>
        <w:tc>
          <w:tcPr>
            <w:tcW w:w="485"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20,00</w:t>
            </w:r>
            <w:r>
              <w:rPr>
                <w:rFonts w:cs="Arial"/>
                <w:color w:val="000000"/>
                <w:sz w:val="18"/>
                <w:szCs w:val="18"/>
              </w:rPr>
              <w:t>%</w:t>
            </w:r>
          </w:p>
        </w:tc>
        <w:tc>
          <w:tcPr>
            <w:tcW w:w="418"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jc w:val="center"/>
              <w:rPr>
                <w:rFonts w:cs="Arial"/>
                <w:sz w:val="18"/>
                <w:szCs w:val="18"/>
              </w:rPr>
            </w:pPr>
            <w:r w:rsidRPr="00535E30">
              <w:rPr>
                <w:rFonts w:cs="Arial"/>
                <w:sz w:val="18"/>
                <w:szCs w:val="18"/>
              </w:rPr>
              <w:t>90,91%</w:t>
            </w:r>
          </w:p>
        </w:tc>
        <w:tc>
          <w:tcPr>
            <w:tcW w:w="2963"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El componente Nuevas Líneas de Financiamiento tiene un avance del 90.91%, el cual se mide de la siguiente manera: 80% * Recursos Adicionales a la base + 20% * avance del plan operativo</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A 31 de Diciembre Se tiene el documento final el cual fue entregado a la comisión SUE "Desfinanciamiento de la Educación Superior en Colombia", se verificó la asignación de recursos a la base presupuestal dentro del Decreto de Liquidación de presupuesto de 2013.  </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El avance del 90.91% refleja el cumplimiento de las actividades estipuladas en el plan operativo.</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Es importante anotar que el 80% correspondiente a los Recursos Adicionales a la base se medirá una vez culmine el plan de desarrollo.</w:t>
            </w:r>
          </w:p>
        </w:tc>
      </w:tr>
    </w:tbl>
    <w:p w:rsidR="00475419" w:rsidRDefault="00475419" w:rsidP="00475419">
      <w:pPr>
        <w:pStyle w:val="Sinespaciado"/>
        <w:spacing w:line="276" w:lineRule="auto"/>
        <w:rPr>
          <w:rFonts w:asciiTheme="minorHAnsi" w:hAnsiTheme="minorHAnsi" w:cs="Arial"/>
          <w:b/>
        </w:rPr>
      </w:pPr>
    </w:p>
    <w:p w:rsidR="00475419" w:rsidRPr="00535E30" w:rsidRDefault="00475419" w:rsidP="00475419">
      <w:pPr>
        <w:pStyle w:val="Sinespaciado"/>
        <w:numPr>
          <w:ilvl w:val="0"/>
          <w:numId w:val="10"/>
        </w:numPr>
        <w:spacing w:line="276" w:lineRule="auto"/>
        <w:ind w:left="284" w:hanging="284"/>
        <w:rPr>
          <w:rFonts w:asciiTheme="minorHAnsi" w:hAnsiTheme="minorHAnsi" w:cs="Arial"/>
          <w:b/>
        </w:rPr>
      </w:pPr>
      <w:r w:rsidRPr="00535E30">
        <w:rPr>
          <w:rFonts w:asciiTheme="minorHAnsi" w:hAnsiTheme="minorHAnsi" w:cs="Arial"/>
          <w:b/>
        </w:rPr>
        <w:t>Racionalización del uso de los recursos</w:t>
      </w:r>
    </w:p>
    <w:p w:rsidR="00475419" w:rsidRPr="00535E30" w:rsidRDefault="00475419" w:rsidP="00475419">
      <w:pPr>
        <w:spacing w:after="0"/>
        <w:rPr>
          <w:rFonts w:cs="Arial"/>
          <w:b/>
        </w:rPr>
      </w:pPr>
    </w:p>
    <w:tbl>
      <w:tblPr>
        <w:tblW w:w="5817" w:type="pct"/>
        <w:jc w:val="center"/>
        <w:tblInd w:w="-3517" w:type="dxa"/>
        <w:tblCellMar>
          <w:left w:w="0" w:type="dxa"/>
          <w:right w:w="0" w:type="dxa"/>
        </w:tblCellMar>
        <w:tblLook w:val="04A0" w:firstRow="1" w:lastRow="0" w:firstColumn="1" w:lastColumn="0" w:noHBand="0" w:noVBand="1"/>
      </w:tblPr>
      <w:tblGrid>
        <w:gridCol w:w="1354"/>
        <w:gridCol w:w="983"/>
        <w:gridCol w:w="1000"/>
        <w:gridCol w:w="861"/>
        <w:gridCol w:w="6107"/>
      </w:tblGrid>
      <w:tr w:rsidR="00475419" w:rsidRPr="00535E30" w:rsidTr="005678E7">
        <w:trPr>
          <w:trHeight w:val="57"/>
          <w:tblHeader/>
          <w:jc w:val="center"/>
        </w:trPr>
        <w:tc>
          <w:tcPr>
            <w:tcW w:w="657"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477"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485"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418"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2963"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57"/>
          <w:jc w:val="center"/>
        </w:trPr>
        <w:tc>
          <w:tcPr>
            <w:tcW w:w="65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Margen de Racionalización</w:t>
            </w:r>
          </w:p>
        </w:tc>
        <w:tc>
          <w:tcPr>
            <w:tcW w:w="47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100,00</w:t>
            </w:r>
            <w:r>
              <w:rPr>
                <w:rFonts w:cs="Arial"/>
                <w:sz w:val="18"/>
                <w:szCs w:val="18"/>
              </w:rPr>
              <w:t>%</w:t>
            </w:r>
          </w:p>
        </w:tc>
        <w:tc>
          <w:tcPr>
            <w:tcW w:w="485"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87,00</w:t>
            </w:r>
            <w:r>
              <w:rPr>
                <w:rFonts w:cs="Arial"/>
                <w:color w:val="000000"/>
                <w:sz w:val="18"/>
                <w:szCs w:val="18"/>
              </w:rPr>
              <w:t>%</w:t>
            </w:r>
          </w:p>
        </w:tc>
        <w:tc>
          <w:tcPr>
            <w:tcW w:w="418"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jc w:val="center"/>
              <w:rPr>
                <w:rFonts w:cs="Arial"/>
                <w:sz w:val="18"/>
                <w:szCs w:val="18"/>
              </w:rPr>
            </w:pPr>
            <w:r w:rsidRPr="00535E30">
              <w:rPr>
                <w:rFonts w:cs="Arial"/>
                <w:sz w:val="18"/>
                <w:szCs w:val="18"/>
              </w:rPr>
              <w:t>87,00%</w:t>
            </w:r>
          </w:p>
        </w:tc>
        <w:tc>
          <w:tcPr>
            <w:tcW w:w="2963"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El componente Racionalización del uso de los recursos tiene un avance del 87 %, el cual se mide de la siguiente manera: 60% * avance de los servicios intervenidos + 40% * avance del plan operativo</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Se revisaron los inventarios de la Universidad identificando el equipo en sitio, responsables y posibles equipos que se darán de baja, identificando que los </w:t>
            </w:r>
            <w:r w:rsidRPr="00535E30">
              <w:rPr>
                <w:rFonts w:asciiTheme="minorHAnsi" w:hAnsiTheme="minorHAnsi" w:cs="Arial"/>
                <w:sz w:val="18"/>
                <w:szCs w:val="18"/>
              </w:rPr>
              <w:lastRenderedPageBreak/>
              <w:t>equipos aptos para dar de baja ascienden a $1.164 Millones, dando de baja ya equipos por valor de $864 Millones.</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El avance del 87% refleja en el cumplimiento de las actividades estipuladas en el plan operativo  y la intervención de 4 procedimientos desde que comenzó el PDI de 5 que estaban proyectados.</w:t>
            </w:r>
          </w:p>
        </w:tc>
      </w:tr>
    </w:tbl>
    <w:p w:rsidR="00475419" w:rsidRDefault="00475419" w:rsidP="00475419">
      <w:pPr>
        <w:rPr>
          <w:caps/>
        </w:rPr>
      </w:pPr>
      <w:bookmarkStart w:id="176" w:name="_Toc304826946"/>
      <w:bookmarkStart w:id="177" w:name="_Toc347392852"/>
    </w:p>
    <w:p w:rsidR="00475419" w:rsidRDefault="00475419" w:rsidP="00475419">
      <w:pPr>
        <w:rPr>
          <w:caps/>
        </w:rPr>
      </w:pPr>
      <w:r>
        <w:rPr>
          <w:caps/>
        </w:rPr>
        <w:br w:type="page"/>
      </w:r>
    </w:p>
    <w:p w:rsidR="00475419" w:rsidRPr="00535E30" w:rsidRDefault="00475419" w:rsidP="00475419">
      <w:pPr>
        <w:pStyle w:val="Ttulo2"/>
        <w:spacing w:line="276" w:lineRule="auto"/>
      </w:pPr>
      <w:bookmarkStart w:id="178" w:name="_Toc350957787"/>
      <w:bookmarkStart w:id="179" w:name="_Toc354671380"/>
      <w:r w:rsidRPr="00535E30">
        <w:rPr>
          <w:caps w:val="0"/>
        </w:rPr>
        <w:lastRenderedPageBreak/>
        <w:t>COMPONENTES COBERTURA CON CALIDAD</w:t>
      </w:r>
      <w:bookmarkEnd w:id="176"/>
      <w:bookmarkEnd w:id="177"/>
      <w:bookmarkEnd w:id="178"/>
      <w:bookmarkEnd w:id="179"/>
    </w:p>
    <w:p w:rsidR="00475419" w:rsidRPr="00535E30" w:rsidRDefault="00475419" w:rsidP="00475419">
      <w:pPr>
        <w:spacing w:after="0"/>
        <w:rPr>
          <w:rFonts w:cs="Arial"/>
          <w:b/>
        </w:rPr>
      </w:pPr>
    </w:p>
    <w:p w:rsidR="00475419" w:rsidRPr="00535E30" w:rsidRDefault="00475419" w:rsidP="00475419">
      <w:pPr>
        <w:pStyle w:val="Sinespaciado"/>
        <w:numPr>
          <w:ilvl w:val="0"/>
          <w:numId w:val="11"/>
        </w:numPr>
        <w:spacing w:line="276" w:lineRule="auto"/>
        <w:ind w:left="284" w:hanging="284"/>
        <w:rPr>
          <w:rFonts w:asciiTheme="minorHAnsi" w:hAnsiTheme="minorHAnsi" w:cs="Arial"/>
          <w:b/>
        </w:rPr>
      </w:pPr>
      <w:r w:rsidRPr="00535E30">
        <w:rPr>
          <w:rFonts w:asciiTheme="minorHAnsi" w:hAnsiTheme="minorHAnsi" w:cs="Arial"/>
          <w:b/>
        </w:rPr>
        <w:t>Educabilidad</w:t>
      </w:r>
    </w:p>
    <w:p w:rsidR="00475419" w:rsidRPr="00535E30" w:rsidRDefault="00475419" w:rsidP="00475419">
      <w:pPr>
        <w:pStyle w:val="Sinespaciado"/>
        <w:spacing w:line="276" w:lineRule="auto"/>
        <w:rPr>
          <w:rFonts w:asciiTheme="minorHAnsi" w:hAnsiTheme="minorHAnsi" w:cs="Arial"/>
          <w:b/>
        </w:rPr>
      </w:pPr>
    </w:p>
    <w:tbl>
      <w:tblPr>
        <w:tblW w:w="5625" w:type="pct"/>
        <w:jc w:val="center"/>
        <w:tblInd w:w="-3517" w:type="dxa"/>
        <w:tblCellMar>
          <w:left w:w="0" w:type="dxa"/>
          <w:right w:w="0" w:type="dxa"/>
        </w:tblCellMar>
        <w:tblLook w:val="04A0" w:firstRow="1" w:lastRow="0" w:firstColumn="1" w:lastColumn="0" w:noHBand="0" w:noVBand="1"/>
      </w:tblPr>
      <w:tblGrid>
        <w:gridCol w:w="1442"/>
        <w:gridCol w:w="841"/>
        <w:gridCol w:w="780"/>
        <w:gridCol w:w="841"/>
        <w:gridCol w:w="6061"/>
      </w:tblGrid>
      <w:tr w:rsidR="00475419" w:rsidRPr="00535E30" w:rsidTr="005678E7">
        <w:trPr>
          <w:trHeight w:val="57"/>
          <w:tblHeader/>
          <w:jc w:val="center"/>
        </w:trPr>
        <w:tc>
          <w:tcPr>
            <w:tcW w:w="724"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422"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391"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422"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3041"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57"/>
          <w:jc w:val="center"/>
        </w:trPr>
        <w:tc>
          <w:tcPr>
            <w:tcW w:w="72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Estudiantes con calificación en evaluaciones de calidad de la educación superior por encima de la media nacional</w:t>
            </w:r>
          </w:p>
        </w:tc>
        <w:tc>
          <w:tcPr>
            <w:tcW w:w="42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60,00</w:t>
            </w:r>
            <w:r>
              <w:rPr>
                <w:rFonts w:cs="Arial"/>
                <w:sz w:val="18"/>
                <w:szCs w:val="18"/>
              </w:rPr>
              <w:t>%</w:t>
            </w:r>
          </w:p>
        </w:tc>
        <w:tc>
          <w:tcPr>
            <w:tcW w:w="39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69,83</w:t>
            </w:r>
            <w:r>
              <w:rPr>
                <w:rFonts w:cs="Arial"/>
                <w:color w:val="000000"/>
                <w:sz w:val="18"/>
                <w:szCs w:val="18"/>
              </w:rPr>
              <w:t>%</w:t>
            </w:r>
          </w:p>
        </w:tc>
        <w:tc>
          <w:tcPr>
            <w:tcW w:w="422"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jc w:val="center"/>
              <w:rPr>
                <w:rFonts w:cs="Arial"/>
                <w:sz w:val="18"/>
                <w:szCs w:val="18"/>
              </w:rPr>
            </w:pPr>
            <w:r w:rsidRPr="00535E30">
              <w:rPr>
                <w:rFonts w:cs="Arial"/>
                <w:sz w:val="18"/>
                <w:szCs w:val="18"/>
              </w:rPr>
              <w:t>100,00%</w:t>
            </w:r>
          </w:p>
        </w:tc>
        <w:tc>
          <w:tcPr>
            <w:tcW w:w="3041" w:type="pct"/>
            <w:tcBorders>
              <w:top w:val="single" w:sz="4" w:space="0" w:color="000000"/>
              <w:left w:val="single" w:sz="4" w:space="0" w:color="000000"/>
              <w:right w:val="single" w:sz="4" w:space="0" w:color="000000"/>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Se tiene un 69,83% de los estudiantes que presentaron la prueba con calificación por encima de la media nacional, valor que representa 116,38% de la meta propuesta para la presente vigencia, la cual es de 60%; para obtener éste valor, se tomó el total de estudiantes que presentaron las pruebas SABER PRO en el año 2011, que fueron 938 de la Universidad Tecnológica de Pereira; de éstos, 655 tuvieron un desempeño por encima de la media nacional, que fue de 10,10.</w:t>
            </w:r>
          </w:p>
          <w:p w:rsidR="00475419" w:rsidRPr="00535E30" w:rsidRDefault="00475419" w:rsidP="005678E7">
            <w:pPr>
              <w:pStyle w:val="Sinespaciado"/>
              <w:spacing w:line="276" w:lineRule="auto"/>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Dentro del plan operativo "Programa de Acompañamiento Académico", adscrito al componente </w:t>
            </w:r>
            <w:proofErr w:type="spellStart"/>
            <w:r w:rsidRPr="00535E30">
              <w:rPr>
                <w:rFonts w:asciiTheme="minorHAnsi" w:hAnsiTheme="minorHAnsi" w:cs="Arial"/>
                <w:sz w:val="18"/>
                <w:szCs w:val="18"/>
              </w:rPr>
              <w:t>aprendibilidad</w:t>
            </w:r>
            <w:proofErr w:type="spellEnd"/>
            <w:r w:rsidRPr="00535E30">
              <w:rPr>
                <w:rFonts w:asciiTheme="minorHAnsi" w:hAnsiTheme="minorHAnsi" w:cs="Arial"/>
                <w:sz w:val="18"/>
                <w:szCs w:val="18"/>
              </w:rPr>
              <w:t>, se incluyeron cursos para estudiantes de último semestre de programas de Ingeniería próximos a presentar las pruebas SABER - PRO, de igual forma, se están realizando estudios sobre el desempeño de los programas académicos en las pruebas.</w:t>
            </w:r>
          </w:p>
        </w:tc>
      </w:tr>
      <w:tr w:rsidR="00475419" w:rsidRPr="00535E30" w:rsidTr="005678E7">
        <w:trPr>
          <w:trHeight w:val="57"/>
          <w:jc w:val="center"/>
        </w:trPr>
        <w:tc>
          <w:tcPr>
            <w:tcW w:w="724" w:type="pct"/>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Estudiantes con reconocimiento de "estudiante distinguido"</w:t>
            </w:r>
          </w:p>
        </w:tc>
        <w:tc>
          <w:tcPr>
            <w:tcW w:w="422" w:type="pct"/>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20,00</w:t>
            </w:r>
            <w:r>
              <w:rPr>
                <w:rFonts w:cs="Arial"/>
                <w:sz w:val="18"/>
                <w:szCs w:val="18"/>
              </w:rPr>
              <w:t>%</w:t>
            </w:r>
          </w:p>
        </w:tc>
        <w:tc>
          <w:tcPr>
            <w:tcW w:w="391" w:type="pct"/>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23,14</w:t>
            </w:r>
            <w:r>
              <w:rPr>
                <w:rFonts w:cs="Arial"/>
                <w:color w:val="000000"/>
                <w:sz w:val="18"/>
                <w:szCs w:val="18"/>
              </w:rPr>
              <w:t>%</w:t>
            </w:r>
          </w:p>
        </w:tc>
        <w:tc>
          <w:tcPr>
            <w:tcW w:w="422" w:type="pct"/>
            <w:tcBorders>
              <w:top w:val="single" w:sz="4" w:space="0" w:color="000000"/>
              <w:left w:val="single" w:sz="4" w:space="0" w:color="000000"/>
              <w:bottom w:val="single" w:sz="4" w:space="0" w:color="auto"/>
              <w:right w:val="single" w:sz="4" w:space="0" w:color="000000"/>
            </w:tcBorders>
            <w:vAlign w:val="center"/>
          </w:tcPr>
          <w:p w:rsidR="00475419" w:rsidRPr="00535E30" w:rsidRDefault="00475419" w:rsidP="005678E7">
            <w:pPr>
              <w:jc w:val="center"/>
              <w:rPr>
                <w:rFonts w:cs="Arial"/>
                <w:sz w:val="18"/>
                <w:szCs w:val="18"/>
              </w:rPr>
            </w:pPr>
            <w:r w:rsidRPr="00535E30">
              <w:rPr>
                <w:rFonts w:cs="Arial"/>
                <w:sz w:val="18"/>
                <w:szCs w:val="18"/>
              </w:rPr>
              <w:t>100,00%</w:t>
            </w:r>
          </w:p>
        </w:tc>
        <w:tc>
          <w:tcPr>
            <w:tcW w:w="3041" w:type="pct"/>
            <w:tcBorders>
              <w:top w:val="single" w:sz="4" w:space="0" w:color="000000"/>
              <w:left w:val="single" w:sz="4" w:space="0" w:color="000000"/>
              <w:bottom w:val="single" w:sz="4" w:space="0" w:color="auto"/>
              <w:right w:val="single" w:sz="4" w:space="0" w:color="000000"/>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A la fecha, se tienen 778 estudiantes de pregrado graduados, de los cuales 180 han tenido el reconocimiento ""Estudiante distinguido"", lo cual significa un 115,70% de la meta propuesta.</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El mejoramiento del rendimiento académico de los estudiantes se ha convertido en un reto fundamental para la Vicerrectoría Académica, es por ello, que se tienen dispuestos programas orientados a diagnosticar a los estudiantes de primer semestre académico, a los cuales se aplican pruebas para la medición de competencias y perfil de ingreso, que estudian las condiciones del estudiante desde los siguientes aspectos:</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Competencias matemáticas</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Comprensión de lectura</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Orientación vocacional</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Prueba física y psicológica</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Entrevista de ingreso</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El objetivo de las pruebas es identificar los aspectos en que los estudiantes deben recibir apoyo, para ofrecer dicho apoyo se ha dispuesto de dos asignaturas: Acompañamiento Tutorial I y Acompañamiento Tutorial II, los cuales brindan al estudiante herramientas para un desempeño exitoso durante su permanencia en la Institución.</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Por otra parte, las facultades y programas, mediante el proceso de Reforma Curricular, realizan una revisión permanente de sus planes de estudio, con el fin de actualizar metodologías de enseñanza y temarios, dándoles características de interdisciplinariedad, flexibilidad, internacionalización</w:t>
            </w:r>
          </w:p>
        </w:tc>
      </w:tr>
      <w:tr w:rsidR="00475419" w:rsidRPr="00535E30" w:rsidTr="005678E7">
        <w:trPr>
          <w:trHeight w:val="57"/>
          <w:jc w:val="center"/>
        </w:trPr>
        <w:tc>
          <w:tcPr>
            <w:tcW w:w="724" w:type="pct"/>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 xml:space="preserve">Ocupación del egresado graduado en su perfil </w:t>
            </w:r>
            <w:r w:rsidRPr="00535E30">
              <w:rPr>
                <w:rFonts w:cs="Arial"/>
                <w:color w:val="000000"/>
                <w:sz w:val="18"/>
                <w:szCs w:val="18"/>
              </w:rPr>
              <w:lastRenderedPageBreak/>
              <w:t>profesional</w:t>
            </w:r>
          </w:p>
        </w:tc>
        <w:tc>
          <w:tcPr>
            <w:tcW w:w="422" w:type="pct"/>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lastRenderedPageBreak/>
              <w:t>75,00</w:t>
            </w:r>
            <w:r>
              <w:rPr>
                <w:rFonts w:cs="Arial"/>
                <w:sz w:val="18"/>
                <w:szCs w:val="18"/>
              </w:rPr>
              <w:t>%</w:t>
            </w:r>
          </w:p>
        </w:tc>
        <w:tc>
          <w:tcPr>
            <w:tcW w:w="391" w:type="pct"/>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83,00</w:t>
            </w:r>
            <w:r>
              <w:rPr>
                <w:rFonts w:cs="Arial"/>
                <w:color w:val="000000"/>
                <w:sz w:val="18"/>
                <w:szCs w:val="18"/>
              </w:rPr>
              <w:t>%</w:t>
            </w:r>
          </w:p>
        </w:tc>
        <w:tc>
          <w:tcPr>
            <w:tcW w:w="422" w:type="pct"/>
            <w:tcBorders>
              <w:top w:val="single" w:sz="4" w:space="0" w:color="auto"/>
              <w:left w:val="single" w:sz="4" w:space="0" w:color="000000"/>
              <w:bottom w:val="single" w:sz="4" w:space="0" w:color="auto"/>
              <w:right w:val="single" w:sz="4" w:space="0" w:color="000000"/>
            </w:tcBorders>
            <w:vAlign w:val="center"/>
          </w:tcPr>
          <w:p w:rsidR="00475419" w:rsidRPr="00535E30" w:rsidRDefault="00475419" w:rsidP="005678E7">
            <w:pPr>
              <w:jc w:val="center"/>
              <w:rPr>
                <w:rFonts w:cs="Arial"/>
                <w:sz w:val="18"/>
                <w:szCs w:val="18"/>
              </w:rPr>
            </w:pPr>
            <w:r w:rsidRPr="00535E30">
              <w:rPr>
                <w:rFonts w:cs="Arial"/>
                <w:sz w:val="18"/>
                <w:szCs w:val="18"/>
              </w:rPr>
              <w:t>100,00%</w:t>
            </w:r>
          </w:p>
        </w:tc>
        <w:tc>
          <w:tcPr>
            <w:tcW w:w="3041" w:type="pct"/>
            <w:tcBorders>
              <w:top w:val="single" w:sz="4" w:space="0" w:color="auto"/>
              <w:left w:val="single" w:sz="4" w:space="0" w:color="000000"/>
              <w:bottom w:val="single" w:sz="4" w:space="0" w:color="auto"/>
              <w:right w:val="single" w:sz="4" w:space="0" w:color="000000"/>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Se tiene resultado de 83%, valor que corresponde a un nivel de cumplimiento de 110.67% de la meta propuesta para el presente año.</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908 egresados de 26 programas encuestados; 908 trabajando y el 90% vinculado de acuerdo a su perfil profesional.</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Para el cálculo del indicador se tiene en cuenta la población de primer, tercer y quinto año de egreso. Se excluye  la  población de momento de grado, porque apenas inicia su vinculación al mercado laboral.</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Se puede observar que se ha incrementado el número de egresados identificados y contactados, programas tales como "pasa la antorcha" han sido de gran aporte a éste proceso; la automatización de los diversos procesos de obtención de información de egresados (uso de software) es otras de las herramientas que facilitan establecer el contacto Universidad - Egresado, siguiendo un lineamiento institucional; de igual forma, la Asociación de Egresados ha jugado un papel fundamental, ya que mediante el ofrecimiento de servicios de capacitación a egresados ha atraído a ésta población, logrando así su vinculación a la Universidad. </w:t>
            </w:r>
          </w:p>
        </w:tc>
      </w:tr>
      <w:tr w:rsidR="00475419" w:rsidRPr="00535E30" w:rsidTr="005678E7">
        <w:trPr>
          <w:trHeight w:val="57"/>
          <w:jc w:val="center"/>
        </w:trPr>
        <w:tc>
          <w:tcPr>
            <w:tcW w:w="724" w:type="pct"/>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lastRenderedPageBreak/>
              <w:t>Nivel de satisfacción de empleadores con los egresados graduados</w:t>
            </w:r>
          </w:p>
        </w:tc>
        <w:tc>
          <w:tcPr>
            <w:tcW w:w="422" w:type="pct"/>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80,00</w:t>
            </w:r>
            <w:r>
              <w:rPr>
                <w:rFonts w:cs="Arial"/>
                <w:sz w:val="18"/>
                <w:szCs w:val="18"/>
              </w:rPr>
              <w:t>%</w:t>
            </w:r>
          </w:p>
        </w:tc>
        <w:tc>
          <w:tcPr>
            <w:tcW w:w="391" w:type="pct"/>
            <w:tcBorders>
              <w:top w:val="single" w:sz="4" w:space="0" w:color="auto"/>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88,78</w:t>
            </w:r>
            <w:r>
              <w:rPr>
                <w:rFonts w:cs="Arial"/>
                <w:color w:val="000000"/>
                <w:sz w:val="18"/>
                <w:szCs w:val="18"/>
              </w:rPr>
              <w:t>%</w:t>
            </w:r>
          </w:p>
        </w:tc>
        <w:tc>
          <w:tcPr>
            <w:tcW w:w="422" w:type="pct"/>
            <w:tcBorders>
              <w:top w:val="single" w:sz="4" w:space="0" w:color="auto"/>
              <w:left w:val="single" w:sz="4" w:space="0" w:color="000000"/>
              <w:bottom w:val="single" w:sz="4" w:space="0" w:color="auto"/>
              <w:right w:val="single" w:sz="4" w:space="0" w:color="000000"/>
            </w:tcBorders>
            <w:vAlign w:val="center"/>
          </w:tcPr>
          <w:p w:rsidR="00475419" w:rsidRPr="00535E30" w:rsidRDefault="00475419" w:rsidP="005678E7">
            <w:pPr>
              <w:jc w:val="center"/>
              <w:rPr>
                <w:rFonts w:cs="Arial"/>
                <w:sz w:val="18"/>
                <w:szCs w:val="18"/>
              </w:rPr>
            </w:pPr>
            <w:r w:rsidRPr="00535E30">
              <w:rPr>
                <w:rFonts w:cs="Arial"/>
                <w:sz w:val="18"/>
                <w:szCs w:val="18"/>
              </w:rPr>
              <w:t>100,00%</w:t>
            </w:r>
          </w:p>
        </w:tc>
        <w:tc>
          <w:tcPr>
            <w:tcW w:w="3041" w:type="pct"/>
            <w:tcBorders>
              <w:top w:val="single" w:sz="4" w:space="0" w:color="auto"/>
              <w:left w:val="single" w:sz="4" w:space="0" w:color="000000"/>
              <w:bottom w:val="single" w:sz="4" w:space="0" w:color="auto"/>
              <w:right w:val="single" w:sz="4" w:space="0" w:color="000000"/>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Se realizó la aplicación de 198 encuestas a empleadores, las cuales arrojaron un nivel de satisfacción de 88.78%, valor que supera ampliamente la meta planteada de 80%.</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Es un dato que fluctúa de acuerdo a la cobertura de seguimiento a empleadores, por tanto la meta es mantener los estándares de satisfacción ampliando el espacio </w:t>
            </w:r>
            <w:proofErr w:type="spellStart"/>
            <w:r w:rsidRPr="00535E30">
              <w:rPr>
                <w:rFonts w:asciiTheme="minorHAnsi" w:hAnsiTheme="minorHAnsi" w:cs="Arial"/>
                <w:sz w:val="18"/>
                <w:szCs w:val="18"/>
              </w:rPr>
              <w:t>muestral</w:t>
            </w:r>
            <w:proofErr w:type="spellEnd"/>
            <w:r w:rsidRPr="00535E30">
              <w:rPr>
                <w:rFonts w:asciiTheme="minorHAnsi" w:hAnsiTheme="minorHAnsi" w:cs="Arial"/>
                <w:sz w:val="18"/>
                <w:szCs w:val="18"/>
              </w:rPr>
              <w:t xml:space="preserve"> de indagación y fortaleciendo las estrategias de seguimiento y refinación de instrumentos.</w:t>
            </w:r>
          </w:p>
        </w:tc>
      </w:tr>
    </w:tbl>
    <w:p w:rsidR="00475419" w:rsidRPr="00535E30" w:rsidRDefault="00475419" w:rsidP="00475419">
      <w:pPr>
        <w:pStyle w:val="Sinespaciado"/>
        <w:spacing w:line="276" w:lineRule="auto"/>
        <w:rPr>
          <w:rFonts w:asciiTheme="minorHAnsi" w:hAnsiTheme="minorHAnsi" w:cs="Arial"/>
          <w:b/>
        </w:rPr>
      </w:pPr>
    </w:p>
    <w:p w:rsidR="00475419" w:rsidRPr="00535E30" w:rsidRDefault="00475419" w:rsidP="00475419">
      <w:pPr>
        <w:pStyle w:val="Sinespaciado"/>
        <w:numPr>
          <w:ilvl w:val="0"/>
          <w:numId w:val="11"/>
        </w:numPr>
        <w:spacing w:line="276" w:lineRule="auto"/>
        <w:rPr>
          <w:rFonts w:asciiTheme="minorHAnsi" w:hAnsiTheme="minorHAnsi" w:cs="Arial"/>
          <w:b/>
        </w:rPr>
      </w:pPr>
      <w:r w:rsidRPr="00535E30">
        <w:rPr>
          <w:rFonts w:asciiTheme="minorHAnsi" w:hAnsiTheme="minorHAnsi" w:cs="Arial"/>
          <w:b/>
        </w:rPr>
        <w:t>Aprendibilidad</w:t>
      </w:r>
    </w:p>
    <w:p w:rsidR="00475419" w:rsidRPr="00535E30" w:rsidRDefault="00475419" w:rsidP="00475419">
      <w:pPr>
        <w:pStyle w:val="Sinespaciado"/>
        <w:spacing w:line="276" w:lineRule="auto"/>
        <w:rPr>
          <w:rFonts w:asciiTheme="minorHAnsi" w:hAnsiTheme="minorHAnsi" w:cs="Arial"/>
          <w:b/>
        </w:rPr>
      </w:pPr>
    </w:p>
    <w:tbl>
      <w:tblPr>
        <w:tblW w:w="5625" w:type="pct"/>
        <w:jc w:val="center"/>
        <w:tblInd w:w="-3517" w:type="dxa"/>
        <w:tblCellMar>
          <w:left w:w="0" w:type="dxa"/>
          <w:right w:w="0" w:type="dxa"/>
        </w:tblCellMar>
        <w:tblLook w:val="04A0" w:firstRow="1" w:lastRow="0" w:firstColumn="1" w:lastColumn="0" w:noHBand="0" w:noVBand="1"/>
      </w:tblPr>
      <w:tblGrid>
        <w:gridCol w:w="1340"/>
        <w:gridCol w:w="875"/>
        <w:gridCol w:w="780"/>
        <w:gridCol w:w="873"/>
        <w:gridCol w:w="6097"/>
      </w:tblGrid>
      <w:tr w:rsidR="00475419" w:rsidRPr="00535E30" w:rsidTr="005678E7">
        <w:trPr>
          <w:trHeight w:val="57"/>
          <w:tblHeader/>
          <w:jc w:val="center"/>
        </w:trPr>
        <w:tc>
          <w:tcPr>
            <w:tcW w:w="673"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439"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391"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438"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3058"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57"/>
          <w:jc w:val="center"/>
        </w:trPr>
        <w:tc>
          <w:tcPr>
            <w:tcW w:w="673"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Retención estudiantil</w:t>
            </w:r>
          </w:p>
        </w:tc>
        <w:tc>
          <w:tcPr>
            <w:tcW w:w="439"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88,52</w:t>
            </w:r>
            <w:r>
              <w:rPr>
                <w:rFonts w:cs="Arial"/>
                <w:sz w:val="18"/>
                <w:szCs w:val="18"/>
              </w:rPr>
              <w:t>%</w:t>
            </w:r>
          </w:p>
        </w:tc>
        <w:tc>
          <w:tcPr>
            <w:tcW w:w="39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90,64</w:t>
            </w:r>
            <w:r>
              <w:rPr>
                <w:rFonts w:cs="Arial"/>
                <w:color w:val="000000"/>
                <w:sz w:val="18"/>
                <w:szCs w:val="18"/>
              </w:rPr>
              <w:t>%</w:t>
            </w:r>
          </w:p>
        </w:tc>
        <w:tc>
          <w:tcPr>
            <w:tcW w:w="438"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100,00%</w:t>
            </w:r>
          </w:p>
        </w:tc>
        <w:tc>
          <w:tcPr>
            <w:tcW w:w="3058" w:type="pct"/>
            <w:tcBorders>
              <w:top w:val="single" w:sz="4" w:space="0" w:color="000000"/>
              <w:left w:val="single" w:sz="4" w:space="0" w:color="000000"/>
              <w:right w:val="single" w:sz="4" w:space="0" w:color="000000"/>
            </w:tcBorders>
            <w:vAlign w:val="center"/>
          </w:tcPr>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 xml:space="preserve">Para la presente vigencia, se presentó un incremento significativo en la tasa de retención institucional, pasando de 85.58% en el primer semestre de 2012 a 90.64% en el segundo semestre del mismo año; la deserción del período correspondiente a 1357 estudiantes que matricularon en el primer semestre de 2012 y no lo hicieron en el segundo del mismo año. </w:t>
            </w:r>
          </w:p>
          <w:p w:rsidR="00475419" w:rsidRPr="00535E30" w:rsidRDefault="00475419" w:rsidP="005678E7">
            <w:pPr>
              <w:pStyle w:val="Sinespaciado"/>
              <w:spacing w:line="276" w:lineRule="auto"/>
              <w:rPr>
                <w:rFonts w:asciiTheme="minorHAnsi" w:hAnsiTheme="minorHAnsi" w:cs="Arial"/>
                <w:sz w:val="18"/>
                <w:szCs w:val="18"/>
              </w:rPr>
            </w:pP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Para garantizar la permanencia de los estudiantes en la Universidad, se han venido implementando estrategias, tales como:</w:t>
            </w:r>
          </w:p>
          <w:p w:rsidR="00475419" w:rsidRPr="00535E30" w:rsidRDefault="00475419" w:rsidP="005678E7">
            <w:pPr>
              <w:pStyle w:val="Sinespaciado"/>
              <w:spacing w:line="276" w:lineRule="auto"/>
              <w:rPr>
                <w:rFonts w:asciiTheme="minorHAnsi" w:hAnsiTheme="minorHAnsi" w:cs="Arial"/>
                <w:sz w:val="18"/>
                <w:szCs w:val="18"/>
              </w:rPr>
            </w:pP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 La asignatura de Acompañamiento Tutorial para estudiantes de primer semestre (ACT1.</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 xml:space="preserve"> </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 Se implementa la asignatura de Acompañamiento Académico para estudiantes en semestre de transición.</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 xml:space="preserve"> </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 xml:space="preserve">Estas asignaturas fueron reglamentadas por el acuerdo No 15 del 25 de junio de </w:t>
            </w:r>
            <w:r w:rsidRPr="00535E30">
              <w:rPr>
                <w:rFonts w:asciiTheme="minorHAnsi" w:hAnsiTheme="minorHAnsi" w:cs="Arial"/>
                <w:sz w:val="18"/>
                <w:szCs w:val="18"/>
              </w:rPr>
              <w:lastRenderedPageBreak/>
              <w:t xml:space="preserve">2008 del Consejo Académico. El espacio de ACT1 y ACT2 (esta última de carácter virtual) constituyen la oportunidad perfecta para realizar el acompañamiento a los estudiantes en un entorno académico formal con una intensidad de hasta cuatro horas semanales, ya que cada programa académico de la universidad la incorpora en su plan de estudios y así queda formalizada en el horario de clases, esto permite que el acompañamiento sea percibido por el estudiante como parte de sus actividades académicas. </w:t>
            </w:r>
          </w:p>
          <w:p w:rsidR="00475419" w:rsidRPr="00535E30" w:rsidRDefault="00475419" w:rsidP="005678E7">
            <w:pPr>
              <w:pStyle w:val="Sinespaciado"/>
              <w:spacing w:line="276" w:lineRule="auto"/>
              <w:jc w:val="both"/>
              <w:rPr>
                <w:rFonts w:asciiTheme="minorHAnsi" w:hAnsiTheme="minorHAnsi" w:cs="Arial"/>
                <w:sz w:val="18"/>
                <w:szCs w:val="18"/>
              </w:rPr>
            </w:pPr>
          </w:p>
        </w:tc>
      </w:tr>
      <w:tr w:rsidR="00475419" w:rsidRPr="00535E30" w:rsidTr="005678E7">
        <w:trPr>
          <w:trHeight w:val="57"/>
          <w:jc w:val="center"/>
        </w:trPr>
        <w:tc>
          <w:tcPr>
            <w:tcW w:w="673"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lastRenderedPageBreak/>
              <w:t>Promedio ponderado de duración de estudios</w:t>
            </w:r>
          </w:p>
        </w:tc>
        <w:tc>
          <w:tcPr>
            <w:tcW w:w="439"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83,00</w:t>
            </w:r>
            <w:r>
              <w:rPr>
                <w:rFonts w:cs="Arial"/>
                <w:sz w:val="18"/>
                <w:szCs w:val="18"/>
              </w:rPr>
              <w:t>%</w:t>
            </w:r>
          </w:p>
        </w:tc>
        <w:tc>
          <w:tcPr>
            <w:tcW w:w="391" w:type="pct"/>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85,38</w:t>
            </w:r>
            <w:r>
              <w:rPr>
                <w:rFonts w:cs="Arial"/>
                <w:color w:val="000000"/>
                <w:sz w:val="18"/>
                <w:szCs w:val="18"/>
              </w:rPr>
              <w:t>%</w:t>
            </w:r>
          </w:p>
        </w:tc>
        <w:tc>
          <w:tcPr>
            <w:tcW w:w="438" w:type="pct"/>
            <w:tcBorders>
              <w:top w:val="single" w:sz="4" w:space="0" w:color="000000"/>
              <w:left w:val="single" w:sz="4" w:space="0" w:color="000000"/>
              <w:bottom w:val="single" w:sz="4" w:space="0" w:color="auto"/>
              <w:right w:val="single" w:sz="4" w:space="0" w:color="000000"/>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100,00%</w:t>
            </w:r>
          </w:p>
        </w:tc>
        <w:tc>
          <w:tcPr>
            <w:tcW w:w="3058" w:type="pct"/>
            <w:tcBorders>
              <w:top w:val="single" w:sz="4" w:space="0" w:color="000000"/>
              <w:left w:val="single" w:sz="4" w:space="0" w:color="000000"/>
              <w:bottom w:val="single" w:sz="4" w:space="0" w:color="auto"/>
              <w:right w:val="single" w:sz="4" w:space="0" w:color="000000"/>
            </w:tcBorders>
            <w:vAlign w:val="center"/>
          </w:tcPr>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El indicador se ubica en 85,38%; valor equivalente a un cumplimiento de 102,87% de la meta propuesta.</w:t>
            </w:r>
          </w:p>
          <w:p w:rsidR="00475419" w:rsidRPr="00535E30" w:rsidRDefault="00475419" w:rsidP="005678E7">
            <w:pPr>
              <w:pStyle w:val="Sinespaciado"/>
              <w:spacing w:line="276" w:lineRule="auto"/>
              <w:rPr>
                <w:rFonts w:asciiTheme="minorHAnsi" w:hAnsiTheme="minorHAnsi" w:cs="Arial"/>
                <w:sz w:val="18"/>
                <w:szCs w:val="18"/>
              </w:rPr>
            </w:pP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Este indicador se mide sobre una base de 39 programas con egresados graduados, de cada uno de ellos, se calcula el tiempo promedio de egreso de sus estudiantes (expresado en semestres), y posteriormente se efectúa la relación entre el tiempo de estudio establecido por el Plan de Estudios del Programa y el promedio real de éste, finalmente, se calcula un promedio de duración para todos los programas tenidos en cuenta para la vigencia.</w:t>
            </w:r>
          </w:p>
          <w:p w:rsidR="00475419" w:rsidRPr="00535E30" w:rsidRDefault="00475419" w:rsidP="005678E7">
            <w:pPr>
              <w:pStyle w:val="Sinespaciado"/>
              <w:spacing w:line="276" w:lineRule="auto"/>
              <w:rPr>
                <w:rFonts w:asciiTheme="minorHAnsi" w:hAnsiTheme="minorHAnsi" w:cs="Arial"/>
                <w:sz w:val="18"/>
                <w:szCs w:val="18"/>
              </w:rPr>
            </w:pP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Para el presente corte de medición, el indicador mostró un valor del 81.73%, valor que  se encuentra 3,61% por debajo del último corte de medición, dado que éste indicador muestra la eficiencia en el proceso de graduación de los estudiantes de la institución (donde 100 es la eficiencia óptima), se puede evidenciar que se incrementó levemente el tiempo tardado por los estudiantes.</w:t>
            </w:r>
          </w:p>
          <w:p w:rsidR="00475419" w:rsidRPr="00535E30" w:rsidRDefault="00475419" w:rsidP="005678E7">
            <w:pPr>
              <w:pStyle w:val="Sinespaciado"/>
              <w:spacing w:line="276" w:lineRule="auto"/>
              <w:rPr>
                <w:rFonts w:asciiTheme="minorHAnsi" w:hAnsiTheme="minorHAnsi" w:cs="Arial"/>
                <w:sz w:val="18"/>
                <w:szCs w:val="18"/>
              </w:rPr>
            </w:pP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Adicionalmente, se evidencia un incremento en el promedio ponderado de duración de estudios de los siguientes programas:</w:t>
            </w:r>
          </w:p>
          <w:p w:rsidR="00475419" w:rsidRPr="00535E30" w:rsidRDefault="00475419" w:rsidP="005678E7">
            <w:pPr>
              <w:pStyle w:val="Sinespaciado"/>
              <w:spacing w:line="276" w:lineRule="auto"/>
              <w:rPr>
                <w:rFonts w:asciiTheme="minorHAnsi" w:hAnsiTheme="minorHAnsi" w:cs="Arial"/>
                <w:sz w:val="18"/>
                <w:szCs w:val="18"/>
              </w:rPr>
            </w:pP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 Administración del Medio Ambiente : 71.55%</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 Ingeniería Mecánica (Nocturno): 85,71%</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 Tecnología Industrial: 60.74%</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 Tecnología Química: 49.72%</w:t>
            </w:r>
          </w:p>
          <w:p w:rsidR="00475419" w:rsidRPr="00535E30" w:rsidRDefault="00475419" w:rsidP="005678E7">
            <w:pPr>
              <w:pStyle w:val="Sinespaciado"/>
              <w:spacing w:line="276" w:lineRule="auto"/>
              <w:rPr>
                <w:rFonts w:asciiTheme="minorHAnsi" w:hAnsiTheme="minorHAnsi" w:cs="Arial"/>
                <w:sz w:val="18"/>
                <w:szCs w:val="18"/>
              </w:rPr>
            </w:pP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Se ha consultado con los programas en cuestión y se nota como factor común que el trabajo de grado es el elemento que mayores retrasos genera en la actualidad el egreso de los estudiantes.</w:t>
            </w:r>
          </w:p>
        </w:tc>
      </w:tr>
    </w:tbl>
    <w:p w:rsidR="00475419" w:rsidRPr="00535E30" w:rsidRDefault="00475419" w:rsidP="00475419">
      <w:pPr>
        <w:pStyle w:val="Sinespaciado"/>
        <w:spacing w:line="276" w:lineRule="auto"/>
        <w:ind w:left="720"/>
        <w:rPr>
          <w:rFonts w:asciiTheme="minorHAnsi" w:hAnsiTheme="minorHAnsi" w:cs="Arial"/>
          <w:b/>
        </w:rPr>
      </w:pPr>
    </w:p>
    <w:p w:rsidR="00475419" w:rsidRPr="00535E30" w:rsidRDefault="00475419" w:rsidP="00475419">
      <w:pPr>
        <w:pStyle w:val="Sinespaciado"/>
        <w:numPr>
          <w:ilvl w:val="0"/>
          <w:numId w:val="11"/>
        </w:numPr>
        <w:spacing w:line="276" w:lineRule="auto"/>
        <w:rPr>
          <w:rFonts w:asciiTheme="minorHAnsi" w:hAnsiTheme="minorHAnsi" w:cs="Arial"/>
          <w:b/>
        </w:rPr>
      </w:pPr>
      <w:r w:rsidRPr="00535E30">
        <w:rPr>
          <w:rFonts w:asciiTheme="minorHAnsi" w:hAnsiTheme="minorHAnsi" w:cs="Arial"/>
          <w:b/>
        </w:rPr>
        <w:t>Educatividad</w:t>
      </w:r>
    </w:p>
    <w:p w:rsidR="00475419" w:rsidRPr="00535E30" w:rsidRDefault="00475419" w:rsidP="00475419">
      <w:pPr>
        <w:pStyle w:val="Sinespaciado"/>
        <w:spacing w:line="276" w:lineRule="auto"/>
        <w:rPr>
          <w:rFonts w:asciiTheme="minorHAnsi" w:hAnsiTheme="minorHAnsi" w:cs="Arial"/>
          <w:b/>
        </w:rPr>
      </w:pPr>
    </w:p>
    <w:tbl>
      <w:tblPr>
        <w:tblW w:w="5625" w:type="pct"/>
        <w:jc w:val="center"/>
        <w:tblCellMar>
          <w:left w:w="0" w:type="dxa"/>
          <w:right w:w="0" w:type="dxa"/>
        </w:tblCellMar>
        <w:tblLook w:val="04A0" w:firstRow="1" w:lastRow="0" w:firstColumn="1" w:lastColumn="0" w:noHBand="0" w:noVBand="1"/>
      </w:tblPr>
      <w:tblGrid>
        <w:gridCol w:w="1342"/>
        <w:gridCol w:w="875"/>
        <w:gridCol w:w="780"/>
        <w:gridCol w:w="873"/>
        <w:gridCol w:w="6095"/>
      </w:tblGrid>
      <w:tr w:rsidR="00475419" w:rsidRPr="00535E30" w:rsidTr="005678E7">
        <w:trPr>
          <w:trHeight w:val="57"/>
          <w:jc w:val="center"/>
        </w:trPr>
        <w:tc>
          <w:tcPr>
            <w:tcW w:w="674"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439"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391"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438"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3058"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57"/>
          <w:jc w:val="center"/>
        </w:trPr>
        <w:tc>
          <w:tcPr>
            <w:tcW w:w="67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Formación en una segunda lengua</w:t>
            </w:r>
          </w:p>
        </w:tc>
        <w:tc>
          <w:tcPr>
            <w:tcW w:w="439"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24,00</w:t>
            </w:r>
            <w:r>
              <w:rPr>
                <w:rFonts w:cs="Arial"/>
                <w:sz w:val="18"/>
                <w:szCs w:val="18"/>
              </w:rPr>
              <w:t>%</w:t>
            </w:r>
          </w:p>
        </w:tc>
        <w:tc>
          <w:tcPr>
            <w:tcW w:w="39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21,85</w:t>
            </w:r>
            <w:r>
              <w:rPr>
                <w:rFonts w:cs="Arial"/>
                <w:color w:val="000000"/>
                <w:sz w:val="18"/>
                <w:szCs w:val="18"/>
              </w:rPr>
              <w:t>%</w:t>
            </w:r>
          </w:p>
        </w:tc>
        <w:tc>
          <w:tcPr>
            <w:tcW w:w="438"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91,04%</w:t>
            </w:r>
          </w:p>
        </w:tc>
        <w:tc>
          <w:tcPr>
            <w:tcW w:w="3058" w:type="pct"/>
            <w:tcBorders>
              <w:top w:val="single" w:sz="4" w:space="0" w:color="000000"/>
              <w:left w:val="single" w:sz="4" w:space="0" w:color="000000"/>
              <w:bottom w:val="single" w:sz="4" w:space="0" w:color="auto"/>
              <w:right w:val="single" w:sz="4" w:space="0" w:color="000000"/>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Reporta un cumplimiento de 21.85%, el cual representa cumplimiento del 91.04% de la meta propuesta de 24%, el valor obtenido para la vigencia corresponde a la capacitación de 85 docentes UTP (Centro Colombo Americano Nivel A0 y Nivel A1), adicionalmente, 5 docentes que reciben apoyos individuales para capacitación en idiomas extranjeros, 20 docentes en inmersión año 2011 y 4 año 2012, por temas presupuestales, para el ofrecimiento de los cursos, se abre la convocatoria </w:t>
            </w:r>
            <w:r w:rsidRPr="00535E30">
              <w:rPr>
                <w:rFonts w:asciiTheme="minorHAnsi" w:hAnsiTheme="minorHAnsi" w:cs="Arial"/>
                <w:sz w:val="18"/>
                <w:szCs w:val="18"/>
              </w:rPr>
              <w:lastRenderedPageBreak/>
              <w:t>inicialmente a docente de planta y transitorios, que en el segundo semestre de 2012 suman 508; no obstante, los cupos disponibles en los diferentes cursos, se abren a docentes catedráticos.</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La ejecución del Plan Integral de Desarrollo Docente ha sido factor fundamental en el logro parcial de la meta propuesta para la presente vigencia, se espera iniciar en el primer semestre del año 2011 curso en nivel 2 con los docentes que actualmente se encuentran en niveles 0 y 1; y por otro lado, iniciar el proceso de formación para los docentes clasificados en nivel 0. </w:t>
            </w:r>
          </w:p>
        </w:tc>
      </w:tr>
      <w:tr w:rsidR="00475419" w:rsidRPr="00535E30" w:rsidTr="005678E7">
        <w:trPr>
          <w:trHeight w:val="57"/>
          <w:jc w:val="center"/>
        </w:trPr>
        <w:tc>
          <w:tcPr>
            <w:tcW w:w="67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lastRenderedPageBreak/>
              <w:t>Formación postgraduada (Doctorado)</w:t>
            </w:r>
          </w:p>
        </w:tc>
        <w:tc>
          <w:tcPr>
            <w:tcW w:w="439"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15,00</w:t>
            </w:r>
            <w:r>
              <w:rPr>
                <w:rFonts w:cs="Arial"/>
                <w:sz w:val="18"/>
                <w:szCs w:val="18"/>
              </w:rPr>
              <w:t>%</w:t>
            </w:r>
          </w:p>
        </w:tc>
        <w:tc>
          <w:tcPr>
            <w:tcW w:w="39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14,96</w:t>
            </w:r>
            <w:r>
              <w:rPr>
                <w:rFonts w:cs="Arial"/>
                <w:color w:val="000000"/>
                <w:sz w:val="18"/>
                <w:szCs w:val="18"/>
              </w:rPr>
              <w:t>%</w:t>
            </w:r>
          </w:p>
        </w:tc>
        <w:tc>
          <w:tcPr>
            <w:tcW w:w="438" w:type="pct"/>
            <w:tcBorders>
              <w:top w:val="single" w:sz="4" w:space="0" w:color="000000"/>
              <w:left w:val="single" w:sz="4" w:space="0" w:color="000000"/>
              <w:bottom w:val="single" w:sz="4" w:space="0" w:color="000000"/>
              <w:right w:val="single" w:sz="4" w:space="0" w:color="auto"/>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99,73%</w:t>
            </w:r>
          </w:p>
        </w:tc>
        <w:tc>
          <w:tcPr>
            <w:tcW w:w="3058" w:type="pct"/>
            <w:tcBorders>
              <w:top w:val="single" w:sz="4" w:space="0" w:color="auto"/>
              <w:left w:val="single" w:sz="4" w:space="0" w:color="auto"/>
              <w:bottom w:val="single" w:sz="4" w:space="0" w:color="auto"/>
              <w:right w:val="single" w:sz="4" w:space="0" w:color="auto"/>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Se tiene 76 docentes en la Institución con formación doctoral, valor equivalente al 14.96% de la población, éste porcentaje representa un cumplimiento de 99.73% de la meta de 15% de docentes con formación doctoral para el año 2012. A éste valor se suma, 69 docentes que en la actualidad se encuentran en comisión de estudios doctorales.</w:t>
            </w:r>
          </w:p>
        </w:tc>
      </w:tr>
      <w:tr w:rsidR="00475419" w:rsidRPr="00535E30" w:rsidTr="005678E7">
        <w:trPr>
          <w:trHeight w:val="57"/>
          <w:jc w:val="center"/>
        </w:trPr>
        <w:tc>
          <w:tcPr>
            <w:tcW w:w="67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Formación postgraduada (Maestría)</w:t>
            </w:r>
          </w:p>
        </w:tc>
        <w:tc>
          <w:tcPr>
            <w:tcW w:w="439"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58,00</w:t>
            </w:r>
            <w:r>
              <w:rPr>
                <w:rFonts w:cs="Arial"/>
                <w:sz w:val="18"/>
                <w:szCs w:val="18"/>
              </w:rPr>
              <w:t>%</w:t>
            </w:r>
          </w:p>
        </w:tc>
        <w:tc>
          <w:tcPr>
            <w:tcW w:w="39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53,54</w:t>
            </w:r>
            <w:r>
              <w:rPr>
                <w:rFonts w:cs="Arial"/>
                <w:color w:val="000000"/>
                <w:sz w:val="18"/>
                <w:szCs w:val="18"/>
              </w:rPr>
              <w:t>%</w:t>
            </w:r>
          </w:p>
        </w:tc>
        <w:tc>
          <w:tcPr>
            <w:tcW w:w="438" w:type="pct"/>
            <w:tcBorders>
              <w:top w:val="single" w:sz="4" w:space="0" w:color="000000"/>
              <w:left w:val="single" w:sz="4" w:space="0" w:color="000000"/>
              <w:bottom w:val="single" w:sz="4" w:space="0" w:color="000000"/>
              <w:right w:val="single" w:sz="4" w:space="0" w:color="auto"/>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92,31%</w:t>
            </w:r>
          </w:p>
        </w:tc>
        <w:tc>
          <w:tcPr>
            <w:tcW w:w="3058" w:type="pct"/>
            <w:tcBorders>
              <w:top w:val="single" w:sz="4" w:space="0" w:color="auto"/>
              <w:left w:val="single" w:sz="4" w:space="0" w:color="auto"/>
              <w:bottom w:val="single" w:sz="4" w:space="0" w:color="auto"/>
              <w:right w:val="single" w:sz="4" w:space="0" w:color="auto"/>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Se tiene 272 docentes en la Institución con nivel de maestría, valor equivalente al 53.54% de la población, éste porcentaje representa un cumplimiento de 92.31% de la meta de 58% de docentes con formación doctoral para el año 2012. A éste valor se suma 45 docentes más en proceso de formación.</w:t>
            </w:r>
          </w:p>
        </w:tc>
      </w:tr>
      <w:tr w:rsidR="00475419" w:rsidRPr="00535E30" w:rsidTr="005678E7">
        <w:trPr>
          <w:trHeight w:val="57"/>
          <w:jc w:val="center"/>
        </w:trPr>
        <w:tc>
          <w:tcPr>
            <w:tcW w:w="674" w:type="pct"/>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Formación en Pedagogía</w:t>
            </w:r>
          </w:p>
        </w:tc>
        <w:tc>
          <w:tcPr>
            <w:tcW w:w="439" w:type="pct"/>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50,00</w:t>
            </w:r>
            <w:r>
              <w:rPr>
                <w:rFonts w:cs="Arial"/>
                <w:sz w:val="18"/>
                <w:szCs w:val="18"/>
              </w:rPr>
              <w:t>%</w:t>
            </w:r>
          </w:p>
        </w:tc>
        <w:tc>
          <w:tcPr>
            <w:tcW w:w="391" w:type="pct"/>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51,57</w:t>
            </w:r>
            <w:r>
              <w:rPr>
                <w:rFonts w:cs="Arial"/>
                <w:color w:val="000000"/>
                <w:sz w:val="18"/>
                <w:szCs w:val="18"/>
              </w:rPr>
              <w:t>%</w:t>
            </w:r>
          </w:p>
        </w:tc>
        <w:tc>
          <w:tcPr>
            <w:tcW w:w="438" w:type="pct"/>
            <w:tcBorders>
              <w:top w:val="single" w:sz="4" w:space="0" w:color="000000"/>
              <w:left w:val="single" w:sz="4" w:space="0" w:color="000000"/>
              <w:bottom w:val="single" w:sz="4" w:space="0" w:color="auto"/>
              <w:right w:val="single" w:sz="4" w:space="0" w:color="000000"/>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100,00%</w:t>
            </w:r>
          </w:p>
        </w:tc>
        <w:tc>
          <w:tcPr>
            <w:tcW w:w="3058" w:type="pct"/>
            <w:tcBorders>
              <w:top w:val="single" w:sz="4" w:space="0" w:color="auto"/>
              <w:left w:val="single" w:sz="4" w:space="0" w:color="000000"/>
              <w:bottom w:val="single" w:sz="4" w:space="0" w:color="auto"/>
              <w:right w:val="single" w:sz="4" w:space="0" w:color="000000"/>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Para la Formación docente en Pedagogía, a la fecha se registra un valor de 51.57% para éste indicador, el cual corresponde al 103.14% de la meta propuesta para el año 2012 de 50%.</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El indicador se calcula con los docentes (Planta y Transitorios) que han participado en ascensos, ya que éstos, de acuerdo al Estatuto Docente en su Título III (Del Escalafón, Criterios de ascenso y puntos de producción académica), Capítulo II (Criterios de ascenso, puntos de producción Académica), Artículos 44, 45, 46 y 47, establece como requisito para el ascenso acreditar 2 cursos (mínimo 40 horas cada uno) de capacitación pedagógica y/o investigativa y/o en la formación profesional respectiva, y/o planeación académica //o gestión administrativa ofrecidos por la Universidad en su programa de capacitación a docentes o debidamente autorizados por el Consejo académico; se tomaron los ascensos realizados desde el año 1998, posteriormente se procedió a verificar que cada docente </w:t>
            </w:r>
            <w:proofErr w:type="spellStart"/>
            <w:r w:rsidRPr="00535E30">
              <w:rPr>
                <w:rFonts w:asciiTheme="minorHAnsi" w:hAnsiTheme="minorHAnsi" w:cs="Arial"/>
                <w:sz w:val="18"/>
                <w:szCs w:val="18"/>
              </w:rPr>
              <w:t>escalafonado</w:t>
            </w:r>
            <w:proofErr w:type="spellEnd"/>
            <w:r w:rsidRPr="00535E30">
              <w:rPr>
                <w:rFonts w:asciiTheme="minorHAnsi" w:hAnsiTheme="minorHAnsi" w:cs="Arial"/>
                <w:sz w:val="18"/>
                <w:szCs w:val="18"/>
              </w:rPr>
              <w:t xml:space="preserve"> sólo apareciera una vez en el formulario (con su último ascenso), posteriormente, se revisó qué docentes del listado de ascensos aún se encuentran vigentes (con corte a Noviembre 30 de 2011), y finalmente se calculó el valor mostrado.</w:t>
            </w:r>
          </w:p>
        </w:tc>
      </w:tr>
      <w:tr w:rsidR="00475419" w:rsidRPr="00535E30" w:rsidTr="005678E7">
        <w:trPr>
          <w:trHeight w:val="57"/>
          <w:jc w:val="center"/>
        </w:trPr>
        <w:tc>
          <w:tcPr>
            <w:tcW w:w="674" w:type="pct"/>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 xml:space="preserve">Formación en manejo de </w:t>
            </w:r>
            <w:proofErr w:type="spellStart"/>
            <w:r w:rsidRPr="00535E30">
              <w:rPr>
                <w:rFonts w:cs="Arial"/>
                <w:color w:val="000000"/>
                <w:sz w:val="18"/>
                <w:szCs w:val="18"/>
              </w:rPr>
              <w:t>TIC’s</w:t>
            </w:r>
            <w:proofErr w:type="spellEnd"/>
            <w:r w:rsidRPr="00535E30">
              <w:rPr>
                <w:rFonts w:cs="Arial"/>
                <w:color w:val="000000"/>
                <w:sz w:val="18"/>
                <w:szCs w:val="18"/>
              </w:rPr>
              <w:t xml:space="preserve"> (Nivel básico)</w:t>
            </w:r>
          </w:p>
        </w:tc>
        <w:tc>
          <w:tcPr>
            <w:tcW w:w="439" w:type="pct"/>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45,00</w:t>
            </w:r>
            <w:r>
              <w:rPr>
                <w:rFonts w:cs="Arial"/>
                <w:sz w:val="18"/>
                <w:szCs w:val="18"/>
              </w:rPr>
              <w:t>%</w:t>
            </w:r>
          </w:p>
        </w:tc>
        <w:tc>
          <w:tcPr>
            <w:tcW w:w="391" w:type="pct"/>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46,25</w:t>
            </w:r>
            <w:r>
              <w:rPr>
                <w:rFonts w:cs="Arial"/>
                <w:color w:val="000000"/>
                <w:sz w:val="18"/>
                <w:szCs w:val="18"/>
              </w:rPr>
              <w:t>%</w:t>
            </w:r>
          </w:p>
        </w:tc>
        <w:tc>
          <w:tcPr>
            <w:tcW w:w="438" w:type="pct"/>
            <w:tcBorders>
              <w:top w:val="single" w:sz="4" w:space="0" w:color="auto"/>
              <w:left w:val="single" w:sz="4" w:space="0" w:color="000000"/>
              <w:bottom w:val="single" w:sz="4" w:space="0" w:color="000000"/>
              <w:right w:val="single" w:sz="4" w:space="0" w:color="000000"/>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100,00%</w:t>
            </w:r>
          </w:p>
        </w:tc>
        <w:tc>
          <w:tcPr>
            <w:tcW w:w="3058" w:type="pct"/>
            <w:tcBorders>
              <w:top w:val="single" w:sz="4" w:space="0" w:color="auto"/>
              <w:left w:val="single" w:sz="4" w:space="0" w:color="000000"/>
              <w:right w:val="single" w:sz="4" w:space="0" w:color="000000"/>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Inicialmente, se debe delimitar lo que se tomará en adelante como nivel básico y nivel de profundización en manejo de </w:t>
            </w:r>
            <w:proofErr w:type="spellStart"/>
            <w:r w:rsidRPr="00535E30">
              <w:rPr>
                <w:rFonts w:asciiTheme="minorHAnsi" w:hAnsiTheme="minorHAnsi" w:cs="Arial"/>
                <w:sz w:val="18"/>
                <w:szCs w:val="18"/>
              </w:rPr>
              <w:t>TIC´s</w:t>
            </w:r>
            <w:proofErr w:type="spellEnd"/>
            <w:r w:rsidRPr="00535E30">
              <w:rPr>
                <w:rFonts w:asciiTheme="minorHAnsi" w:hAnsiTheme="minorHAnsi" w:cs="Arial"/>
                <w:sz w:val="18"/>
                <w:szCs w:val="18"/>
              </w:rPr>
              <w:t>; los tres niveles de formación que propone la Unesco son: Nivel I, Nociones Básicas de TIC (herramientas de productividad, procesamiento gráfico, presentaciones multimedia y acceso a fuentes digitales de información); Nivel II,  Profundización del conocimiento (herramientas Web 2 como foros de discusión, blogs, y Wikis o administradores de contenidos); y nivel III, Generación de conocimiento (construcción de objetos de aprendizaje,  creación de lecciones interactivas, portafolios digitales, proyectos colaborativos), para efectos de cálculo del indicador, se tomará el nivel I como básico y los niveles II y III como profundización. Éste planteamiento deberá ser revisado por los lineamientos dados por el Plan Integral de Desarrollo Docente.</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3.1 Nivel básico</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Se tiene un avance de 46.25%, el cual corresponde al 102,78% de la meta propuesta de 45%; el avance está dado por cursos de capacitación ofrecidos por el Centro de Recursos Informáticos y Educativos (CRIE), y </w:t>
            </w:r>
            <w:proofErr w:type="spellStart"/>
            <w:r w:rsidRPr="00535E30">
              <w:rPr>
                <w:rFonts w:asciiTheme="minorHAnsi" w:hAnsiTheme="minorHAnsi" w:cs="Arial"/>
                <w:sz w:val="18"/>
                <w:szCs w:val="18"/>
              </w:rPr>
              <w:t>Univirtual</w:t>
            </w:r>
            <w:proofErr w:type="spellEnd"/>
            <w:r w:rsidRPr="00535E30">
              <w:rPr>
                <w:rFonts w:asciiTheme="minorHAnsi" w:hAnsiTheme="minorHAnsi" w:cs="Arial"/>
                <w:sz w:val="18"/>
                <w:szCs w:val="18"/>
              </w:rPr>
              <w:t xml:space="preserve">, en temáticas como animación, manejo de paquete office (Microsoft Word, Excel, </w:t>
            </w:r>
            <w:proofErr w:type="spellStart"/>
            <w:r w:rsidRPr="00535E30">
              <w:rPr>
                <w:rFonts w:asciiTheme="minorHAnsi" w:hAnsiTheme="minorHAnsi" w:cs="Arial"/>
                <w:sz w:val="18"/>
                <w:szCs w:val="18"/>
              </w:rPr>
              <w:t>Power</w:t>
            </w:r>
            <w:proofErr w:type="spellEnd"/>
            <w:r w:rsidRPr="00535E30">
              <w:rPr>
                <w:rFonts w:asciiTheme="minorHAnsi" w:hAnsiTheme="minorHAnsi" w:cs="Arial"/>
                <w:sz w:val="18"/>
                <w:szCs w:val="18"/>
              </w:rPr>
              <w:t xml:space="preserve"> Point).</w:t>
            </w:r>
          </w:p>
        </w:tc>
      </w:tr>
      <w:tr w:rsidR="00475419" w:rsidRPr="00535E30" w:rsidTr="005678E7">
        <w:trPr>
          <w:trHeight w:val="57"/>
          <w:jc w:val="center"/>
        </w:trPr>
        <w:tc>
          <w:tcPr>
            <w:tcW w:w="67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lastRenderedPageBreak/>
              <w:t xml:space="preserve">Formación en manejo de </w:t>
            </w:r>
            <w:proofErr w:type="spellStart"/>
            <w:r w:rsidRPr="00535E30">
              <w:rPr>
                <w:rFonts w:cs="Arial"/>
                <w:color w:val="000000"/>
                <w:sz w:val="18"/>
                <w:szCs w:val="18"/>
              </w:rPr>
              <w:t>TIC’s</w:t>
            </w:r>
            <w:proofErr w:type="spellEnd"/>
            <w:r w:rsidRPr="00535E30">
              <w:rPr>
                <w:rFonts w:cs="Arial"/>
                <w:color w:val="000000"/>
                <w:sz w:val="18"/>
                <w:szCs w:val="18"/>
              </w:rPr>
              <w:t xml:space="preserve"> (Nivel profundización)</w:t>
            </w:r>
          </w:p>
        </w:tc>
        <w:tc>
          <w:tcPr>
            <w:tcW w:w="439"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25,00</w:t>
            </w:r>
            <w:r>
              <w:rPr>
                <w:rFonts w:cs="Arial"/>
                <w:sz w:val="18"/>
                <w:szCs w:val="18"/>
              </w:rPr>
              <w:t>%</w:t>
            </w:r>
          </w:p>
        </w:tc>
        <w:tc>
          <w:tcPr>
            <w:tcW w:w="39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22,64</w:t>
            </w:r>
            <w:r>
              <w:rPr>
                <w:rFonts w:cs="Arial"/>
                <w:color w:val="000000"/>
                <w:sz w:val="18"/>
                <w:szCs w:val="18"/>
              </w:rPr>
              <w:t>%</w:t>
            </w:r>
          </w:p>
        </w:tc>
        <w:tc>
          <w:tcPr>
            <w:tcW w:w="438"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90,56%</w:t>
            </w:r>
          </w:p>
        </w:tc>
        <w:tc>
          <w:tcPr>
            <w:tcW w:w="3058" w:type="pct"/>
            <w:tcBorders>
              <w:top w:val="single" w:sz="4" w:space="0" w:color="000000"/>
              <w:left w:val="single" w:sz="4" w:space="0" w:color="000000"/>
              <w:right w:val="single" w:sz="4" w:space="0" w:color="000000"/>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El indicador muestra un avance de 22.64%, el cual representa cumplimiento del 90,56% de la meta propuesta de 25%, éste resultado se debe en primer lugar a la capacitación de docentes como Maestros Virtuales, mediante Diplomado coordinado por </w:t>
            </w:r>
            <w:proofErr w:type="spellStart"/>
            <w:r w:rsidRPr="00535E30">
              <w:rPr>
                <w:rFonts w:asciiTheme="minorHAnsi" w:hAnsiTheme="minorHAnsi" w:cs="Arial"/>
                <w:sz w:val="18"/>
                <w:szCs w:val="18"/>
              </w:rPr>
              <w:t>Univirtual</w:t>
            </w:r>
            <w:proofErr w:type="spellEnd"/>
            <w:r w:rsidRPr="00535E30">
              <w:rPr>
                <w:rFonts w:asciiTheme="minorHAnsi" w:hAnsiTheme="minorHAnsi" w:cs="Arial"/>
                <w:sz w:val="18"/>
                <w:szCs w:val="18"/>
              </w:rPr>
              <w:t>, este tipo de capacitación, debido a su impacto presupuestal por los altos costos en que se incurre, se ofrece inicialmente a docente de planta y transitorios, que suman 508 para el segundo semestre de 2012.</w:t>
            </w:r>
          </w:p>
        </w:tc>
      </w:tr>
      <w:tr w:rsidR="00475419" w:rsidRPr="00535E30" w:rsidTr="005678E7">
        <w:trPr>
          <w:trHeight w:val="57"/>
          <w:jc w:val="center"/>
        </w:trPr>
        <w:tc>
          <w:tcPr>
            <w:tcW w:w="674" w:type="pct"/>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Formación en Administración Educativa</w:t>
            </w:r>
          </w:p>
        </w:tc>
        <w:tc>
          <w:tcPr>
            <w:tcW w:w="439" w:type="pct"/>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35,00</w:t>
            </w:r>
            <w:r>
              <w:rPr>
                <w:rFonts w:cs="Arial"/>
                <w:sz w:val="18"/>
                <w:szCs w:val="18"/>
              </w:rPr>
              <w:t>%</w:t>
            </w:r>
          </w:p>
        </w:tc>
        <w:tc>
          <w:tcPr>
            <w:tcW w:w="391" w:type="pct"/>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31,88</w:t>
            </w:r>
            <w:r>
              <w:rPr>
                <w:rFonts w:cs="Arial"/>
                <w:color w:val="000000"/>
                <w:sz w:val="18"/>
                <w:szCs w:val="18"/>
              </w:rPr>
              <w:t>%</w:t>
            </w:r>
          </w:p>
        </w:tc>
        <w:tc>
          <w:tcPr>
            <w:tcW w:w="438" w:type="pct"/>
            <w:tcBorders>
              <w:top w:val="single" w:sz="4" w:space="0" w:color="000000"/>
              <w:left w:val="single" w:sz="4" w:space="0" w:color="000000"/>
              <w:bottom w:val="single" w:sz="4" w:space="0" w:color="auto"/>
              <w:right w:val="single" w:sz="4" w:space="0" w:color="000000"/>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91,09%</w:t>
            </w:r>
          </w:p>
        </w:tc>
        <w:tc>
          <w:tcPr>
            <w:tcW w:w="3058" w:type="pct"/>
            <w:tcBorders>
              <w:top w:val="single" w:sz="4" w:space="0" w:color="000000"/>
              <w:left w:val="single" w:sz="4" w:space="0" w:color="000000"/>
              <w:bottom w:val="single" w:sz="4" w:space="0" w:color="auto"/>
              <w:right w:val="single" w:sz="4" w:space="0" w:color="000000"/>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Se tiene un avance de 31,88% en capacitación a funcionarios administrativos, valor que corresponde a un nivel de cumplimiento de 91,09% sobre la meta propuesta; éste valor corresponde a la capacitación de 57 docentes y 67 funcionarios administrativos. </w:t>
            </w:r>
          </w:p>
        </w:tc>
      </w:tr>
      <w:tr w:rsidR="00475419" w:rsidRPr="00535E30" w:rsidTr="005678E7">
        <w:trPr>
          <w:trHeight w:val="57"/>
          <w:jc w:val="center"/>
        </w:trPr>
        <w:tc>
          <w:tcPr>
            <w:tcW w:w="674" w:type="pct"/>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Formación permanente</w:t>
            </w:r>
          </w:p>
        </w:tc>
        <w:tc>
          <w:tcPr>
            <w:tcW w:w="439" w:type="pct"/>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54,00</w:t>
            </w:r>
            <w:r>
              <w:rPr>
                <w:rFonts w:cs="Arial"/>
                <w:sz w:val="18"/>
                <w:szCs w:val="18"/>
              </w:rPr>
              <w:t>%</w:t>
            </w:r>
          </w:p>
        </w:tc>
        <w:tc>
          <w:tcPr>
            <w:tcW w:w="391" w:type="pct"/>
            <w:tcBorders>
              <w:top w:val="single" w:sz="4" w:space="0" w:color="000000"/>
              <w:left w:val="single" w:sz="4" w:space="0" w:color="000000"/>
              <w:bottom w:val="single" w:sz="4" w:space="0" w:color="auto"/>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52,36</w:t>
            </w:r>
            <w:r>
              <w:rPr>
                <w:rFonts w:cs="Arial"/>
                <w:color w:val="000000"/>
                <w:sz w:val="18"/>
                <w:szCs w:val="18"/>
              </w:rPr>
              <w:t>%</w:t>
            </w:r>
          </w:p>
        </w:tc>
        <w:tc>
          <w:tcPr>
            <w:tcW w:w="438" w:type="pct"/>
            <w:tcBorders>
              <w:top w:val="single" w:sz="4" w:space="0" w:color="000000"/>
              <w:left w:val="single" w:sz="4" w:space="0" w:color="000000"/>
              <w:bottom w:val="single" w:sz="4" w:space="0" w:color="auto"/>
              <w:right w:val="single" w:sz="4" w:space="0" w:color="000000"/>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96,96%</w:t>
            </w:r>
          </w:p>
        </w:tc>
        <w:tc>
          <w:tcPr>
            <w:tcW w:w="3058" w:type="pct"/>
            <w:tcBorders>
              <w:top w:val="single" w:sz="4" w:space="0" w:color="000000"/>
              <w:left w:val="single" w:sz="4" w:space="0" w:color="000000"/>
              <w:bottom w:val="single" w:sz="4" w:space="0" w:color="auto"/>
              <w:right w:val="single" w:sz="4" w:space="0" w:color="000000"/>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A Diciembre 31 de 2012 se tienen 114 docentes en proceso de formación de maestría y doctorado Y 152 que tienen reporte de formación en su Plan de Trabajo; de un total de 508 docentes de planta y transitorios, valor con el cual se alcanza el 52.36%, que representa un cumplimiento de 96.96% de la meta propuesta para la presente vigencia.</w:t>
            </w:r>
          </w:p>
        </w:tc>
      </w:tr>
    </w:tbl>
    <w:p w:rsidR="00475419" w:rsidRPr="00535E30" w:rsidRDefault="00475419" w:rsidP="00475419">
      <w:pPr>
        <w:pStyle w:val="Sinespaciado"/>
        <w:spacing w:line="276" w:lineRule="auto"/>
        <w:rPr>
          <w:rFonts w:asciiTheme="minorHAnsi" w:hAnsiTheme="minorHAnsi" w:cs="Arial"/>
          <w:b/>
        </w:rPr>
      </w:pPr>
    </w:p>
    <w:p w:rsidR="00475419" w:rsidRPr="00535E30" w:rsidRDefault="00475419" w:rsidP="00475419">
      <w:pPr>
        <w:pStyle w:val="Sinespaciado"/>
        <w:numPr>
          <w:ilvl w:val="0"/>
          <w:numId w:val="11"/>
        </w:numPr>
        <w:spacing w:line="276" w:lineRule="auto"/>
        <w:rPr>
          <w:rFonts w:asciiTheme="minorHAnsi" w:hAnsiTheme="minorHAnsi" w:cs="Arial"/>
          <w:b/>
        </w:rPr>
      </w:pPr>
      <w:r w:rsidRPr="00535E30">
        <w:rPr>
          <w:rFonts w:asciiTheme="minorHAnsi" w:hAnsiTheme="minorHAnsi" w:cs="Arial"/>
          <w:b/>
        </w:rPr>
        <w:t>Enseñabilidad</w:t>
      </w:r>
    </w:p>
    <w:p w:rsidR="00475419" w:rsidRPr="00535E30" w:rsidRDefault="00475419" w:rsidP="00475419">
      <w:pPr>
        <w:pStyle w:val="Sinespaciado"/>
        <w:spacing w:line="276" w:lineRule="auto"/>
        <w:rPr>
          <w:rFonts w:asciiTheme="minorHAnsi" w:hAnsiTheme="minorHAnsi" w:cs="Arial"/>
          <w:b/>
        </w:rPr>
      </w:pPr>
    </w:p>
    <w:tbl>
      <w:tblPr>
        <w:tblW w:w="5625" w:type="pct"/>
        <w:jc w:val="center"/>
        <w:tblCellMar>
          <w:left w:w="0" w:type="dxa"/>
          <w:right w:w="0" w:type="dxa"/>
        </w:tblCellMar>
        <w:tblLook w:val="04A0" w:firstRow="1" w:lastRow="0" w:firstColumn="1" w:lastColumn="0" w:noHBand="0" w:noVBand="1"/>
      </w:tblPr>
      <w:tblGrid>
        <w:gridCol w:w="1342"/>
        <w:gridCol w:w="875"/>
        <w:gridCol w:w="780"/>
        <w:gridCol w:w="873"/>
        <w:gridCol w:w="6095"/>
      </w:tblGrid>
      <w:tr w:rsidR="00475419" w:rsidRPr="00535E30" w:rsidTr="005678E7">
        <w:trPr>
          <w:trHeight w:val="57"/>
          <w:tblHeader/>
          <w:jc w:val="center"/>
        </w:trPr>
        <w:tc>
          <w:tcPr>
            <w:tcW w:w="674" w:type="pct"/>
            <w:tcBorders>
              <w:top w:val="single" w:sz="4" w:space="0" w:color="000000"/>
              <w:left w:val="single" w:sz="4" w:space="0" w:color="000000"/>
              <w:bottom w:val="single" w:sz="4" w:space="0" w:color="auto"/>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439" w:type="pct"/>
            <w:tcBorders>
              <w:top w:val="single" w:sz="4" w:space="0" w:color="000000"/>
              <w:left w:val="single" w:sz="4" w:space="0" w:color="000000"/>
              <w:bottom w:val="single" w:sz="4" w:space="0" w:color="auto"/>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391" w:type="pct"/>
            <w:tcBorders>
              <w:top w:val="single" w:sz="4" w:space="0" w:color="000000"/>
              <w:left w:val="single" w:sz="4" w:space="0" w:color="000000"/>
              <w:bottom w:val="single" w:sz="4" w:space="0" w:color="auto"/>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438" w:type="pct"/>
            <w:tcBorders>
              <w:top w:val="single" w:sz="4" w:space="0" w:color="000000"/>
              <w:left w:val="single" w:sz="4" w:space="0" w:color="000000"/>
              <w:bottom w:val="single" w:sz="4" w:space="0" w:color="auto"/>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3058" w:type="pct"/>
            <w:tcBorders>
              <w:top w:val="single" w:sz="4" w:space="0" w:color="000000"/>
              <w:left w:val="single" w:sz="4" w:space="0" w:color="000000"/>
              <w:bottom w:val="single" w:sz="4" w:space="0" w:color="auto"/>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57"/>
          <w:jc w:val="center"/>
        </w:trPr>
        <w:tc>
          <w:tcPr>
            <w:tcW w:w="674"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Nivel de satisfacción de los estudiantes con los profesores</w:t>
            </w:r>
          </w:p>
        </w:tc>
        <w:tc>
          <w:tcPr>
            <w:tcW w:w="439"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46,05</w:t>
            </w:r>
            <w:r>
              <w:rPr>
                <w:rFonts w:cs="Arial"/>
                <w:sz w:val="18"/>
                <w:szCs w:val="18"/>
              </w:rPr>
              <w:t>%</w:t>
            </w:r>
          </w:p>
        </w:tc>
        <w:tc>
          <w:tcPr>
            <w:tcW w:w="391"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44,60</w:t>
            </w:r>
            <w:r>
              <w:rPr>
                <w:rFonts w:cs="Arial"/>
                <w:color w:val="000000"/>
                <w:sz w:val="18"/>
                <w:szCs w:val="18"/>
              </w:rPr>
              <w:t>%</w:t>
            </w:r>
          </w:p>
        </w:tc>
        <w:tc>
          <w:tcPr>
            <w:tcW w:w="438" w:type="pct"/>
            <w:tcBorders>
              <w:top w:val="single" w:sz="4" w:space="0" w:color="auto"/>
              <w:left w:val="single" w:sz="4" w:space="0" w:color="auto"/>
              <w:bottom w:val="single" w:sz="4" w:space="0" w:color="auto"/>
              <w:right w:val="single" w:sz="4" w:space="0" w:color="auto"/>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96,85%</w:t>
            </w:r>
          </w:p>
        </w:tc>
        <w:tc>
          <w:tcPr>
            <w:tcW w:w="3058" w:type="pct"/>
            <w:tcBorders>
              <w:top w:val="single" w:sz="4" w:space="0" w:color="auto"/>
              <w:left w:val="single" w:sz="4" w:space="0" w:color="auto"/>
              <w:bottom w:val="single" w:sz="4" w:space="0" w:color="auto"/>
              <w:right w:val="single" w:sz="4" w:space="0" w:color="auto"/>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Se tiene un nivel de satisfacción de 44.60, correspondiente a un cumplimiento del 96.85% de la meta propuesta para la presente vigencia. Para calcular el indicador, se evaluaron 239 docentes de planta de la Institución, el Comité Interno de Asignación y Reconocimiento de Puntaje (CIARP) realizó la validación y tabulación suministrada por las facultades.</w:t>
            </w:r>
          </w:p>
        </w:tc>
      </w:tr>
      <w:tr w:rsidR="00475419" w:rsidRPr="00535E30" w:rsidTr="005678E7">
        <w:trPr>
          <w:trHeight w:val="57"/>
          <w:jc w:val="center"/>
        </w:trPr>
        <w:tc>
          <w:tcPr>
            <w:tcW w:w="674"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Nivel de satisfacción de los egresados con el programa</w:t>
            </w:r>
          </w:p>
        </w:tc>
        <w:tc>
          <w:tcPr>
            <w:tcW w:w="439"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90,00</w:t>
            </w:r>
            <w:r>
              <w:rPr>
                <w:rFonts w:cs="Arial"/>
                <w:sz w:val="18"/>
                <w:szCs w:val="18"/>
              </w:rPr>
              <w:t>%</w:t>
            </w:r>
          </w:p>
        </w:tc>
        <w:tc>
          <w:tcPr>
            <w:tcW w:w="391"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92,00</w:t>
            </w:r>
            <w:r>
              <w:rPr>
                <w:rFonts w:cs="Arial"/>
                <w:color w:val="000000"/>
                <w:sz w:val="18"/>
                <w:szCs w:val="18"/>
              </w:rPr>
              <w:t>%</w:t>
            </w:r>
          </w:p>
        </w:tc>
        <w:tc>
          <w:tcPr>
            <w:tcW w:w="438" w:type="pct"/>
            <w:tcBorders>
              <w:top w:val="single" w:sz="4" w:space="0" w:color="auto"/>
              <w:left w:val="single" w:sz="4" w:space="0" w:color="auto"/>
              <w:bottom w:val="single" w:sz="4" w:space="0" w:color="auto"/>
              <w:right w:val="single" w:sz="4" w:space="0" w:color="auto"/>
            </w:tcBorders>
            <w:shd w:val="clear" w:color="auto" w:fill="auto"/>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100,00%</w:t>
            </w:r>
          </w:p>
        </w:tc>
        <w:tc>
          <w:tcPr>
            <w:tcW w:w="3058" w:type="pct"/>
            <w:tcBorders>
              <w:top w:val="single" w:sz="4" w:space="0" w:color="auto"/>
              <w:left w:val="single" w:sz="4" w:space="0" w:color="auto"/>
              <w:bottom w:val="single" w:sz="4" w:space="0" w:color="auto"/>
              <w:right w:val="single" w:sz="4" w:space="0" w:color="auto"/>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Se realizó el estudio con 2.530 profesionales:</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1440 de Momento de Grado, 648 de Primer año de Egreso, 313 de Tercer año de Egreso,129 de Quinto año de Egreso.</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La aplicación del instrumento arrojó como resultado un nivel de satisfacción de 92%, superando en 2.22% la meta propuesta para  la vigencia.</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A pesar de que el resultado de la vigencia supera la meta propuesta, la estrategia continua siendo intensificada, en cuanto a vinculación y seguimiento de egresados, de igual forma, es importante tener en cuenta su percepción e integrarlos a procesos tan importantes como el de Reforma Curricular.</w:t>
            </w:r>
          </w:p>
        </w:tc>
      </w:tr>
      <w:tr w:rsidR="00475419" w:rsidRPr="00535E30" w:rsidTr="005678E7">
        <w:trPr>
          <w:trHeight w:val="57"/>
          <w:jc w:val="center"/>
        </w:trPr>
        <w:tc>
          <w:tcPr>
            <w:tcW w:w="674" w:type="pct"/>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Nivel de satisfacción de los estudiantes con el programa</w:t>
            </w:r>
          </w:p>
        </w:tc>
        <w:tc>
          <w:tcPr>
            <w:tcW w:w="439" w:type="pct"/>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66,67</w:t>
            </w:r>
            <w:r>
              <w:rPr>
                <w:rFonts w:cs="Arial"/>
                <w:sz w:val="18"/>
                <w:szCs w:val="18"/>
              </w:rPr>
              <w:t>%</w:t>
            </w:r>
          </w:p>
        </w:tc>
        <w:tc>
          <w:tcPr>
            <w:tcW w:w="391" w:type="pct"/>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82,97</w:t>
            </w:r>
            <w:r>
              <w:rPr>
                <w:rFonts w:cs="Arial"/>
                <w:color w:val="000000"/>
                <w:sz w:val="18"/>
                <w:szCs w:val="18"/>
              </w:rPr>
              <w:t>%</w:t>
            </w:r>
          </w:p>
        </w:tc>
        <w:tc>
          <w:tcPr>
            <w:tcW w:w="438" w:type="pct"/>
            <w:tcBorders>
              <w:top w:val="single" w:sz="4" w:space="0" w:color="auto"/>
              <w:left w:val="single" w:sz="4" w:space="0" w:color="000000"/>
              <w:bottom w:val="single" w:sz="4" w:space="0" w:color="000000"/>
              <w:right w:val="single" w:sz="4" w:space="0" w:color="auto"/>
            </w:tcBorders>
            <w:shd w:val="clear" w:color="auto" w:fill="auto"/>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100,00%</w:t>
            </w:r>
          </w:p>
        </w:tc>
        <w:tc>
          <w:tcPr>
            <w:tcW w:w="3058" w:type="pct"/>
            <w:tcBorders>
              <w:top w:val="single" w:sz="4" w:space="0" w:color="auto"/>
              <w:left w:val="single" w:sz="4" w:space="0" w:color="auto"/>
              <w:bottom w:val="single" w:sz="4" w:space="0" w:color="auto"/>
              <w:right w:val="single" w:sz="4" w:space="0" w:color="auto"/>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Se tiene a la fecha un nivel de satisfacción de 82.97%, obtenido mediante la aplicación de instrumento a 718 estudiantes de la Facultad de Ciencias de la Salud, de los Programas Medicina (391) y Ciencias del Deporte y la Recreación (327).</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ind w:left="708"/>
              <w:jc w:val="both"/>
              <w:rPr>
                <w:rFonts w:asciiTheme="minorHAnsi" w:hAnsiTheme="minorHAnsi" w:cs="Arial"/>
                <w:sz w:val="18"/>
                <w:szCs w:val="18"/>
              </w:rPr>
            </w:pPr>
            <w:r w:rsidRPr="00535E30">
              <w:rPr>
                <w:rFonts w:asciiTheme="minorHAnsi" w:hAnsiTheme="minorHAnsi" w:cs="Arial"/>
                <w:sz w:val="18"/>
                <w:szCs w:val="18"/>
              </w:rPr>
              <w:lastRenderedPageBreak/>
              <w:t>Los procesos de acreditación de programas son la principal estrategia para incrementar el nivel de satisfacción de los estudiantes con el programa, ya que éste espacio genera discusiones al interior del programa en pro de mejorar sus condiciones y las de sus estudiantes.</w:t>
            </w:r>
          </w:p>
        </w:tc>
      </w:tr>
      <w:tr w:rsidR="00475419" w:rsidRPr="00535E30" w:rsidTr="005678E7">
        <w:trPr>
          <w:trHeight w:val="57"/>
          <w:jc w:val="center"/>
        </w:trPr>
        <w:tc>
          <w:tcPr>
            <w:tcW w:w="67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lastRenderedPageBreak/>
              <w:t>Nivel de satisfacción de los empleadores con el programa</w:t>
            </w:r>
          </w:p>
        </w:tc>
        <w:tc>
          <w:tcPr>
            <w:tcW w:w="439"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85,40</w:t>
            </w:r>
            <w:r>
              <w:rPr>
                <w:rFonts w:cs="Arial"/>
                <w:sz w:val="18"/>
                <w:szCs w:val="18"/>
              </w:rPr>
              <w:t>%</w:t>
            </w:r>
          </w:p>
        </w:tc>
        <w:tc>
          <w:tcPr>
            <w:tcW w:w="39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68,80</w:t>
            </w:r>
            <w:r>
              <w:rPr>
                <w:rFonts w:cs="Arial"/>
                <w:color w:val="000000"/>
                <w:sz w:val="18"/>
                <w:szCs w:val="18"/>
              </w:rPr>
              <w:t>%</w:t>
            </w:r>
          </w:p>
        </w:tc>
        <w:tc>
          <w:tcPr>
            <w:tcW w:w="438" w:type="pct"/>
            <w:tcBorders>
              <w:top w:val="single" w:sz="4" w:space="0" w:color="000000"/>
              <w:left w:val="single" w:sz="4" w:space="0" w:color="000000"/>
              <w:bottom w:val="single" w:sz="4" w:space="0" w:color="000000"/>
              <w:right w:val="single" w:sz="4" w:space="0" w:color="auto"/>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80,56%</w:t>
            </w:r>
          </w:p>
        </w:tc>
        <w:tc>
          <w:tcPr>
            <w:tcW w:w="3058" w:type="pct"/>
            <w:tcBorders>
              <w:top w:val="single" w:sz="4" w:space="0" w:color="auto"/>
              <w:left w:val="single" w:sz="4" w:space="0" w:color="auto"/>
              <w:bottom w:val="single" w:sz="4" w:space="0" w:color="auto"/>
              <w:right w:val="single" w:sz="4" w:space="0" w:color="auto"/>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Este indicador se calcula cada 2 años, el seguimiento a Empleadores se realizó con corte a Diciembre  de 2011,  para esta fecha se diligenciaron  198 encuestas, las cuales se  utilizaron para calcular el valor de este indicador, el cual se ubicó en 68.80%, alcanzando un cumplimiento de 80.56% de la meta propuesta para la presente vigencia.</w:t>
            </w:r>
          </w:p>
        </w:tc>
      </w:tr>
    </w:tbl>
    <w:p w:rsidR="00475419" w:rsidRPr="00535E30" w:rsidRDefault="00475419" w:rsidP="00475419">
      <w:pPr>
        <w:pStyle w:val="Sinespaciado"/>
        <w:spacing w:line="276" w:lineRule="auto"/>
        <w:rPr>
          <w:rFonts w:asciiTheme="minorHAnsi" w:hAnsiTheme="minorHAnsi" w:cs="Arial"/>
          <w:b/>
        </w:rPr>
      </w:pPr>
    </w:p>
    <w:p w:rsidR="00475419" w:rsidRPr="00535E30" w:rsidRDefault="00475419" w:rsidP="00475419">
      <w:pPr>
        <w:pStyle w:val="Sinespaciado"/>
        <w:numPr>
          <w:ilvl w:val="0"/>
          <w:numId w:val="11"/>
        </w:numPr>
        <w:spacing w:line="276" w:lineRule="auto"/>
        <w:rPr>
          <w:rFonts w:asciiTheme="minorHAnsi" w:hAnsiTheme="minorHAnsi" w:cs="Arial"/>
          <w:b/>
        </w:rPr>
      </w:pPr>
      <w:r w:rsidRPr="00535E30">
        <w:rPr>
          <w:rFonts w:asciiTheme="minorHAnsi" w:hAnsiTheme="minorHAnsi" w:cs="Arial"/>
          <w:b/>
        </w:rPr>
        <w:t>Cobertura</w:t>
      </w:r>
    </w:p>
    <w:p w:rsidR="00475419" w:rsidRPr="00535E30" w:rsidRDefault="00475419" w:rsidP="00475419">
      <w:pPr>
        <w:pStyle w:val="Sinespaciado"/>
        <w:spacing w:line="276" w:lineRule="auto"/>
        <w:rPr>
          <w:rFonts w:asciiTheme="minorHAnsi" w:hAnsiTheme="minorHAnsi" w:cs="Arial"/>
          <w:b/>
        </w:rPr>
      </w:pPr>
      <w:r w:rsidRPr="00535E30">
        <w:rPr>
          <w:rFonts w:asciiTheme="minorHAnsi" w:hAnsiTheme="minorHAnsi" w:cs="Arial"/>
          <w:b/>
        </w:rPr>
        <w:t xml:space="preserve"> </w:t>
      </w:r>
    </w:p>
    <w:tbl>
      <w:tblPr>
        <w:tblW w:w="5625" w:type="pct"/>
        <w:jc w:val="center"/>
        <w:tblCellMar>
          <w:left w:w="0" w:type="dxa"/>
          <w:right w:w="0" w:type="dxa"/>
        </w:tblCellMar>
        <w:tblLook w:val="04A0" w:firstRow="1" w:lastRow="0" w:firstColumn="1" w:lastColumn="0" w:noHBand="0" w:noVBand="1"/>
      </w:tblPr>
      <w:tblGrid>
        <w:gridCol w:w="1338"/>
        <w:gridCol w:w="875"/>
        <w:gridCol w:w="780"/>
        <w:gridCol w:w="873"/>
        <w:gridCol w:w="6099"/>
      </w:tblGrid>
      <w:tr w:rsidR="00475419" w:rsidRPr="00535E30" w:rsidTr="005678E7">
        <w:trPr>
          <w:trHeight w:val="57"/>
          <w:tblHeader/>
          <w:jc w:val="center"/>
        </w:trPr>
        <w:tc>
          <w:tcPr>
            <w:tcW w:w="672" w:type="pct"/>
            <w:tcBorders>
              <w:top w:val="single" w:sz="4" w:space="0" w:color="000000"/>
              <w:left w:val="single" w:sz="4" w:space="0" w:color="000000"/>
              <w:bottom w:val="single" w:sz="4" w:space="0" w:color="auto"/>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439" w:type="pct"/>
            <w:tcBorders>
              <w:top w:val="single" w:sz="4" w:space="0" w:color="000000"/>
              <w:left w:val="single" w:sz="4" w:space="0" w:color="000000"/>
              <w:bottom w:val="single" w:sz="4" w:space="0" w:color="auto"/>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391" w:type="pct"/>
            <w:tcBorders>
              <w:top w:val="single" w:sz="4" w:space="0" w:color="000000"/>
              <w:left w:val="single" w:sz="4" w:space="0" w:color="000000"/>
              <w:bottom w:val="single" w:sz="4" w:space="0" w:color="auto"/>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438" w:type="pct"/>
            <w:tcBorders>
              <w:top w:val="single" w:sz="4" w:space="0" w:color="000000"/>
              <w:left w:val="single" w:sz="4" w:space="0" w:color="000000"/>
              <w:bottom w:val="single" w:sz="4" w:space="0" w:color="auto"/>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3059" w:type="pct"/>
            <w:tcBorders>
              <w:top w:val="single" w:sz="4" w:space="0" w:color="000000"/>
              <w:left w:val="single" w:sz="4" w:space="0" w:color="000000"/>
              <w:bottom w:val="single" w:sz="4" w:space="0" w:color="auto"/>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57"/>
          <w:jc w:val="center"/>
        </w:trPr>
        <w:tc>
          <w:tcPr>
            <w:tcW w:w="672"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Estudiantes en cada nivel (Pregrado)</w:t>
            </w:r>
          </w:p>
        </w:tc>
        <w:tc>
          <w:tcPr>
            <w:tcW w:w="439"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85,00</w:t>
            </w:r>
            <w:r>
              <w:rPr>
                <w:rFonts w:cs="Arial"/>
                <w:sz w:val="18"/>
                <w:szCs w:val="18"/>
              </w:rPr>
              <w:t>%</w:t>
            </w:r>
          </w:p>
        </w:tc>
        <w:tc>
          <w:tcPr>
            <w:tcW w:w="391"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93,24</w:t>
            </w:r>
            <w:r>
              <w:rPr>
                <w:rFonts w:cs="Arial"/>
                <w:color w:val="000000"/>
                <w:sz w:val="18"/>
                <w:szCs w:val="18"/>
              </w:rPr>
              <w:t>%</w:t>
            </w:r>
          </w:p>
        </w:tc>
        <w:tc>
          <w:tcPr>
            <w:tcW w:w="438" w:type="pct"/>
            <w:tcBorders>
              <w:top w:val="single" w:sz="4" w:space="0" w:color="auto"/>
              <w:left w:val="single" w:sz="4" w:space="0" w:color="auto"/>
              <w:bottom w:val="single" w:sz="4" w:space="0" w:color="auto"/>
              <w:right w:val="single" w:sz="4" w:space="0" w:color="auto"/>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100,00%</w:t>
            </w:r>
          </w:p>
        </w:tc>
        <w:tc>
          <w:tcPr>
            <w:tcW w:w="3059" w:type="pct"/>
            <w:tcBorders>
              <w:top w:val="single" w:sz="4" w:space="0" w:color="auto"/>
              <w:left w:val="single" w:sz="4" w:space="0" w:color="auto"/>
              <w:bottom w:val="single" w:sz="4" w:space="0" w:color="auto"/>
              <w:right w:val="single" w:sz="4" w:space="0" w:color="auto"/>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Éste indicador presenta en el período actual de medición un avance de 93.24%, lo cual significa un cumplimiento del 109.69% de la meta propuesta de 85% para la vigencia 2012, El valor corresponde a la relación entre 15042 estudiantes matriculados en programas de pregrado en el segundo semestre de 2012, y el total de estudiantes matriculados en la Institución en ése mismo período, que es 16.132.</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Como estrategia para incrementar éste indicador, se encuentra la publicidad efectuada a los programas ofrecidos en la Universidad en medios como la emisora institucional, el portal web de la institución, y medios impresos (</w:t>
            </w:r>
            <w:proofErr w:type="spellStart"/>
            <w:r w:rsidRPr="00535E30">
              <w:rPr>
                <w:rFonts w:asciiTheme="minorHAnsi" w:hAnsiTheme="minorHAnsi" w:cs="Arial"/>
                <w:sz w:val="18"/>
                <w:szCs w:val="18"/>
              </w:rPr>
              <w:t>brochures</w:t>
            </w:r>
            <w:proofErr w:type="spellEnd"/>
            <w:r w:rsidRPr="00535E30">
              <w:rPr>
                <w:rFonts w:asciiTheme="minorHAnsi" w:hAnsiTheme="minorHAnsi" w:cs="Arial"/>
                <w:sz w:val="18"/>
                <w:szCs w:val="18"/>
              </w:rPr>
              <w:t xml:space="preserve"> con información  sobre fechas y requisitos de ingreso).</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Adicionalmente, se cuentan las actividades desarrolladas por cada Facultad con el fin de dar a conocer sus programas en estudiantes de Educación media de la Región; el documento Integración del sistemas Educativo, el cual se encuentra en construcción, pretende generar una orientación institucional para el diseño de éste tipo de actividades.</w:t>
            </w:r>
          </w:p>
        </w:tc>
      </w:tr>
      <w:tr w:rsidR="00475419" w:rsidRPr="00535E30" w:rsidTr="005678E7">
        <w:trPr>
          <w:trHeight w:val="57"/>
          <w:jc w:val="center"/>
        </w:trPr>
        <w:tc>
          <w:tcPr>
            <w:tcW w:w="672"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Programas de cada nivel (Pregrado)</w:t>
            </w:r>
          </w:p>
        </w:tc>
        <w:tc>
          <w:tcPr>
            <w:tcW w:w="439"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50,00</w:t>
            </w:r>
            <w:r>
              <w:rPr>
                <w:rFonts w:cs="Arial"/>
                <w:sz w:val="18"/>
                <w:szCs w:val="18"/>
              </w:rPr>
              <w:t>%</w:t>
            </w:r>
          </w:p>
        </w:tc>
        <w:tc>
          <w:tcPr>
            <w:tcW w:w="391"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50,00</w:t>
            </w:r>
            <w:r>
              <w:rPr>
                <w:rFonts w:cs="Arial"/>
                <w:color w:val="000000"/>
                <w:sz w:val="18"/>
                <w:szCs w:val="18"/>
              </w:rPr>
              <w:t>%</w:t>
            </w:r>
          </w:p>
        </w:tc>
        <w:tc>
          <w:tcPr>
            <w:tcW w:w="438" w:type="pct"/>
            <w:tcBorders>
              <w:top w:val="single" w:sz="4" w:space="0" w:color="auto"/>
              <w:left w:val="single" w:sz="4" w:space="0" w:color="auto"/>
              <w:bottom w:val="single" w:sz="4" w:space="0" w:color="auto"/>
              <w:right w:val="single" w:sz="4" w:space="0" w:color="auto"/>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100,00%</w:t>
            </w:r>
          </w:p>
        </w:tc>
        <w:tc>
          <w:tcPr>
            <w:tcW w:w="3059" w:type="pct"/>
            <w:tcBorders>
              <w:top w:val="single" w:sz="4" w:space="0" w:color="auto"/>
              <w:left w:val="single" w:sz="4" w:space="0" w:color="auto"/>
              <w:bottom w:val="single" w:sz="4" w:space="0" w:color="auto"/>
              <w:right w:val="single" w:sz="4" w:space="0" w:color="auto"/>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Éste indicador presenta en el período actual de medición un avance de 50.00% cual significa un cumplimiento del 100% de la meta propuesta de 50% para la vigencia 2012, El valor corresponde a la relación entre 45 programas de pregrado y 90 programas contenidos en la oferta total de la Universidad.</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La Institución da línea para propuestas de nuevos programas mediante el documento "Guía Metodológica para el diseño y rediseño de programas académicos de la Universidad Tecnológica de Pereira - Lineamientos generales", mediante el cual se enuncian pautas fundamentales y procesos a seguir para la formulación de nuevos programas académicos.</w:t>
            </w:r>
          </w:p>
        </w:tc>
      </w:tr>
      <w:tr w:rsidR="00475419" w:rsidRPr="00535E30" w:rsidTr="005678E7">
        <w:trPr>
          <w:trHeight w:val="57"/>
          <w:jc w:val="center"/>
        </w:trPr>
        <w:tc>
          <w:tcPr>
            <w:tcW w:w="672" w:type="pct"/>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Estudiantes en cada nivel (Posgrado)</w:t>
            </w:r>
          </w:p>
        </w:tc>
        <w:tc>
          <w:tcPr>
            <w:tcW w:w="439" w:type="pct"/>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15,00</w:t>
            </w:r>
            <w:r>
              <w:rPr>
                <w:rFonts w:cs="Arial"/>
                <w:sz w:val="18"/>
                <w:szCs w:val="18"/>
              </w:rPr>
              <w:t>%</w:t>
            </w:r>
          </w:p>
        </w:tc>
        <w:tc>
          <w:tcPr>
            <w:tcW w:w="391" w:type="pct"/>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13,99</w:t>
            </w:r>
            <w:r>
              <w:rPr>
                <w:rFonts w:cs="Arial"/>
                <w:color w:val="000000"/>
                <w:sz w:val="18"/>
                <w:szCs w:val="18"/>
              </w:rPr>
              <w:t>%</w:t>
            </w:r>
          </w:p>
        </w:tc>
        <w:tc>
          <w:tcPr>
            <w:tcW w:w="438" w:type="pct"/>
            <w:tcBorders>
              <w:top w:val="single" w:sz="4" w:space="0" w:color="auto"/>
              <w:left w:val="single" w:sz="4" w:space="0" w:color="000000"/>
              <w:bottom w:val="single" w:sz="4" w:space="0" w:color="000000"/>
              <w:right w:val="single" w:sz="4" w:space="0" w:color="auto"/>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93,27%</w:t>
            </w:r>
          </w:p>
        </w:tc>
        <w:tc>
          <w:tcPr>
            <w:tcW w:w="3059" w:type="pct"/>
            <w:tcBorders>
              <w:top w:val="single" w:sz="4" w:space="0" w:color="auto"/>
              <w:left w:val="single" w:sz="4" w:space="0" w:color="auto"/>
              <w:bottom w:val="single" w:sz="4" w:space="0" w:color="auto"/>
              <w:right w:val="single" w:sz="4" w:space="0" w:color="auto"/>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Éste indicador presenta en el período actual de medición un avance de 13.99%, lo cual significa un cumplimiento del 93.27% de la meta propuesta de 15% para la vigencia 2012, El valor corresponde a la relación entre 1090 estudiantes matriculados en programas de posgrado en el primer semestre de 2012, y el total de estudiantes matriculados en la Institución en ése mismo período, que es </w:t>
            </w:r>
            <w:r w:rsidRPr="00535E30">
              <w:rPr>
                <w:rFonts w:asciiTheme="minorHAnsi" w:hAnsiTheme="minorHAnsi" w:cs="Arial"/>
                <w:sz w:val="18"/>
                <w:szCs w:val="18"/>
              </w:rPr>
              <w:lastRenderedPageBreak/>
              <w:t>16.132.</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En la actualidad, la Institución no cuenta con una orientación para establecer vínculo con estudiantes potenciales de posgrado, y los logros obtenidos son fruto de la gestión llevada a cabo por cada uno de los programas, tales como charlas en otras universidades a nivel regional y nacional, y publicidad (en la página web de la Universidad, Medios impresos).</w:t>
            </w:r>
          </w:p>
        </w:tc>
      </w:tr>
      <w:tr w:rsidR="00475419" w:rsidRPr="00535E30" w:rsidTr="005678E7">
        <w:trPr>
          <w:trHeight w:val="57"/>
          <w:jc w:val="center"/>
        </w:trPr>
        <w:tc>
          <w:tcPr>
            <w:tcW w:w="67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lastRenderedPageBreak/>
              <w:t>Programas en cada nivel (Posgrado)</w:t>
            </w:r>
          </w:p>
        </w:tc>
        <w:tc>
          <w:tcPr>
            <w:tcW w:w="439"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50,00</w:t>
            </w:r>
            <w:r>
              <w:rPr>
                <w:rFonts w:cs="Arial"/>
                <w:sz w:val="18"/>
                <w:szCs w:val="18"/>
              </w:rPr>
              <w:t>%</w:t>
            </w:r>
          </w:p>
        </w:tc>
        <w:tc>
          <w:tcPr>
            <w:tcW w:w="39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50,00</w:t>
            </w:r>
            <w:r>
              <w:rPr>
                <w:rFonts w:cs="Arial"/>
                <w:color w:val="000000"/>
                <w:sz w:val="18"/>
                <w:szCs w:val="18"/>
              </w:rPr>
              <w:t>%</w:t>
            </w:r>
          </w:p>
        </w:tc>
        <w:tc>
          <w:tcPr>
            <w:tcW w:w="438" w:type="pct"/>
            <w:tcBorders>
              <w:top w:val="single" w:sz="4" w:space="0" w:color="000000"/>
              <w:left w:val="single" w:sz="4" w:space="0" w:color="000000"/>
              <w:bottom w:val="single" w:sz="4" w:space="0" w:color="000000"/>
              <w:right w:val="single" w:sz="4" w:space="0" w:color="auto"/>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100,00%</w:t>
            </w:r>
          </w:p>
        </w:tc>
        <w:tc>
          <w:tcPr>
            <w:tcW w:w="3059" w:type="pct"/>
            <w:tcBorders>
              <w:top w:val="single" w:sz="4" w:space="0" w:color="auto"/>
              <w:left w:val="single" w:sz="4" w:space="0" w:color="auto"/>
              <w:bottom w:val="single" w:sz="4" w:space="0" w:color="auto"/>
              <w:right w:val="single" w:sz="4" w:space="0" w:color="auto"/>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Éste indicador presenta en el período actual de medición un avance de 50%, lo cual significa un cumplimiento del 100.00% de la meta propuesta de 50% para la vigencia 2012. El valor corresponde a la relación entre 44 programas de posgrado y 90 programas contenidos en la oferta total de la Universidad.</w:t>
            </w:r>
          </w:p>
        </w:tc>
      </w:tr>
      <w:tr w:rsidR="00475419" w:rsidRPr="00535E30" w:rsidTr="005678E7">
        <w:trPr>
          <w:trHeight w:val="57"/>
          <w:jc w:val="center"/>
        </w:trPr>
        <w:tc>
          <w:tcPr>
            <w:tcW w:w="67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Oferta de programas</w:t>
            </w:r>
          </w:p>
        </w:tc>
        <w:tc>
          <w:tcPr>
            <w:tcW w:w="439"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85,00</w:t>
            </w:r>
            <w:r>
              <w:rPr>
                <w:rFonts w:cs="Arial"/>
                <w:sz w:val="18"/>
                <w:szCs w:val="18"/>
              </w:rPr>
              <w:t>%</w:t>
            </w:r>
          </w:p>
        </w:tc>
        <w:tc>
          <w:tcPr>
            <w:tcW w:w="39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81,82</w:t>
            </w:r>
            <w:r>
              <w:rPr>
                <w:rFonts w:cs="Arial"/>
                <w:color w:val="000000"/>
                <w:sz w:val="18"/>
                <w:szCs w:val="18"/>
              </w:rPr>
              <w:t>%</w:t>
            </w:r>
          </w:p>
        </w:tc>
        <w:tc>
          <w:tcPr>
            <w:tcW w:w="438" w:type="pct"/>
            <w:tcBorders>
              <w:top w:val="single" w:sz="4" w:space="0" w:color="000000"/>
              <w:left w:val="single" w:sz="4" w:space="0" w:color="000000"/>
              <w:bottom w:val="single" w:sz="4" w:space="0" w:color="000000"/>
              <w:right w:val="single" w:sz="4" w:space="0" w:color="auto"/>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96,26%</w:t>
            </w:r>
          </w:p>
        </w:tc>
        <w:tc>
          <w:tcPr>
            <w:tcW w:w="3059" w:type="pct"/>
            <w:tcBorders>
              <w:top w:val="single" w:sz="4" w:space="0" w:color="auto"/>
              <w:left w:val="single" w:sz="4" w:space="0" w:color="auto"/>
              <w:bottom w:val="single" w:sz="4" w:space="0" w:color="auto"/>
              <w:right w:val="single" w:sz="4" w:space="0" w:color="auto"/>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Éste indicador presenta en el período actual de medición un resultado de 81,82%, lo cual significa un cumplimiento del 96.26% de la meta propuesta de 85% para la vigencia 2012. El valor proporcionado corresponde a 90 programas académicos ofrecidos del total de 110 programas registrados en la Institución; dentro de los programas no ofrecidos, se encuentran algunos que se tratan de formación por ciclos propedéuticos, en los cuales se articula la educación media con la superior, y los estudiantes que formarían parte de la primera cohorte aún no han egresado de su proceso de educación media.</w:t>
            </w:r>
          </w:p>
        </w:tc>
      </w:tr>
      <w:tr w:rsidR="00475419" w:rsidRPr="00535E30" w:rsidTr="005678E7">
        <w:trPr>
          <w:trHeight w:val="57"/>
          <w:jc w:val="center"/>
        </w:trPr>
        <w:tc>
          <w:tcPr>
            <w:tcW w:w="67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Planta docente (Planta Tiempo completo)</w:t>
            </w:r>
          </w:p>
        </w:tc>
        <w:tc>
          <w:tcPr>
            <w:tcW w:w="439"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25,97</w:t>
            </w:r>
            <w:r>
              <w:rPr>
                <w:rFonts w:cs="Arial"/>
                <w:sz w:val="18"/>
                <w:szCs w:val="18"/>
              </w:rPr>
              <w:t>%</w:t>
            </w:r>
          </w:p>
        </w:tc>
        <w:tc>
          <w:tcPr>
            <w:tcW w:w="39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23,46</w:t>
            </w:r>
            <w:r>
              <w:rPr>
                <w:rFonts w:cs="Arial"/>
                <w:color w:val="000000"/>
                <w:sz w:val="18"/>
                <w:szCs w:val="18"/>
              </w:rPr>
              <w:t>%</w:t>
            </w:r>
          </w:p>
        </w:tc>
        <w:tc>
          <w:tcPr>
            <w:tcW w:w="438" w:type="pct"/>
            <w:tcBorders>
              <w:top w:val="single" w:sz="4" w:space="0" w:color="000000"/>
              <w:left w:val="single" w:sz="4" w:space="0" w:color="000000"/>
              <w:bottom w:val="single" w:sz="4" w:space="0" w:color="000000"/>
              <w:right w:val="single" w:sz="4" w:space="0" w:color="auto"/>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90,34%</w:t>
            </w:r>
          </w:p>
        </w:tc>
        <w:tc>
          <w:tcPr>
            <w:tcW w:w="3059" w:type="pct"/>
            <w:vMerge w:val="restart"/>
            <w:tcBorders>
              <w:top w:val="single" w:sz="4" w:space="0" w:color="auto"/>
              <w:left w:val="single" w:sz="4" w:space="0" w:color="auto"/>
              <w:right w:val="single" w:sz="4" w:space="0" w:color="auto"/>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Planta Tiempo Completo: Se ubica en 25.97%, valor que representa cumplimiento de 90.34% de la meta propuesta para la presente vigencia, de 25.97%, correspondiente a 286 docentes.</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Planta Medio Tiempo: Se ubica en 1.64%, valor que representa cumplimiento de 91.11% de la meta propuesta para la presente vigencia, de 1,80%, correspondiente a 16 docentes.</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Transitorio Tiempo Completo: Se ubica en 10.83%, valor que representa cumplimiento de 94.64% de la meta propuesta para la presente vigencia, de 10,83%, correspondiente a 125 docentes.</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Transitorio Medio Tiempo: Se ubica en 6.64%, valor que representa cumplimiento de 94.86% de la meta propuesta para la presente vigencia, de 7%, correspondiente 81 docentes.</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Catedrático: Se ubica en 58.33%, valor que representa cumplimiento del 102.33%, estando por encima de la meta propuesta para la presente vigencia, de 57%, correspondiente a 711 docentes.</w:t>
            </w:r>
          </w:p>
        </w:tc>
      </w:tr>
      <w:tr w:rsidR="00475419" w:rsidRPr="00535E30" w:rsidTr="005678E7">
        <w:trPr>
          <w:trHeight w:val="57"/>
          <w:jc w:val="center"/>
        </w:trPr>
        <w:tc>
          <w:tcPr>
            <w:tcW w:w="67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Planta docente (Planta medio tiempo)</w:t>
            </w:r>
          </w:p>
        </w:tc>
        <w:tc>
          <w:tcPr>
            <w:tcW w:w="439"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1,80</w:t>
            </w:r>
            <w:r>
              <w:rPr>
                <w:rFonts w:cs="Arial"/>
                <w:sz w:val="18"/>
                <w:szCs w:val="18"/>
              </w:rPr>
              <w:t>%</w:t>
            </w:r>
          </w:p>
        </w:tc>
        <w:tc>
          <w:tcPr>
            <w:tcW w:w="39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1,64</w:t>
            </w:r>
            <w:r>
              <w:rPr>
                <w:rFonts w:cs="Arial"/>
                <w:color w:val="000000"/>
                <w:sz w:val="18"/>
                <w:szCs w:val="18"/>
              </w:rPr>
              <w:t>%</w:t>
            </w:r>
          </w:p>
        </w:tc>
        <w:tc>
          <w:tcPr>
            <w:tcW w:w="438" w:type="pct"/>
            <w:tcBorders>
              <w:top w:val="single" w:sz="4" w:space="0" w:color="000000"/>
              <w:left w:val="single" w:sz="4" w:space="0" w:color="000000"/>
              <w:bottom w:val="single" w:sz="4" w:space="0" w:color="000000"/>
              <w:right w:val="single" w:sz="4" w:space="0" w:color="auto"/>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91,11%</w:t>
            </w:r>
          </w:p>
        </w:tc>
        <w:tc>
          <w:tcPr>
            <w:tcW w:w="3059" w:type="pct"/>
            <w:vMerge/>
            <w:tcBorders>
              <w:left w:val="single" w:sz="4" w:space="0" w:color="auto"/>
              <w:right w:val="single" w:sz="4" w:space="0" w:color="auto"/>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p>
        </w:tc>
      </w:tr>
      <w:tr w:rsidR="00475419" w:rsidRPr="00535E30" w:rsidTr="005678E7">
        <w:trPr>
          <w:trHeight w:val="57"/>
          <w:jc w:val="center"/>
        </w:trPr>
        <w:tc>
          <w:tcPr>
            <w:tcW w:w="67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Planta docente (Transitorio Tiempo Completo)</w:t>
            </w:r>
          </w:p>
        </w:tc>
        <w:tc>
          <w:tcPr>
            <w:tcW w:w="439"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10,83</w:t>
            </w:r>
            <w:r>
              <w:rPr>
                <w:rFonts w:cs="Arial"/>
                <w:sz w:val="18"/>
                <w:szCs w:val="18"/>
              </w:rPr>
              <w:t>%</w:t>
            </w:r>
          </w:p>
        </w:tc>
        <w:tc>
          <w:tcPr>
            <w:tcW w:w="39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10,25</w:t>
            </w:r>
            <w:r>
              <w:rPr>
                <w:rFonts w:cs="Arial"/>
                <w:color w:val="000000"/>
                <w:sz w:val="18"/>
                <w:szCs w:val="18"/>
              </w:rPr>
              <w:t>%</w:t>
            </w:r>
          </w:p>
        </w:tc>
        <w:tc>
          <w:tcPr>
            <w:tcW w:w="438" w:type="pct"/>
            <w:tcBorders>
              <w:top w:val="single" w:sz="4" w:space="0" w:color="000000"/>
              <w:left w:val="single" w:sz="4" w:space="0" w:color="000000"/>
              <w:bottom w:val="single" w:sz="4" w:space="0" w:color="000000"/>
              <w:right w:val="single" w:sz="4" w:space="0" w:color="auto"/>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94,64%</w:t>
            </w:r>
          </w:p>
        </w:tc>
        <w:tc>
          <w:tcPr>
            <w:tcW w:w="3059" w:type="pct"/>
            <w:vMerge/>
            <w:tcBorders>
              <w:left w:val="single" w:sz="4" w:space="0" w:color="auto"/>
              <w:right w:val="single" w:sz="4" w:space="0" w:color="auto"/>
            </w:tcBorders>
            <w:vAlign w:val="center"/>
          </w:tcPr>
          <w:p w:rsidR="00475419" w:rsidRPr="00535E30" w:rsidRDefault="00475419" w:rsidP="005678E7">
            <w:pPr>
              <w:rPr>
                <w:rFonts w:cs="Arial"/>
                <w:sz w:val="18"/>
                <w:szCs w:val="18"/>
              </w:rPr>
            </w:pPr>
          </w:p>
        </w:tc>
      </w:tr>
      <w:tr w:rsidR="00475419" w:rsidRPr="00535E30" w:rsidTr="005678E7">
        <w:trPr>
          <w:trHeight w:val="57"/>
          <w:jc w:val="center"/>
        </w:trPr>
        <w:tc>
          <w:tcPr>
            <w:tcW w:w="67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Planta docente (Transitorio Medio Tiempo)</w:t>
            </w:r>
          </w:p>
        </w:tc>
        <w:tc>
          <w:tcPr>
            <w:tcW w:w="439"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7,00</w:t>
            </w:r>
            <w:r>
              <w:rPr>
                <w:rFonts w:cs="Arial"/>
                <w:sz w:val="18"/>
                <w:szCs w:val="18"/>
              </w:rPr>
              <w:t>%</w:t>
            </w:r>
          </w:p>
        </w:tc>
        <w:tc>
          <w:tcPr>
            <w:tcW w:w="39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6,64</w:t>
            </w:r>
            <w:r>
              <w:rPr>
                <w:rFonts w:cs="Arial"/>
                <w:color w:val="000000"/>
                <w:sz w:val="18"/>
                <w:szCs w:val="18"/>
              </w:rPr>
              <w:t>%</w:t>
            </w:r>
          </w:p>
        </w:tc>
        <w:tc>
          <w:tcPr>
            <w:tcW w:w="438" w:type="pct"/>
            <w:tcBorders>
              <w:top w:val="single" w:sz="4" w:space="0" w:color="000000"/>
              <w:left w:val="single" w:sz="4" w:space="0" w:color="000000"/>
              <w:bottom w:val="single" w:sz="4" w:space="0" w:color="000000"/>
              <w:right w:val="single" w:sz="4" w:space="0" w:color="auto"/>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94,86%</w:t>
            </w:r>
          </w:p>
        </w:tc>
        <w:tc>
          <w:tcPr>
            <w:tcW w:w="3059" w:type="pct"/>
            <w:vMerge/>
            <w:tcBorders>
              <w:left w:val="single" w:sz="4" w:space="0" w:color="auto"/>
              <w:right w:val="single" w:sz="4" w:space="0" w:color="auto"/>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p>
        </w:tc>
      </w:tr>
      <w:tr w:rsidR="00475419" w:rsidRPr="00535E30" w:rsidTr="005678E7">
        <w:trPr>
          <w:trHeight w:val="57"/>
          <w:jc w:val="center"/>
        </w:trPr>
        <w:tc>
          <w:tcPr>
            <w:tcW w:w="67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Planta docente (Catedrático)</w:t>
            </w:r>
          </w:p>
        </w:tc>
        <w:tc>
          <w:tcPr>
            <w:tcW w:w="439"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57,00</w:t>
            </w:r>
            <w:r>
              <w:rPr>
                <w:rFonts w:cs="Arial"/>
                <w:sz w:val="18"/>
                <w:szCs w:val="18"/>
              </w:rPr>
              <w:t>%</w:t>
            </w:r>
          </w:p>
        </w:tc>
        <w:tc>
          <w:tcPr>
            <w:tcW w:w="39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58,33</w:t>
            </w:r>
            <w:r>
              <w:rPr>
                <w:rFonts w:cs="Arial"/>
                <w:color w:val="000000"/>
                <w:sz w:val="18"/>
                <w:szCs w:val="18"/>
              </w:rPr>
              <w:t>%</w:t>
            </w:r>
          </w:p>
        </w:tc>
        <w:tc>
          <w:tcPr>
            <w:tcW w:w="438" w:type="pct"/>
            <w:tcBorders>
              <w:top w:val="single" w:sz="4" w:space="0" w:color="000000"/>
              <w:left w:val="single" w:sz="4" w:space="0" w:color="000000"/>
              <w:bottom w:val="single" w:sz="4" w:space="0" w:color="000000"/>
              <w:right w:val="single" w:sz="4" w:space="0" w:color="auto"/>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100,00%</w:t>
            </w:r>
          </w:p>
        </w:tc>
        <w:tc>
          <w:tcPr>
            <w:tcW w:w="3059" w:type="pct"/>
            <w:vMerge/>
            <w:tcBorders>
              <w:left w:val="single" w:sz="4" w:space="0" w:color="auto"/>
              <w:bottom w:val="single" w:sz="4" w:space="0" w:color="auto"/>
              <w:right w:val="single" w:sz="4" w:space="0" w:color="auto"/>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p>
        </w:tc>
      </w:tr>
      <w:tr w:rsidR="00475419" w:rsidRPr="00535E30" w:rsidTr="005678E7">
        <w:trPr>
          <w:trHeight w:val="57"/>
          <w:jc w:val="center"/>
        </w:trPr>
        <w:tc>
          <w:tcPr>
            <w:tcW w:w="67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Inversión (Estudiantes por equipo de cómputo)</w:t>
            </w:r>
          </w:p>
        </w:tc>
        <w:tc>
          <w:tcPr>
            <w:tcW w:w="439"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13</w:t>
            </w:r>
          </w:p>
        </w:tc>
        <w:tc>
          <w:tcPr>
            <w:tcW w:w="39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12,41</w:t>
            </w:r>
          </w:p>
        </w:tc>
        <w:tc>
          <w:tcPr>
            <w:tcW w:w="438" w:type="pct"/>
            <w:tcBorders>
              <w:top w:val="single" w:sz="4" w:space="0" w:color="000000"/>
              <w:left w:val="single" w:sz="4" w:space="0" w:color="000000"/>
              <w:bottom w:val="single" w:sz="4" w:space="0" w:color="000000"/>
              <w:right w:val="single" w:sz="4" w:space="0" w:color="auto"/>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95,46%</w:t>
            </w:r>
          </w:p>
        </w:tc>
        <w:tc>
          <w:tcPr>
            <w:tcW w:w="3059" w:type="pct"/>
            <w:tcBorders>
              <w:top w:val="single" w:sz="4" w:space="0" w:color="auto"/>
              <w:left w:val="single" w:sz="4" w:space="0" w:color="auto"/>
              <w:bottom w:val="single" w:sz="4" w:space="0" w:color="auto"/>
              <w:right w:val="single" w:sz="4" w:space="0" w:color="auto"/>
            </w:tcBorders>
            <w:shd w:val="clear" w:color="auto" w:fill="auto"/>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Para el presente período, se da cumplimiento en un 95.46% a la meta de 13 estudiantes por equipo de cómputo, éste valor se obtuvo mediante la relación entre 1.186 equipos disponibles en la actualidad en el campus para uso de estudiantes y 14.722 estudiantes matriculados para cursar primer semestre del año 2012; en la actualidad se tienen 12.41 estudiantes por equipo de cómputo.</w:t>
            </w:r>
          </w:p>
          <w:p w:rsidR="00475419" w:rsidRPr="00535E30" w:rsidRDefault="00475419" w:rsidP="005678E7">
            <w:pPr>
              <w:pStyle w:val="Sinespaciado"/>
              <w:spacing w:line="276" w:lineRule="auto"/>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Las estrategias en éste sentido están orientadas hacia el desarrollo de investigaciones que permitan definir los límites de crecimiento de la institución y </w:t>
            </w:r>
            <w:r w:rsidRPr="00535E30">
              <w:rPr>
                <w:rFonts w:asciiTheme="minorHAnsi" w:hAnsiTheme="minorHAnsi" w:cs="Arial"/>
                <w:sz w:val="18"/>
                <w:szCs w:val="18"/>
              </w:rPr>
              <w:lastRenderedPageBreak/>
              <w:t>las necesidades existentes en cuanto a personal docente, e infraestructura.</w:t>
            </w:r>
          </w:p>
        </w:tc>
      </w:tr>
      <w:tr w:rsidR="00475419" w:rsidRPr="00535E30" w:rsidTr="005678E7">
        <w:trPr>
          <w:trHeight w:val="57"/>
          <w:jc w:val="center"/>
        </w:trPr>
        <w:tc>
          <w:tcPr>
            <w:tcW w:w="67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lastRenderedPageBreak/>
              <w:t>Inversión (Estudiantes por profesor en docencia directa)</w:t>
            </w:r>
          </w:p>
        </w:tc>
        <w:tc>
          <w:tcPr>
            <w:tcW w:w="439"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28</w:t>
            </w:r>
          </w:p>
        </w:tc>
        <w:tc>
          <w:tcPr>
            <w:tcW w:w="39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Pr>
                <w:rFonts w:cs="Arial"/>
                <w:color w:val="000000"/>
                <w:sz w:val="18"/>
                <w:szCs w:val="18"/>
              </w:rPr>
              <w:t>28</w:t>
            </w:r>
            <w:r w:rsidRPr="00535E30">
              <w:rPr>
                <w:rFonts w:cs="Arial"/>
                <w:color w:val="000000"/>
                <w:sz w:val="18"/>
                <w:szCs w:val="18"/>
              </w:rPr>
              <w:t>,</w:t>
            </w:r>
            <w:r>
              <w:rPr>
                <w:rFonts w:cs="Arial"/>
                <w:color w:val="000000"/>
                <w:sz w:val="18"/>
                <w:szCs w:val="18"/>
              </w:rPr>
              <w:t>03</w:t>
            </w:r>
          </w:p>
        </w:tc>
        <w:tc>
          <w:tcPr>
            <w:tcW w:w="438" w:type="pct"/>
            <w:tcBorders>
              <w:top w:val="single" w:sz="4" w:space="0" w:color="000000"/>
              <w:left w:val="single" w:sz="4" w:space="0" w:color="000000"/>
              <w:bottom w:val="single" w:sz="4" w:space="0" w:color="000000"/>
              <w:right w:val="single" w:sz="4" w:space="0" w:color="auto"/>
            </w:tcBorders>
            <w:shd w:val="clear" w:color="auto" w:fill="auto"/>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100,00%</w:t>
            </w:r>
          </w:p>
        </w:tc>
        <w:tc>
          <w:tcPr>
            <w:tcW w:w="3059" w:type="pct"/>
            <w:tcBorders>
              <w:top w:val="single" w:sz="4" w:space="0" w:color="auto"/>
              <w:left w:val="single" w:sz="4" w:space="0" w:color="auto"/>
              <w:bottom w:val="single" w:sz="4" w:space="0" w:color="auto"/>
              <w:right w:val="single" w:sz="4" w:space="0" w:color="auto"/>
            </w:tcBorders>
            <w:shd w:val="clear" w:color="auto" w:fill="auto"/>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2A4B5F">
              <w:rPr>
                <w:rFonts w:asciiTheme="minorHAnsi" w:hAnsiTheme="minorHAnsi" w:cs="Arial"/>
                <w:sz w:val="18"/>
                <w:szCs w:val="18"/>
              </w:rPr>
              <w:t>Se tiene a la fecha un total de 28.03 estudiantes por docente equivalente tiempo completo, valor que representa un nivel de cumplimiento del 100.11% de la meta propuesta para la presente vigencia; éste valor se explica en la relación de 533.7 docentes en docencia directa, y 14</w:t>
            </w:r>
            <w:r>
              <w:rPr>
                <w:rFonts w:asciiTheme="minorHAnsi" w:hAnsiTheme="minorHAnsi" w:cs="Arial"/>
                <w:sz w:val="18"/>
                <w:szCs w:val="18"/>
              </w:rPr>
              <w:t>.</w:t>
            </w:r>
            <w:r w:rsidRPr="002A4B5F">
              <w:rPr>
                <w:rFonts w:asciiTheme="minorHAnsi" w:hAnsiTheme="minorHAnsi" w:cs="Arial"/>
                <w:sz w:val="18"/>
                <w:szCs w:val="18"/>
              </w:rPr>
              <w:t>959 estudiantes matriculados al segundo semestre de 2012 en el nivel de pregrado.</w:t>
            </w:r>
          </w:p>
        </w:tc>
      </w:tr>
    </w:tbl>
    <w:p w:rsidR="00475419" w:rsidRDefault="00475419" w:rsidP="00475419">
      <w:pPr>
        <w:rPr>
          <w:caps/>
        </w:rPr>
      </w:pPr>
      <w:bookmarkStart w:id="180" w:name="_Toc304826947"/>
      <w:bookmarkStart w:id="181" w:name="_Toc347392853"/>
    </w:p>
    <w:p w:rsidR="00475419" w:rsidRPr="00535E30" w:rsidRDefault="00475419" w:rsidP="00475419">
      <w:pPr>
        <w:pStyle w:val="Ttulo2"/>
        <w:spacing w:line="276" w:lineRule="auto"/>
      </w:pPr>
      <w:bookmarkStart w:id="182" w:name="_Toc350957788"/>
      <w:bookmarkStart w:id="183" w:name="_Toc354671381"/>
      <w:r w:rsidRPr="00535E30">
        <w:rPr>
          <w:caps w:val="0"/>
        </w:rPr>
        <w:t>COMPONENTES BIENESTAR INSTITUCIONAL</w:t>
      </w:r>
      <w:bookmarkEnd w:id="180"/>
      <w:bookmarkEnd w:id="181"/>
      <w:bookmarkEnd w:id="182"/>
      <w:bookmarkEnd w:id="183"/>
    </w:p>
    <w:p w:rsidR="00475419" w:rsidRPr="00535E30" w:rsidRDefault="00475419" w:rsidP="00475419">
      <w:pPr>
        <w:spacing w:after="0"/>
        <w:rPr>
          <w:rFonts w:cs="Arial"/>
          <w:b/>
        </w:rPr>
      </w:pPr>
    </w:p>
    <w:p w:rsidR="00475419" w:rsidRPr="00535E30" w:rsidRDefault="00475419" w:rsidP="00475419">
      <w:pPr>
        <w:pStyle w:val="Sinespaciado"/>
        <w:numPr>
          <w:ilvl w:val="0"/>
          <w:numId w:val="12"/>
        </w:numPr>
        <w:spacing w:line="276" w:lineRule="auto"/>
        <w:ind w:left="426" w:hanging="284"/>
        <w:rPr>
          <w:rFonts w:asciiTheme="minorHAnsi" w:hAnsiTheme="minorHAnsi" w:cs="Arial"/>
          <w:b/>
        </w:rPr>
      </w:pPr>
      <w:r w:rsidRPr="00535E30">
        <w:rPr>
          <w:rFonts w:asciiTheme="minorHAnsi" w:hAnsiTheme="minorHAnsi" w:cs="Arial"/>
          <w:b/>
        </w:rPr>
        <w:t>Formación integral</w:t>
      </w:r>
    </w:p>
    <w:p w:rsidR="00475419" w:rsidRPr="00535E30" w:rsidRDefault="00475419" w:rsidP="00475419">
      <w:pPr>
        <w:pStyle w:val="Sinespaciado"/>
        <w:spacing w:line="276" w:lineRule="auto"/>
        <w:rPr>
          <w:rFonts w:asciiTheme="minorHAnsi" w:hAnsiTheme="minorHAnsi" w:cs="Arial"/>
          <w:b/>
        </w:rPr>
      </w:pPr>
    </w:p>
    <w:tbl>
      <w:tblPr>
        <w:tblW w:w="5876" w:type="pct"/>
        <w:jc w:val="center"/>
        <w:tblCellMar>
          <w:left w:w="0" w:type="dxa"/>
          <w:right w:w="0" w:type="dxa"/>
        </w:tblCellMar>
        <w:tblLook w:val="04A0" w:firstRow="1" w:lastRow="0" w:firstColumn="1" w:lastColumn="0" w:noHBand="0" w:noVBand="1"/>
      </w:tblPr>
      <w:tblGrid>
        <w:gridCol w:w="1353"/>
        <w:gridCol w:w="885"/>
        <w:gridCol w:w="1180"/>
        <w:gridCol w:w="885"/>
        <w:gridCol w:w="6107"/>
      </w:tblGrid>
      <w:tr w:rsidR="00475419" w:rsidRPr="00535E30" w:rsidTr="005678E7">
        <w:trPr>
          <w:trHeight w:val="57"/>
          <w:tblHeader/>
          <w:jc w:val="center"/>
        </w:trPr>
        <w:tc>
          <w:tcPr>
            <w:tcW w:w="650"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425"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567"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425"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2933"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57"/>
          <w:jc w:val="center"/>
        </w:trPr>
        <w:tc>
          <w:tcPr>
            <w:tcW w:w="65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rPr>
                <w:rFonts w:cs="Arial"/>
                <w:sz w:val="18"/>
                <w:szCs w:val="18"/>
              </w:rPr>
            </w:pPr>
            <w:r w:rsidRPr="00535E30">
              <w:rPr>
                <w:rFonts w:cs="Arial"/>
                <w:sz w:val="18"/>
                <w:szCs w:val="18"/>
              </w:rPr>
              <w:t>Porcentaje de la comunidad universitaria que participa en eventos, acciones de gestión social en la formación integral</w:t>
            </w:r>
          </w:p>
        </w:tc>
        <w:tc>
          <w:tcPr>
            <w:tcW w:w="425"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65,00</w:t>
            </w:r>
          </w:p>
        </w:tc>
        <w:tc>
          <w:tcPr>
            <w:tcW w:w="56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144,18</w:t>
            </w:r>
          </w:p>
        </w:tc>
        <w:tc>
          <w:tcPr>
            <w:tcW w:w="425"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jc w:val="center"/>
              <w:rPr>
                <w:rFonts w:cs="Arial"/>
                <w:sz w:val="18"/>
                <w:szCs w:val="18"/>
              </w:rPr>
            </w:pPr>
            <w:r w:rsidRPr="00535E30">
              <w:rPr>
                <w:rFonts w:cs="Arial"/>
                <w:sz w:val="18"/>
                <w:szCs w:val="18"/>
              </w:rPr>
              <w:t>100,00%</w:t>
            </w:r>
          </w:p>
        </w:tc>
        <w:tc>
          <w:tcPr>
            <w:tcW w:w="2933"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El componente de Formación integral reporta un avance final para el periodo 2012 de 75.650 participaciones, entre sus planes operativos formación para el desarrollo humano con 12.879, formación deportiva y uso del tiempo libre 59.821, formación artística y cultural 2.206 y formación en responsabilidad social 4.500, y un acumulado final de 19.987 participantes que corresponde a 144,18%.</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Nota: El porcentaje del indicador que supera el 100% se debe a que la base de la comunidad universitaria corresponde a 13.862 estudiantes, administrativos y docentes, y no se tiene en cuenta externos y jornadas especiales. Sin embargo, para la prestación del servicio se ofrece a todas las personas que solicitan el servicio, por ejemplo: Egresados, Jornadas Especiales, contratistas y comunidad externa.</w:t>
            </w:r>
          </w:p>
        </w:tc>
      </w:tr>
    </w:tbl>
    <w:p w:rsidR="00475419" w:rsidRPr="00535E30" w:rsidRDefault="00475419" w:rsidP="00475419">
      <w:pPr>
        <w:pStyle w:val="Sinespaciado"/>
        <w:spacing w:line="276" w:lineRule="auto"/>
        <w:rPr>
          <w:rFonts w:asciiTheme="minorHAnsi" w:hAnsiTheme="minorHAnsi" w:cs="Arial"/>
          <w:b/>
        </w:rPr>
      </w:pPr>
    </w:p>
    <w:p w:rsidR="00475419" w:rsidRPr="00535E30" w:rsidRDefault="00475419" w:rsidP="00475419">
      <w:pPr>
        <w:pStyle w:val="Sinespaciado"/>
        <w:numPr>
          <w:ilvl w:val="0"/>
          <w:numId w:val="12"/>
        </w:numPr>
        <w:spacing w:line="276" w:lineRule="auto"/>
        <w:ind w:left="284" w:hanging="284"/>
        <w:rPr>
          <w:rFonts w:asciiTheme="minorHAnsi" w:hAnsiTheme="minorHAnsi" w:cs="Arial"/>
          <w:b/>
        </w:rPr>
      </w:pPr>
      <w:r w:rsidRPr="00535E30">
        <w:rPr>
          <w:rFonts w:asciiTheme="minorHAnsi" w:hAnsiTheme="minorHAnsi" w:cs="Arial"/>
          <w:b/>
        </w:rPr>
        <w:t>Atención integral y cultura democrática, participativa e incluyente</w:t>
      </w:r>
    </w:p>
    <w:p w:rsidR="00475419" w:rsidRPr="00535E30" w:rsidRDefault="00475419" w:rsidP="00475419">
      <w:pPr>
        <w:pStyle w:val="Sinespaciado"/>
        <w:spacing w:line="276" w:lineRule="auto"/>
        <w:rPr>
          <w:rFonts w:asciiTheme="minorHAnsi" w:hAnsiTheme="minorHAnsi" w:cs="Arial"/>
          <w:b/>
        </w:rPr>
      </w:pPr>
    </w:p>
    <w:tbl>
      <w:tblPr>
        <w:tblW w:w="5821" w:type="pct"/>
        <w:jc w:val="center"/>
        <w:tblCellMar>
          <w:left w:w="0" w:type="dxa"/>
          <w:right w:w="0" w:type="dxa"/>
        </w:tblCellMar>
        <w:tblLook w:val="04A0" w:firstRow="1" w:lastRow="0" w:firstColumn="1" w:lastColumn="0" w:noHBand="0" w:noVBand="1"/>
      </w:tblPr>
      <w:tblGrid>
        <w:gridCol w:w="3708"/>
        <w:gridCol w:w="984"/>
        <w:gridCol w:w="998"/>
        <w:gridCol w:w="860"/>
        <w:gridCol w:w="3762"/>
      </w:tblGrid>
      <w:tr w:rsidR="00475419" w:rsidRPr="00535E30" w:rsidTr="005678E7">
        <w:trPr>
          <w:trHeight w:val="57"/>
          <w:tblHeader/>
          <w:jc w:val="center"/>
        </w:trPr>
        <w:tc>
          <w:tcPr>
            <w:tcW w:w="1798"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477"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484"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417"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1824"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57"/>
          <w:jc w:val="center"/>
        </w:trPr>
        <w:tc>
          <w:tcPr>
            <w:tcW w:w="1798"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Porcentaje  de estudiantes en situación de vulnerabilidad que son atendidos por el área de Atención Integral e inclusión</w:t>
            </w:r>
          </w:p>
        </w:tc>
        <w:tc>
          <w:tcPr>
            <w:tcW w:w="47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70,00</w:t>
            </w:r>
            <w:r>
              <w:rPr>
                <w:rFonts w:cs="Arial"/>
                <w:sz w:val="18"/>
                <w:szCs w:val="18"/>
              </w:rPr>
              <w:t>%</w:t>
            </w:r>
          </w:p>
        </w:tc>
        <w:tc>
          <w:tcPr>
            <w:tcW w:w="48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88,00</w:t>
            </w:r>
            <w:r>
              <w:rPr>
                <w:rFonts w:cs="Arial"/>
                <w:color w:val="000000"/>
                <w:sz w:val="18"/>
                <w:szCs w:val="18"/>
              </w:rPr>
              <w:t>%</w:t>
            </w:r>
          </w:p>
        </w:tc>
        <w:tc>
          <w:tcPr>
            <w:tcW w:w="417"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jc w:val="center"/>
              <w:rPr>
                <w:rFonts w:cs="Arial"/>
                <w:sz w:val="18"/>
                <w:szCs w:val="18"/>
              </w:rPr>
            </w:pPr>
            <w:r w:rsidRPr="00535E30">
              <w:rPr>
                <w:rFonts w:cs="Arial"/>
                <w:sz w:val="18"/>
                <w:szCs w:val="18"/>
              </w:rPr>
              <w:t>100,00%</w:t>
            </w:r>
          </w:p>
        </w:tc>
        <w:tc>
          <w:tcPr>
            <w:tcW w:w="1824" w:type="pct"/>
            <w:tcBorders>
              <w:top w:val="single" w:sz="4" w:space="0" w:color="000000"/>
              <w:left w:val="single" w:sz="4" w:space="0" w:color="000000"/>
              <w:bottom w:val="single" w:sz="4" w:space="0" w:color="auto"/>
              <w:right w:val="single" w:sz="4" w:space="0" w:color="000000"/>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El Indicador “Porcentaje de estudiantes en situación de vulnerabilidad que son atendidos”  reporta un 88% y el indicador de retención de estudiantes que reciben beneficios reporta un avance final durante el periodo 2012.  </w:t>
            </w:r>
          </w:p>
        </w:tc>
      </w:tr>
      <w:tr w:rsidR="00475419" w:rsidRPr="00535E30" w:rsidTr="005678E7">
        <w:trPr>
          <w:trHeight w:val="57"/>
          <w:jc w:val="center"/>
        </w:trPr>
        <w:tc>
          <w:tcPr>
            <w:tcW w:w="1798"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Porcentaje de la población universitaria vinculada en proyectos de servicio social y voluntariado</w:t>
            </w:r>
          </w:p>
        </w:tc>
        <w:tc>
          <w:tcPr>
            <w:tcW w:w="47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70,00</w:t>
            </w:r>
            <w:r>
              <w:rPr>
                <w:rFonts w:cs="Arial"/>
                <w:sz w:val="18"/>
                <w:szCs w:val="18"/>
              </w:rPr>
              <w:t>%</w:t>
            </w:r>
          </w:p>
        </w:tc>
        <w:tc>
          <w:tcPr>
            <w:tcW w:w="48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82,28</w:t>
            </w:r>
            <w:r>
              <w:rPr>
                <w:rFonts w:cs="Arial"/>
                <w:color w:val="000000"/>
                <w:sz w:val="18"/>
                <w:szCs w:val="18"/>
              </w:rPr>
              <w:t>%</w:t>
            </w:r>
          </w:p>
        </w:tc>
        <w:tc>
          <w:tcPr>
            <w:tcW w:w="417" w:type="pct"/>
            <w:tcBorders>
              <w:top w:val="single" w:sz="4" w:space="0" w:color="auto"/>
              <w:left w:val="single" w:sz="4" w:space="0" w:color="000000"/>
              <w:bottom w:val="single" w:sz="4" w:space="0" w:color="000000"/>
              <w:right w:val="single" w:sz="4" w:space="0" w:color="000000"/>
            </w:tcBorders>
            <w:vAlign w:val="center"/>
          </w:tcPr>
          <w:p w:rsidR="00475419" w:rsidRPr="00535E30" w:rsidRDefault="00475419" w:rsidP="005678E7">
            <w:pPr>
              <w:jc w:val="center"/>
              <w:rPr>
                <w:rFonts w:cs="Arial"/>
                <w:sz w:val="18"/>
                <w:szCs w:val="18"/>
              </w:rPr>
            </w:pPr>
            <w:r w:rsidRPr="00535E30">
              <w:rPr>
                <w:rFonts w:cs="Arial"/>
                <w:sz w:val="18"/>
                <w:szCs w:val="18"/>
              </w:rPr>
              <w:t>100,00%</w:t>
            </w:r>
          </w:p>
        </w:tc>
        <w:tc>
          <w:tcPr>
            <w:tcW w:w="1824" w:type="pct"/>
            <w:tcBorders>
              <w:top w:val="single" w:sz="4" w:space="0" w:color="auto"/>
              <w:left w:val="single" w:sz="4" w:space="0" w:color="000000"/>
              <w:bottom w:val="single" w:sz="4" w:space="0" w:color="auto"/>
              <w:right w:val="single" w:sz="4" w:space="0" w:color="000000"/>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El plan operativo de servicio social presenta un avance a corte 31 de diciembre del 82,28% correspondiente a 896 estudiantes atendidos y que prestaron servicio social.</w:t>
            </w:r>
          </w:p>
        </w:tc>
      </w:tr>
      <w:tr w:rsidR="00475419" w:rsidRPr="00535E30" w:rsidTr="005678E7">
        <w:trPr>
          <w:trHeight w:val="580"/>
          <w:jc w:val="center"/>
        </w:trPr>
        <w:tc>
          <w:tcPr>
            <w:tcW w:w="1798"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Retención de estudiantes que reciben beneficios</w:t>
            </w:r>
          </w:p>
        </w:tc>
        <w:tc>
          <w:tcPr>
            <w:tcW w:w="47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92,00</w:t>
            </w:r>
            <w:r>
              <w:rPr>
                <w:rFonts w:cs="Arial"/>
                <w:sz w:val="18"/>
                <w:szCs w:val="18"/>
              </w:rPr>
              <w:t>%</w:t>
            </w:r>
          </w:p>
        </w:tc>
        <w:tc>
          <w:tcPr>
            <w:tcW w:w="48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87,00</w:t>
            </w:r>
            <w:r>
              <w:rPr>
                <w:rFonts w:cs="Arial"/>
                <w:color w:val="000000"/>
                <w:sz w:val="18"/>
                <w:szCs w:val="18"/>
              </w:rPr>
              <w:t>%</w:t>
            </w:r>
          </w:p>
        </w:tc>
        <w:tc>
          <w:tcPr>
            <w:tcW w:w="417" w:type="pct"/>
            <w:tcBorders>
              <w:top w:val="single" w:sz="4" w:space="0" w:color="auto"/>
              <w:left w:val="single" w:sz="4" w:space="0" w:color="000000"/>
              <w:bottom w:val="single" w:sz="4" w:space="0" w:color="000000"/>
              <w:right w:val="single" w:sz="4" w:space="0" w:color="000000"/>
            </w:tcBorders>
            <w:vAlign w:val="center"/>
          </w:tcPr>
          <w:p w:rsidR="00475419" w:rsidRPr="00535E30" w:rsidRDefault="00475419" w:rsidP="005678E7">
            <w:pPr>
              <w:jc w:val="center"/>
              <w:rPr>
                <w:rFonts w:cs="Arial"/>
                <w:sz w:val="18"/>
                <w:szCs w:val="18"/>
              </w:rPr>
            </w:pPr>
            <w:r w:rsidRPr="00535E30">
              <w:rPr>
                <w:rFonts w:cs="Arial"/>
                <w:sz w:val="18"/>
                <w:szCs w:val="18"/>
              </w:rPr>
              <w:t>94,57%</w:t>
            </w:r>
          </w:p>
        </w:tc>
        <w:tc>
          <w:tcPr>
            <w:tcW w:w="1824" w:type="pct"/>
            <w:tcBorders>
              <w:top w:val="single" w:sz="4" w:space="0" w:color="auto"/>
              <w:left w:val="single" w:sz="4" w:space="0" w:color="000000"/>
              <w:bottom w:val="single" w:sz="4" w:space="0" w:color="000000"/>
              <w:right w:val="single" w:sz="4" w:space="0" w:color="000000"/>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Del 87%, De 1089 estudiante que recibieron beneficios, sobre 953 estudiantes se matricularon en semestre 2013-1.   </w:t>
            </w:r>
          </w:p>
        </w:tc>
      </w:tr>
    </w:tbl>
    <w:p w:rsidR="00475419" w:rsidRDefault="00475419" w:rsidP="00475419">
      <w:pPr>
        <w:pStyle w:val="Sinespaciado"/>
        <w:spacing w:line="276" w:lineRule="auto"/>
        <w:rPr>
          <w:rFonts w:asciiTheme="minorHAnsi" w:hAnsiTheme="minorHAnsi" w:cs="Arial"/>
          <w:b/>
        </w:rPr>
      </w:pPr>
    </w:p>
    <w:p w:rsidR="00475419" w:rsidRPr="00535E30" w:rsidRDefault="00475419" w:rsidP="00475419">
      <w:pPr>
        <w:pStyle w:val="Sinespaciado"/>
        <w:spacing w:line="276" w:lineRule="auto"/>
        <w:rPr>
          <w:rFonts w:asciiTheme="minorHAnsi" w:hAnsiTheme="minorHAnsi" w:cs="Arial"/>
          <w:b/>
        </w:rPr>
      </w:pPr>
    </w:p>
    <w:p w:rsidR="00475419" w:rsidRPr="00535E30" w:rsidRDefault="00475419" w:rsidP="00475419">
      <w:pPr>
        <w:pStyle w:val="Sinespaciado"/>
        <w:numPr>
          <w:ilvl w:val="0"/>
          <w:numId w:val="12"/>
        </w:numPr>
        <w:spacing w:line="276" w:lineRule="auto"/>
        <w:ind w:left="284" w:hanging="284"/>
        <w:rPr>
          <w:rFonts w:asciiTheme="minorHAnsi" w:hAnsiTheme="minorHAnsi" w:cs="Arial"/>
          <w:b/>
        </w:rPr>
      </w:pPr>
      <w:r w:rsidRPr="00535E30">
        <w:rPr>
          <w:rFonts w:asciiTheme="minorHAnsi" w:hAnsiTheme="minorHAnsi" w:cs="Arial"/>
          <w:b/>
        </w:rPr>
        <w:t>Salud integral</w:t>
      </w:r>
    </w:p>
    <w:p w:rsidR="00475419" w:rsidRPr="00535E30" w:rsidRDefault="00475419" w:rsidP="00475419">
      <w:pPr>
        <w:pStyle w:val="Sinespaciado"/>
        <w:spacing w:line="276" w:lineRule="auto"/>
        <w:rPr>
          <w:rFonts w:asciiTheme="minorHAnsi" w:hAnsiTheme="minorHAnsi" w:cs="Arial"/>
          <w:b/>
        </w:rPr>
      </w:pPr>
    </w:p>
    <w:tbl>
      <w:tblPr>
        <w:tblW w:w="5817" w:type="pct"/>
        <w:jc w:val="center"/>
        <w:tblCellMar>
          <w:left w:w="0" w:type="dxa"/>
          <w:right w:w="0" w:type="dxa"/>
        </w:tblCellMar>
        <w:tblLook w:val="04A0" w:firstRow="1" w:lastRow="0" w:firstColumn="1" w:lastColumn="0" w:noHBand="0" w:noVBand="1"/>
      </w:tblPr>
      <w:tblGrid>
        <w:gridCol w:w="1354"/>
        <w:gridCol w:w="983"/>
        <w:gridCol w:w="998"/>
        <w:gridCol w:w="861"/>
        <w:gridCol w:w="6109"/>
      </w:tblGrid>
      <w:tr w:rsidR="00475419" w:rsidRPr="00535E30" w:rsidTr="005678E7">
        <w:trPr>
          <w:trHeight w:val="57"/>
          <w:tblHeader/>
          <w:jc w:val="center"/>
        </w:trPr>
        <w:tc>
          <w:tcPr>
            <w:tcW w:w="657"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477"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484"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418"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2964"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57"/>
          <w:jc w:val="center"/>
        </w:trPr>
        <w:tc>
          <w:tcPr>
            <w:tcW w:w="65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Participaciones en acciones de promoción de la vida saludable y el enfoque de género</w:t>
            </w:r>
          </w:p>
        </w:tc>
        <w:tc>
          <w:tcPr>
            <w:tcW w:w="47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100,00</w:t>
            </w:r>
            <w:r>
              <w:rPr>
                <w:rFonts w:cs="Arial"/>
                <w:sz w:val="18"/>
                <w:szCs w:val="18"/>
              </w:rPr>
              <w:t>%</w:t>
            </w:r>
          </w:p>
        </w:tc>
        <w:tc>
          <w:tcPr>
            <w:tcW w:w="48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86,00</w:t>
            </w:r>
            <w:r>
              <w:rPr>
                <w:rFonts w:cs="Arial"/>
                <w:color w:val="000000"/>
                <w:sz w:val="18"/>
                <w:szCs w:val="18"/>
              </w:rPr>
              <w:t>%</w:t>
            </w:r>
          </w:p>
        </w:tc>
        <w:tc>
          <w:tcPr>
            <w:tcW w:w="418"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jc w:val="center"/>
              <w:rPr>
                <w:rFonts w:cs="Arial"/>
                <w:sz w:val="18"/>
                <w:szCs w:val="18"/>
              </w:rPr>
            </w:pPr>
            <w:r w:rsidRPr="00535E30">
              <w:rPr>
                <w:rFonts w:cs="Arial"/>
                <w:sz w:val="18"/>
                <w:szCs w:val="18"/>
              </w:rPr>
              <w:t>86,00%</w:t>
            </w:r>
          </w:p>
        </w:tc>
        <w:tc>
          <w:tcPr>
            <w:tcW w:w="2964"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El componente de salud integral presenta un avance en el último mes del 14,3% con 2.860 participaciones, para un avance acumulado del 86%, con 17.176 participaciones de 20.000 programadas para el 2012</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En el plan operativo de Apoyo Integral Incluyente se tuvo un cumplimiento final del 15.484 Participaciones. Sus tres indicadores tuvieron el siguiente cumplimiento: “Atención prioritaria” 5.385 participaciones, “Atención en promoción y prevención” 4.363 participaciones y “Actividades de Promoción y Prevención” 5.736 participaciones.</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En el Plan Operativo Entornos Universitarios Saludables se tuvo un cumplimiento final de 1.174 participaciones. Se continuó con el diseño de la política de Sustancias Psicoactivas en la Universidad, las convocatorias jóvenes para jóvenes y la participación en el proyecto Zonas de Orientación Universitaria.</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En el plan operativo enfoque de género se tuvo un cumplimiento final de 518 participaciones y se desarrollaron jornadas y talleres de no violencia contra la mujer, el evento sexo con café, puntos de información en salud sexual y reproductiva, celebración del día de la mujer.</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La actividad sexo con café la organizan diferentes instituciones que trabajan sobre la salud sexual, diversidad sexual, derechos sexuales y reproductivos como: PROFAMILIA, EJE DIVERSO, LA CASA DE LA MUJER Y LA FAMILIA, y algunas universidades como la UTP, la U. Libre y la U. Católica, quienes a través de una metodología académico, lúdica, cultural trabajan de una forma diferente alguna problemática concreta en salud sexual.</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Nota:</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En el plan operativo de actividades en promoción y prevención se planteó una meta para el periodo 2012 de 15.000 participaciones, se logró un avance durante todo el año de 5.736, esta situación se presentó porque no se recibió una respuesta a las convocatorias que se realizaron, por tal motivo las actividades presentaron una baja participación. Estas actividades en algunos casos fueron re-programadas pero en otros por el respeto a quienes respondían al llamado se realizaba dicha actividad.</w:t>
            </w:r>
          </w:p>
        </w:tc>
      </w:tr>
    </w:tbl>
    <w:p w:rsidR="00475419" w:rsidRPr="00535E30" w:rsidRDefault="00475419" w:rsidP="00475419">
      <w:pPr>
        <w:pStyle w:val="Sinespaciado"/>
        <w:spacing w:line="276" w:lineRule="auto"/>
        <w:jc w:val="center"/>
        <w:rPr>
          <w:rFonts w:asciiTheme="minorHAnsi" w:hAnsiTheme="minorHAnsi" w:cs="Arial"/>
          <w:b/>
        </w:rPr>
      </w:pPr>
    </w:p>
    <w:p w:rsidR="00475419" w:rsidRPr="00535E30" w:rsidRDefault="00475419" w:rsidP="00475419">
      <w:pPr>
        <w:pStyle w:val="Sinespaciado"/>
        <w:numPr>
          <w:ilvl w:val="0"/>
          <w:numId w:val="12"/>
        </w:numPr>
        <w:spacing w:line="276" w:lineRule="auto"/>
        <w:ind w:left="284" w:hanging="284"/>
        <w:rPr>
          <w:rFonts w:asciiTheme="minorHAnsi" w:hAnsiTheme="minorHAnsi" w:cs="Arial"/>
          <w:b/>
        </w:rPr>
      </w:pPr>
      <w:r w:rsidRPr="00535E30">
        <w:rPr>
          <w:rFonts w:asciiTheme="minorHAnsi" w:hAnsiTheme="minorHAnsi" w:cs="Arial"/>
          <w:b/>
        </w:rPr>
        <w:t>Observatorio social</w:t>
      </w:r>
    </w:p>
    <w:p w:rsidR="00475419" w:rsidRPr="00535E30" w:rsidRDefault="00475419" w:rsidP="00475419">
      <w:pPr>
        <w:pStyle w:val="Sinespaciado"/>
        <w:spacing w:line="276" w:lineRule="auto"/>
        <w:rPr>
          <w:rFonts w:asciiTheme="minorHAnsi" w:hAnsiTheme="minorHAnsi" w:cs="Arial"/>
          <w:b/>
        </w:rPr>
      </w:pPr>
    </w:p>
    <w:tbl>
      <w:tblPr>
        <w:tblW w:w="5817" w:type="pct"/>
        <w:jc w:val="center"/>
        <w:tblCellMar>
          <w:left w:w="0" w:type="dxa"/>
          <w:right w:w="0" w:type="dxa"/>
        </w:tblCellMar>
        <w:tblLook w:val="04A0" w:firstRow="1" w:lastRow="0" w:firstColumn="1" w:lastColumn="0" w:noHBand="0" w:noVBand="1"/>
      </w:tblPr>
      <w:tblGrid>
        <w:gridCol w:w="1354"/>
        <w:gridCol w:w="983"/>
        <w:gridCol w:w="998"/>
        <w:gridCol w:w="861"/>
        <w:gridCol w:w="6109"/>
      </w:tblGrid>
      <w:tr w:rsidR="00475419" w:rsidRPr="00535E30" w:rsidTr="005678E7">
        <w:trPr>
          <w:trHeight w:val="57"/>
          <w:tblHeader/>
          <w:jc w:val="center"/>
        </w:trPr>
        <w:tc>
          <w:tcPr>
            <w:tcW w:w="657"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477"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484"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418"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2964"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57"/>
          <w:jc w:val="center"/>
        </w:trPr>
        <w:tc>
          <w:tcPr>
            <w:tcW w:w="65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 xml:space="preserve">Pertinencia de la información para la toma de </w:t>
            </w:r>
            <w:r w:rsidRPr="00535E30">
              <w:rPr>
                <w:rFonts w:cs="Arial"/>
                <w:sz w:val="18"/>
                <w:szCs w:val="18"/>
              </w:rPr>
              <w:lastRenderedPageBreak/>
              <w:t>decisiones</w:t>
            </w:r>
          </w:p>
        </w:tc>
        <w:tc>
          <w:tcPr>
            <w:tcW w:w="47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lastRenderedPageBreak/>
              <w:t>50,00</w:t>
            </w:r>
            <w:r>
              <w:rPr>
                <w:rFonts w:cs="Arial"/>
                <w:sz w:val="18"/>
                <w:szCs w:val="18"/>
              </w:rPr>
              <w:t>%</w:t>
            </w:r>
          </w:p>
        </w:tc>
        <w:tc>
          <w:tcPr>
            <w:tcW w:w="48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60,00</w:t>
            </w:r>
            <w:r>
              <w:rPr>
                <w:rFonts w:cs="Arial"/>
                <w:color w:val="000000"/>
                <w:sz w:val="18"/>
                <w:szCs w:val="18"/>
              </w:rPr>
              <w:t>%</w:t>
            </w:r>
          </w:p>
        </w:tc>
        <w:tc>
          <w:tcPr>
            <w:tcW w:w="418" w:type="pct"/>
            <w:tcBorders>
              <w:top w:val="single" w:sz="4" w:space="0" w:color="auto"/>
              <w:left w:val="single" w:sz="4" w:space="0" w:color="000000"/>
              <w:bottom w:val="single" w:sz="4" w:space="0" w:color="000000"/>
              <w:right w:val="single" w:sz="4" w:space="0" w:color="000000"/>
            </w:tcBorders>
            <w:vAlign w:val="center"/>
          </w:tcPr>
          <w:p w:rsidR="00475419" w:rsidRPr="00535E30" w:rsidRDefault="00475419" w:rsidP="005678E7">
            <w:pPr>
              <w:jc w:val="center"/>
              <w:rPr>
                <w:rFonts w:cs="Arial"/>
                <w:sz w:val="18"/>
                <w:szCs w:val="18"/>
              </w:rPr>
            </w:pPr>
            <w:r w:rsidRPr="00535E30">
              <w:rPr>
                <w:rFonts w:cs="Arial"/>
                <w:sz w:val="18"/>
                <w:szCs w:val="18"/>
              </w:rPr>
              <w:t>100,00%</w:t>
            </w:r>
          </w:p>
        </w:tc>
        <w:tc>
          <w:tcPr>
            <w:tcW w:w="2964" w:type="pct"/>
            <w:tcBorders>
              <w:top w:val="single" w:sz="4" w:space="0" w:color="auto"/>
              <w:left w:val="single" w:sz="4" w:space="0" w:color="000000"/>
              <w:bottom w:val="single" w:sz="4" w:space="0" w:color="000000"/>
              <w:right w:val="single" w:sz="4" w:space="0" w:color="000000"/>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Para el mes de Diciembre de 2012, se tuvo un avance  del  20%, con los siguientes productos: Documento análisis, prueba a </w:t>
            </w:r>
            <w:proofErr w:type="spellStart"/>
            <w:r w:rsidRPr="00535E30">
              <w:rPr>
                <w:rFonts w:asciiTheme="minorHAnsi" w:hAnsiTheme="minorHAnsi" w:cs="Arial"/>
                <w:sz w:val="18"/>
                <w:szCs w:val="18"/>
              </w:rPr>
              <w:t>primíparos</w:t>
            </w:r>
            <w:proofErr w:type="spellEnd"/>
            <w:r w:rsidRPr="00535E30">
              <w:rPr>
                <w:rFonts w:asciiTheme="minorHAnsi" w:hAnsiTheme="minorHAnsi" w:cs="Arial"/>
                <w:sz w:val="18"/>
                <w:szCs w:val="18"/>
              </w:rPr>
              <w:t xml:space="preserve"> para el periodo 2013-1, y la </w:t>
            </w:r>
            <w:r w:rsidRPr="00535E30">
              <w:rPr>
                <w:rFonts w:asciiTheme="minorHAnsi" w:hAnsiTheme="minorHAnsi" w:cs="Arial"/>
                <w:sz w:val="18"/>
                <w:szCs w:val="18"/>
              </w:rPr>
              <w:lastRenderedPageBreak/>
              <w:t>consolidación de la base de datos de estudiantes identificados  o registrados por la Vicerrectoría. Para  un avance acumulado final del 60%, respecto a la meta planteada  para el 2012 del 50%.</w:t>
            </w:r>
          </w:p>
          <w:p w:rsidR="00475419" w:rsidRPr="00535E30" w:rsidRDefault="00475419" w:rsidP="005678E7">
            <w:pPr>
              <w:pStyle w:val="Sinespaciado"/>
              <w:spacing w:line="276" w:lineRule="auto"/>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El trabajo en equipo y la articulación de los esfuerzos y recursos tanto a nivel interno como externo permitió tener en menor tiempo la base de datos consolidada, la cual es un insumo importante para la toma de decisiones tanto en las diferentes áreas de la Vicerrectoría como en otras dependencias de la institución.</w:t>
            </w:r>
          </w:p>
        </w:tc>
      </w:tr>
    </w:tbl>
    <w:p w:rsidR="00475419" w:rsidRPr="00535E30" w:rsidRDefault="00475419" w:rsidP="00475419">
      <w:pPr>
        <w:pStyle w:val="Sinespaciado"/>
        <w:spacing w:line="276" w:lineRule="auto"/>
        <w:rPr>
          <w:rFonts w:asciiTheme="minorHAnsi" w:hAnsiTheme="minorHAnsi" w:cs="Arial"/>
          <w:b/>
        </w:rPr>
      </w:pPr>
    </w:p>
    <w:p w:rsidR="00475419" w:rsidRPr="00535E30" w:rsidRDefault="00475419" w:rsidP="00475419">
      <w:pPr>
        <w:pStyle w:val="Sinespaciado"/>
        <w:spacing w:line="276" w:lineRule="auto"/>
        <w:jc w:val="center"/>
        <w:rPr>
          <w:rFonts w:asciiTheme="minorHAnsi" w:hAnsiTheme="minorHAnsi" w:cs="Arial"/>
          <w:b/>
        </w:rPr>
      </w:pPr>
    </w:p>
    <w:p w:rsidR="00475419" w:rsidRPr="00535E30" w:rsidRDefault="00475419" w:rsidP="00475419">
      <w:pPr>
        <w:pStyle w:val="Sinespaciado"/>
        <w:numPr>
          <w:ilvl w:val="0"/>
          <w:numId w:val="12"/>
        </w:numPr>
        <w:spacing w:line="276" w:lineRule="auto"/>
        <w:ind w:left="284" w:hanging="284"/>
        <w:rPr>
          <w:rFonts w:asciiTheme="minorHAnsi" w:hAnsiTheme="minorHAnsi" w:cs="Arial"/>
          <w:b/>
        </w:rPr>
      </w:pPr>
      <w:r w:rsidRPr="00535E30">
        <w:rPr>
          <w:rFonts w:asciiTheme="minorHAnsi" w:hAnsiTheme="minorHAnsi" w:cs="Arial"/>
          <w:b/>
        </w:rPr>
        <w:t>Gestión estratégica</w:t>
      </w:r>
    </w:p>
    <w:p w:rsidR="00475419" w:rsidRPr="00535E30" w:rsidRDefault="00475419" w:rsidP="00475419">
      <w:pPr>
        <w:pStyle w:val="Sinespaciado"/>
        <w:spacing w:line="276" w:lineRule="auto"/>
        <w:rPr>
          <w:rFonts w:asciiTheme="minorHAnsi" w:hAnsiTheme="minorHAnsi" w:cs="Arial"/>
          <w:b/>
        </w:rPr>
      </w:pPr>
    </w:p>
    <w:tbl>
      <w:tblPr>
        <w:tblW w:w="5817" w:type="pct"/>
        <w:jc w:val="center"/>
        <w:tblCellMar>
          <w:left w:w="0" w:type="dxa"/>
          <w:right w:w="0" w:type="dxa"/>
        </w:tblCellMar>
        <w:tblLook w:val="04A0" w:firstRow="1" w:lastRow="0" w:firstColumn="1" w:lastColumn="0" w:noHBand="0" w:noVBand="1"/>
      </w:tblPr>
      <w:tblGrid>
        <w:gridCol w:w="1354"/>
        <w:gridCol w:w="983"/>
        <w:gridCol w:w="998"/>
        <w:gridCol w:w="861"/>
        <w:gridCol w:w="6109"/>
      </w:tblGrid>
      <w:tr w:rsidR="00475419" w:rsidRPr="00535E30" w:rsidTr="005678E7">
        <w:trPr>
          <w:trHeight w:val="57"/>
          <w:tblHeader/>
          <w:jc w:val="center"/>
        </w:trPr>
        <w:tc>
          <w:tcPr>
            <w:tcW w:w="657"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477"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484"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418"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2964"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57"/>
          <w:jc w:val="center"/>
        </w:trPr>
        <w:tc>
          <w:tcPr>
            <w:tcW w:w="65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Gestión de recursos</w:t>
            </w:r>
          </w:p>
        </w:tc>
        <w:tc>
          <w:tcPr>
            <w:tcW w:w="47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40,00</w:t>
            </w:r>
            <w:r>
              <w:rPr>
                <w:rFonts w:cs="Arial"/>
                <w:sz w:val="18"/>
                <w:szCs w:val="18"/>
              </w:rPr>
              <w:t>%</w:t>
            </w:r>
          </w:p>
        </w:tc>
        <w:tc>
          <w:tcPr>
            <w:tcW w:w="48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97,76</w:t>
            </w:r>
            <w:r>
              <w:rPr>
                <w:rFonts w:cs="Arial"/>
                <w:color w:val="000000"/>
                <w:sz w:val="18"/>
                <w:szCs w:val="18"/>
              </w:rPr>
              <w:t>%</w:t>
            </w:r>
          </w:p>
        </w:tc>
        <w:tc>
          <w:tcPr>
            <w:tcW w:w="418"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jc w:val="center"/>
              <w:rPr>
                <w:rFonts w:cs="Arial"/>
                <w:sz w:val="18"/>
                <w:szCs w:val="18"/>
              </w:rPr>
            </w:pPr>
            <w:r w:rsidRPr="00535E30">
              <w:rPr>
                <w:rFonts w:cs="Arial"/>
                <w:sz w:val="18"/>
                <w:szCs w:val="18"/>
              </w:rPr>
              <w:t>100,00%</w:t>
            </w:r>
          </w:p>
        </w:tc>
        <w:tc>
          <w:tcPr>
            <w:tcW w:w="2964"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El área de Gestión Estratégica reporta un resultado en cuanto a gestión de recursos al 31 de diciembre  del 2012 del 16%  que equivalen a $205.531.534 y un avance acumulado final de 97,76% de los recursos gestionados en comparación con los asignados, es decir que de $ 1.265.869.000,00, se han gestionado hasta el momento $1.237.480.013  correspondientes a los siguientes proyectos y actividades: Banquete  Plan Padrino, intereses de la nación, PAE Providencia, todos a la universidad y Risaralda Profesional.</w:t>
            </w:r>
          </w:p>
          <w:p w:rsidR="00475419" w:rsidRPr="00535E30" w:rsidRDefault="00475419" w:rsidP="005678E7">
            <w:pPr>
              <w:pStyle w:val="Sinespaciado"/>
              <w:spacing w:line="276" w:lineRule="auto"/>
              <w:rPr>
                <w:rFonts w:asciiTheme="minorHAnsi" w:hAnsiTheme="minorHAnsi" w:cs="Arial"/>
                <w:sz w:val="18"/>
                <w:szCs w:val="18"/>
              </w:rPr>
            </w:pP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 xml:space="preserve"> </w:t>
            </w:r>
            <w:r w:rsidRPr="00535E30">
              <w:rPr>
                <w:rFonts w:asciiTheme="minorHAnsi" w:hAnsiTheme="minorHAnsi" w:cs="Arial"/>
                <w:sz w:val="18"/>
                <w:szCs w:val="18"/>
              </w:rPr>
              <w:tab/>
              <w:t xml:space="preserve"> </w:t>
            </w:r>
            <w:r w:rsidRPr="00535E30">
              <w:rPr>
                <w:rFonts w:asciiTheme="minorHAnsi" w:hAnsiTheme="minorHAnsi" w:cs="Arial"/>
                <w:sz w:val="18"/>
                <w:szCs w:val="18"/>
              </w:rPr>
              <w:tab/>
              <w:t xml:space="preserve"> </w:t>
            </w:r>
            <w:r w:rsidRPr="00535E30">
              <w:rPr>
                <w:rFonts w:asciiTheme="minorHAnsi" w:hAnsiTheme="minorHAnsi" w:cs="Arial"/>
                <w:sz w:val="18"/>
                <w:szCs w:val="18"/>
              </w:rPr>
              <w:tab/>
            </w:r>
            <w:r w:rsidRPr="00535E30">
              <w:rPr>
                <w:rFonts w:asciiTheme="minorHAnsi" w:hAnsiTheme="minorHAnsi" w:cs="Arial"/>
                <w:sz w:val="18"/>
                <w:szCs w:val="18"/>
              </w:rPr>
              <w:tab/>
              <w:t>CORTE DICIEMBRE</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Total de Recursos Gestionados</w:t>
            </w:r>
            <w:r w:rsidRPr="00535E30">
              <w:rPr>
                <w:rFonts w:asciiTheme="minorHAnsi" w:hAnsiTheme="minorHAnsi" w:cs="Arial"/>
                <w:sz w:val="18"/>
                <w:szCs w:val="18"/>
              </w:rPr>
              <w:tab/>
              <w:t>$1.237.480.013</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Total de Recursos Propios</w:t>
            </w:r>
            <w:r w:rsidRPr="00535E30">
              <w:rPr>
                <w:rFonts w:asciiTheme="minorHAnsi" w:hAnsiTheme="minorHAnsi" w:cs="Arial"/>
                <w:sz w:val="18"/>
                <w:szCs w:val="18"/>
              </w:rPr>
              <w:tab/>
            </w:r>
            <w:r w:rsidRPr="00535E30">
              <w:rPr>
                <w:rFonts w:asciiTheme="minorHAnsi" w:hAnsiTheme="minorHAnsi" w:cs="Arial"/>
                <w:sz w:val="18"/>
                <w:szCs w:val="18"/>
              </w:rPr>
              <w:tab/>
              <w:t>$1.265.869.000</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Recursos Gestionados</w:t>
            </w:r>
            <w:r w:rsidRPr="00535E30">
              <w:rPr>
                <w:rFonts w:asciiTheme="minorHAnsi" w:hAnsiTheme="minorHAnsi" w:cs="Arial"/>
                <w:sz w:val="18"/>
                <w:szCs w:val="18"/>
              </w:rPr>
              <w:tab/>
            </w:r>
            <w:r w:rsidRPr="00535E30">
              <w:rPr>
                <w:rFonts w:asciiTheme="minorHAnsi" w:hAnsiTheme="minorHAnsi" w:cs="Arial"/>
                <w:sz w:val="18"/>
                <w:szCs w:val="18"/>
              </w:rPr>
              <w:tab/>
              <w:t>97,76%</w:t>
            </w:r>
          </w:p>
        </w:tc>
      </w:tr>
    </w:tbl>
    <w:p w:rsidR="00475419" w:rsidRPr="00535E30" w:rsidRDefault="00475419" w:rsidP="00475419">
      <w:pPr>
        <w:rPr>
          <w:rFonts w:cs="Arial"/>
          <w:bCs/>
          <w:caps/>
        </w:rPr>
      </w:pPr>
      <w:bookmarkStart w:id="184" w:name="_Toc304826948"/>
      <w:bookmarkStart w:id="185" w:name="_Toc347392854"/>
    </w:p>
    <w:p w:rsidR="00475419" w:rsidRPr="00535E30" w:rsidRDefault="00475419" w:rsidP="00475419">
      <w:pPr>
        <w:pStyle w:val="Ttulo2"/>
        <w:spacing w:line="276" w:lineRule="auto"/>
      </w:pPr>
      <w:bookmarkStart w:id="186" w:name="_Toc350957789"/>
      <w:bookmarkStart w:id="187" w:name="_Toc354671382"/>
      <w:r w:rsidRPr="00535E30">
        <w:rPr>
          <w:caps w:val="0"/>
        </w:rPr>
        <w:t>COMPONENTES INVESTIGACIONES, INNOVACIÓN Y EXTENSIÓN</w:t>
      </w:r>
      <w:bookmarkEnd w:id="184"/>
      <w:bookmarkEnd w:id="185"/>
      <w:bookmarkEnd w:id="186"/>
      <w:bookmarkEnd w:id="187"/>
    </w:p>
    <w:p w:rsidR="00475419" w:rsidRPr="00535E30" w:rsidRDefault="00475419" w:rsidP="00475419">
      <w:pPr>
        <w:spacing w:after="0"/>
        <w:rPr>
          <w:rFonts w:cs="Arial"/>
          <w:b/>
        </w:rPr>
      </w:pPr>
    </w:p>
    <w:p w:rsidR="00475419" w:rsidRPr="00535E30" w:rsidRDefault="00475419" w:rsidP="00475419">
      <w:pPr>
        <w:pStyle w:val="Sinespaciado"/>
        <w:numPr>
          <w:ilvl w:val="0"/>
          <w:numId w:val="13"/>
        </w:numPr>
        <w:spacing w:line="276" w:lineRule="auto"/>
        <w:ind w:left="284" w:hanging="284"/>
        <w:rPr>
          <w:rFonts w:asciiTheme="minorHAnsi" w:hAnsiTheme="minorHAnsi" w:cs="Arial"/>
          <w:b/>
        </w:rPr>
      </w:pPr>
      <w:r w:rsidRPr="00535E30">
        <w:rPr>
          <w:rFonts w:asciiTheme="minorHAnsi" w:hAnsiTheme="minorHAnsi" w:cs="Arial"/>
          <w:b/>
        </w:rPr>
        <w:t>Creación y transformación del conocimiento</w:t>
      </w:r>
    </w:p>
    <w:p w:rsidR="00475419" w:rsidRPr="00535E30" w:rsidRDefault="00475419" w:rsidP="00475419">
      <w:pPr>
        <w:pStyle w:val="Sinespaciado"/>
        <w:spacing w:line="276" w:lineRule="auto"/>
        <w:rPr>
          <w:rFonts w:asciiTheme="minorHAnsi" w:hAnsiTheme="minorHAnsi" w:cs="Arial"/>
          <w:b/>
        </w:rPr>
      </w:pPr>
    </w:p>
    <w:tbl>
      <w:tblPr>
        <w:tblW w:w="5817" w:type="pct"/>
        <w:jc w:val="center"/>
        <w:tblCellMar>
          <w:left w:w="0" w:type="dxa"/>
          <w:right w:w="0" w:type="dxa"/>
        </w:tblCellMar>
        <w:tblLook w:val="04A0" w:firstRow="1" w:lastRow="0" w:firstColumn="1" w:lastColumn="0" w:noHBand="0" w:noVBand="1"/>
      </w:tblPr>
      <w:tblGrid>
        <w:gridCol w:w="1354"/>
        <w:gridCol w:w="983"/>
        <w:gridCol w:w="998"/>
        <w:gridCol w:w="861"/>
        <w:gridCol w:w="6109"/>
      </w:tblGrid>
      <w:tr w:rsidR="00475419" w:rsidRPr="00535E30" w:rsidTr="005678E7">
        <w:trPr>
          <w:trHeight w:val="57"/>
          <w:tblHeader/>
          <w:jc w:val="center"/>
        </w:trPr>
        <w:tc>
          <w:tcPr>
            <w:tcW w:w="657"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477"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484"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418"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2964" w:type="pct"/>
            <w:tcBorders>
              <w:top w:val="single" w:sz="4" w:space="0" w:color="000000"/>
              <w:left w:val="single" w:sz="4" w:space="0" w:color="000000"/>
              <w:bottom w:val="single" w:sz="4" w:space="0" w:color="auto"/>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57"/>
          <w:jc w:val="center"/>
        </w:trPr>
        <w:tc>
          <w:tcPr>
            <w:tcW w:w="65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Número de obras de creación artística, libro o capítulo de libro resultado de investigación</w:t>
            </w:r>
          </w:p>
        </w:tc>
        <w:tc>
          <w:tcPr>
            <w:tcW w:w="47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Pr>
                <w:rFonts w:cs="Arial"/>
                <w:sz w:val="18"/>
                <w:szCs w:val="18"/>
              </w:rPr>
              <w:t>56</w:t>
            </w:r>
          </w:p>
        </w:tc>
        <w:tc>
          <w:tcPr>
            <w:tcW w:w="48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Pr>
                <w:rFonts w:cs="Arial"/>
                <w:color w:val="000000"/>
                <w:sz w:val="18"/>
                <w:szCs w:val="18"/>
              </w:rPr>
              <w:t>28</w:t>
            </w:r>
          </w:p>
        </w:tc>
        <w:tc>
          <w:tcPr>
            <w:tcW w:w="418" w:type="pct"/>
            <w:tcBorders>
              <w:top w:val="single" w:sz="4" w:space="0" w:color="000000"/>
              <w:left w:val="single" w:sz="4" w:space="0" w:color="000000"/>
              <w:bottom w:val="single" w:sz="4" w:space="0" w:color="000000"/>
              <w:right w:val="single" w:sz="4" w:space="0" w:color="auto"/>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50,00%</w:t>
            </w:r>
          </w:p>
        </w:tc>
        <w:tc>
          <w:tcPr>
            <w:tcW w:w="2964" w:type="pct"/>
            <w:tcBorders>
              <w:top w:val="single" w:sz="4" w:space="0" w:color="auto"/>
              <w:left w:val="single" w:sz="4" w:space="0" w:color="auto"/>
              <w:bottom w:val="single" w:sz="4" w:space="0" w:color="auto"/>
              <w:right w:val="single" w:sz="4" w:space="0" w:color="auto"/>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La meta establecida  para este año es de  56  obras artísticas, libro o capítulo de libro resultado de investigación acumulados en los años 2011 y 2012. Actualmente se cuenta con 7 Libros resultados de investigación reportados por el CIARP y en el año 2011 y 2012 se recibieron, gestionaron y publicaron 21 libros resultado de investigación en el Comité de Publicaciones los cuales fueron entregados al CIARP para el trámite correspondiente pero se encuentran en proceso. Por lo anterior, se cuenta con un número de 28 libros resultados de investigación, obteniendo un 50% de cumplimiento de la meta establecida.  Cabe destacar, que se tiene en cuenta la información del Comité de Publicaciones del año 2011 - 2012. Sobre la meta de este indicador se informa que se deberá replantear ya sea la forma de calcularlo o </w:t>
            </w:r>
            <w:r w:rsidRPr="00535E30">
              <w:rPr>
                <w:rFonts w:asciiTheme="minorHAnsi" w:hAnsiTheme="minorHAnsi" w:cs="Arial"/>
                <w:sz w:val="18"/>
                <w:szCs w:val="18"/>
              </w:rPr>
              <w:lastRenderedPageBreak/>
              <w:t>el período de medición, pues se debe contar con el tiempo establecido para la asignación de puntos en el CIARP lo cual permite el registro de los datos.</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La Vicerrectoría de Investigaciones, Innovación y Extensión en las convocatorias que abre anualmente para financiar proyectos de investigación de estudiantes, grupos, semilleros, entre otras,  solicita a los postulantes como resultado de la investigación la publicación de artículos en revistas indexadas, publicación de libros, productos innovadores, desarrollos tecnológicos, patentes, licencias de software, entre otros.</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Por otra parte, se diseñan programas de formación dirigido a docentes y estudiantes investigadores que desarrollen competencias en escritura, búsqueda bibliográfica, entre otras.</w:t>
            </w:r>
          </w:p>
        </w:tc>
      </w:tr>
      <w:tr w:rsidR="00475419" w:rsidRPr="00535E30" w:rsidTr="005678E7">
        <w:trPr>
          <w:trHeight w:val="57"/>
          <w:jc w:val="center"/>
        </w:trPr>
        <w:tc>
          <w:tcPr>
            <w:tcW w:w="65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lastRenderedPageBreak/>
              <w:t>Número de artículos publicados en revistas indexadas</w:t>
            </w:r>
          </w:p>
        </w:tc>
        <w:tc>
          <w:tcPr>
            <w:tcW w:w="47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Pr>
                <w:rFonts w:cs="Arial"/>
                <w:sz w:val="18"/>
                <w:szCs w:val="18"/>
              </w:rPr>
              <w:t>271</w:t>
            </w:r>
          </w:p>
        </w:tc>
        <w:tc>
          <w:tcPr>
            <w:tcW w:w="48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Pr>
                <w:rFonts w:cs="Arial"/>
                <w:color w:val="000000"/>
                <w:sz w:val="18"/>
                <w:szCs w:val="18"/>
              </w:rPr>
              <w:t>226</w:t>
            </w:r>
          </w:p>
        </w:tc>
        <w:tc>
          <w:tcPr>
            <w:tcW w:w="418" w:type="pct"/>
            <w:tcBorders>
              <w:top w:val="single" w:sz="4" w:space="0" w:color="000000"/>
              <w:left w:val="single" w:sz="4" w:space="0" w:color="000000"/>
              <w:bottom w:val="single" w:sz="4" w:space="0" w:color="000000"/>
              <w:right w:val="single" w:sz="4" w:space="0" w:color="auto"/>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83,39%</w:t>
            </w:r>
          </w:p>
        </w:tc>
        <w:tc>
          <w:tcPr>
            <w:tcW w:w="2964" w:type="pct"/>
            <w:tcBorders>
              <w:top w:val="single" w:sz="4" w:space="0" w:color="auto"/>
              <w:left w:val="single" w:sz="4" w:space="0" w:color="auto"/>
              <w:bottom w:val="single" w:sz="4" w:space="0" w:color="auto"/>
              <w:right w:val="single" w:sz="4" w:space="0" w:color="auto"/>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La meta es 271 artículos (2011 Y 2012), la Vicerrectoría cuenta con un reporte de 226 artículos del año 2011 y 2012 por parte del CIARP, lo cual corresponde a un 83.39% de cumplimiento de la meta establecida para este indicador.</w:t>
            </w:r>
          </w:p>
        </w:tc>
      </w:tr>
    </w:tbl>
    <w:p w:rsidR="00475419" w:rsidRPr="00535E30" w:rsidRDefault="00475419" w:rsidP="00475419">
      <w:pPr>
        <w:pStyle w:val="Sinespaciado"/>
        <w:spacing w:line="276" w:lineRule="auto"/>
        <w:jc w:val="center"/>
        <w:rPr>
          <w:rFonts w:asciiTheme="minorHAnsi" w:hAnsiTheme="minorHAnsi" w:cs="Arial"/>
          <w:b/>
        </w:rPr>
      </w:pPr>
    </w:p>
    <w:p w:rsidR="00475419" w:rsidRPr="00535E30" w:rsidRDefault="00475419" w:rsidP="00475419">
      <w:pPr>
        <w:pStyle w:val="Sinespaciado"/>
        <w:numPr>
          <w:ilvl w:val="0"/>
          <w:numId w:val="13"/>
        </w:numPr>
        <w:spacing w:line="276" w:lineRule="auto"/>
        <w:ind w:left="284" w:hanging="284"/>
        <w:rPr>
          <w:rFonts w:asciiTheme="minorHAnsi" w:hAnsiTheme="minorHAnsi" w:cs="Arial"/>
          <w:b/>
        </w:rPr>
      </w:pPr>
      <w:r w:rsidRPr="00535E30">
        <w:rPr>
          <w:rFonts w:asciiTheme="minorHAnsi" w:hAnsiTheme="minorHAnsi" w:cs="Arial"/>
          <w:b/>
        </w:rPr>
        <w:t>Transferencia o aplicación del conocimiento</w:t>
      </w:r>
    </w:p>
    <w:p w:rsidR="00475419" w:rsidRPr="00535E30" w:rsidRDefault="00475419" w:rsidP="00475419">
      <w:pPr>
        <w:pStyle w:val="Sinespaciado"/>
        <w:spacing w:line="276" w:lineRule="auto"/>
        <w:rPr>
          <w:rFonts w:asciiTheme="minorHAnsi" w:hAnsiTheme="minorHAnsi" w:cs="Arial"/>
          <w:b/>
        </w:rPr>
      </w:pPr>
    </w:p>
    <w:tbl>
      <w:tblPr>
        <w:tblW w:w="5818" w:type="pct"/>
        <w:jc w:val="center"/>
        <w:tblCellMar>
          <w:left w:w="0" w:type="dxa"/>
          <w:right w:w="0" w:type="dxa"/>
        </w:tblCellMar>
        <w:tblLook w:val="04A0" w:firstRow="1" w:lastRow="0" w:firstColumn="1" w:lastColumn="0" w:noHBand="0" w:noVBand="1"/>
      </w:tblPr>
      <w:tblGrid>
        <w:gridCol w:w="1354"/>
        <w:gridCol w:w="983"/>
        <w:gridCol w:w="998"/>
        <w:gridCol w:w="866"/>
        <w:gridCol w:w="6106"/>
      </w:tblGrid>
      <w:tr w:rsidR="00475419" w:rsidRPr="00535E30" w:rsidTr="005678E7">
        <w:trPr>
          <w:trHeight w:val="57"/>
          <w:tblHeader/>
          <w:jc w:val="center"/>
        </w:trPr>
        <w:tc>
          <w:tcPr>
            <w:tcW w:w="657" w:type="pct"/>
            <w:tcBorders>
              <w:top w:val="single" w:sz="4" w:space="0" w:color="000000"/>
              <w:left w:val="single" w:sz="4" w:space="0" w:color="000000"/>
              <w:bottom w:val="single" w:sz="4" w:space="0" w:color="auto"/>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477" w:type="pct"/>
            <w:tcBorders>
              <w:top w:val="single" w:sz="4" w:space="0" w:color="000000"/>
              <w:left w:val="single" w:sz="4" w:space="0" w:color="000000"/>
              <w:bottom w:val="single" w:sz="4" w:space="0" w:color="auto"/>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484" w:type="pct"/>
            <w:tcBorders>
              <w:top w:val="single" w:sz="4" w:space="0" w:color="000000"/>
              <w:left w:val="single" w:sz="4" w:space="0" w:color="000000"/>
              <w:bottom w:val="single" w:sz="4" w:space="0" w:color="auto"/>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420" w:type="pct"/>
            <w:tcBorders>
              <w:top w:val="single" w:sz="4" w:space="0" w:color="000000"/>
              <w:left w:val="single" w:sz="4" w:space="0" w:color="000000"/>
              <w:bottom w:val="single" w:sz="4" w:space="0" w:color="auto"/>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2962" w:type="pct"/>
            <w:tcBorders>
              <w:top w:val="single" w:sz="4" w:space="0" w:color="000000"/>
              <w:left w:val="single" w:sz="4" w:space="0" w:color="000000"/>
              <w:bottom w:val="single" w:sz="4" w:space="0" w:color="auto"/>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57"/>
          <w:jc w:val="center"/>
        </w:trPr>
        <w:tc>
          <w:tcPr>
            <w:tcW w:w="657"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Registro de propiedad intelectual</w:t>
            </w:r>
          </w:p>
        </w:tc>
        <w:tc>
          <w:tcPr>
            <w:tcW w:w="477"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Pr>
                <w:rFonts w:cs="Arial"/>
                <w:sz w:val="18"/>
                <w:szCs w:val="18"/>
              </w:rPr>
              <w:t>19</w:t>
            </w:r>
          </w:p>
        </w:tc>
        <w:tc>
          <w:tcPr>
            <w:tcW w:w="484"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Pr>
                <w:rFonts w:cs="Arial"/>
                <w:color w:val="000000"/>
                <w:sz w:val="18"/>
                <w:szCs w:val="18"/>
              </w:rPr>
              <w:t>27</w:t>
            </w:r>
          </w:p>
        </w:tc>
        <w:tc>
          <w:tcPr>
            <w:tcW w:w="420" w:type="pct"/>
            <w:tcBorders>
              <w:top w:val="single" w:sz="4" w:space="0" w:color="auto"/>
              <w:left w:val="single" w:sz="4" w:space="0" w:color="auto"/>
              <w:bottom w:val="single" w:sz="4" w:space="0" w:color="auto"/>
              <w:right w:val="single" w:sz="4" w:space="0" w:color="auto"/>
            </w:tcBorders>
            <w:shd w:val="clear" w:color="auto" w:fill="auto"/>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100,00%</w:t>
            </w:r>
          </w:p>
        </w:tc>
        <w:tc>
          <w:tcPr>
            <w:tcW w:w="2962" w:type="pct"/>
            <w:tcBorders>
              <w:top w:val="single" w:sz="4" w:space="0" w:color="auto"/>
              <w:left w:val="single" w:sz="4" w:space="0" w:color="auto"/>
              <w:bottom w:val="single" w:sz="4" w:space="0" w:color="auto"/>
              <w:right w:val="single" w:sz="4" w:space="0" w:color="auto"/>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Se cuenta con 27 registros de propiedad intelectual, 22 licencias de software y 5 patentes aprobadas, cumpliéndose en un 142.11% con la meta establecida. </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Cabe destacar, que las convocatorias para financiar proyectos de investigación realizadas por la Vicerrectoría solicita a los postulantes como resultado de la investigación la publicación de artículos en revistas indexadas, publicación de libros, productos innovadores, desarrollos tecnológicos, patentes, licencias de software, entre otros. Por otra parte, se cuenta con asesoría y acompañamiento para los trámites de patentes, apoyo técnico y administrativo para el diseño de los planes de negocios, entre otros.</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Por otra parte, se cuenta con la asesoría y acompañamiento por parte de Incubar Eje Cafetero para las empresas pre incubadas e incubadas, para el diseño de planes de negocio y establecer la factibilidad de cada una de las ideas.</w:t>
            </w:r>
          </w:p>
        </w:tc>
      </w:tr>
      <w:tr w:rsidR="00475419" w:rsidRPr="00535E30" w:rsidTr="005678E7">
        <w:trPr>
          <w:trHeight w:val="57"/>
          <w:jc w:val="center"/>
        </w:trPr>
        <w:tc>
          <w:tcPr>
            <w:tcW w:w="657"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Número de empresas de base tecnológica incubadas</w:t>
            </w:r>
          </w:p>
        </w:tc>
        <w:tc>
          <w:tcPr>
            <w:tcW w:w="477"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Pr>
                <w:rFonts w:cs="Arial"/>
                <w:sz w:val="18"/>
                <w:szCs w:val="18"/>
              </w:rPr>
              <w:t>6</w:t>
            </w:r>
          </w:p>
        </w:tc>
        <w:tc>
          <w:tcPr>
            <w:tcW w:w="484"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Pr>
                <w:rFonts w:cs="Arial"/>
                <w:color w:val="000000"/>
                <w:sz w:val="18"/>
                <w:szCs w:val="18"/>
              </w:rPr>
              <w:t>5</w:t>
            </w:r>
          </w:p>
        </w:tc>
        <w:tc>
          <w:tcPr>
            <w:tcW w:w="420" w:type="pct"/>
            <w:tcBorders>
              <w:top w:val="single" w:sz="4" w:space="0" w:color="auto"/>
              <w:left w:val="single" w:sz="4" w:space="0" w:color="auto"/>
              <w:bottom w:val="single" w:sz="4" w:space="0" w:color="auto"/>
              <w:right w:val="single" w:sz="4" w:space="0" w:color="auto"/>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83,33%</w:t>
            </w:r>
          </w:p>
        </w:tc>
        <w:tc>
          <w:tcPr>
            <w:tcW w:w="2962" w:type="pct"/>
            <w:tcBorders>
              <w:top w:val="single" w:sz="4" w:space="0" w:color="auto"/>
              <w:left w:val="single" w:sz="4" w:space="0" w:color="auto"/>
              <w:bottom w:val="single" w:sz="4" w:space="0" w:color="auto"/>
              <w:right w:val="single" w:sz="4" w:space="0" w:color="auto"/>
            </w:tcBorders>
            <w:shd w:val="clear" w:color="auto" w:fill="auto"/>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La meta es de 6 empresas acumuladas y actualmente se cuenta con el reporte de cuatro empresas del año 2010 y una empresa del año 2012, cumpliéndose en un 83.3% la meta. Se realiza el acompañamiento al emprendedor desde el momento que se genera la idea, se pre incuba (plan de negocio) y se incubadas. Cabe destacar, que a la fecha se cuentan con varias empresas pre incubadas, las cuales continuarán con el proceso de incubación.</w:t>
            </w:r>
          </w:p>
        </w:tc>
      </w:tr>
      <w:tr w:rsidR="00475419" w:rsidRPr="00535E30" w:rsidTr="005678E7">
        <w:trPr>
          <w:trHeight w:val="57"/>
          <w:jc w:val="center"/>
        </w:trPr>
        <w:tc>
          <w:tcPr>
            <w:tcW w:w="657"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 xml:space="preserve">Porcentaje de proyectos de investigación donde se </w:t>
            </w:r>
            <w:r w:rsidRPr="00535E30">
              <w:rPr>
                <w:rFonts w:cs="Arial"/>
                <w:color w:val="000000"/>
                <w:sz w:val="18"/>
                <w:szCs w:val="18"/>
              </w:rPr>
              <w:lastRenderedPageBreak/>
              <w:t>evidencie la implementación de nuevos procesos y/o servicios, creación de nuevos productos e inventos</w:t>
            </w:r>
          </w:p>
        </w:tc>
        <w:tc>
          <w:tcPr>
            <w:tcW w:w="477"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Pr>
                <w:rFonts w:cs="Arial"/>
                <w:sz w:val="18"/>
                <w:szCs w:val="18"/>
              </w:rPr>
              <w:lastRenderedPageBreak/>
              <w:t>5%</w:t>
            </w:r>
          </w:p>
        </w:tc>
        <w:tc>
          <w:tcPr>
            <w:tcW w:w="484"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3,51</w:t>
            </w:r>
            <w:r>
              <w:rPr>
                <w:rFonts w:cs="Arial"/>
                <w:color w:val="000000"/>
                <w:sz w:val="18"/>
                <w:szCs w:val="18"/>
              </w:rPr>
              <w:t>%</w:t>
            </w:r>
          </w:p>
        </w:tc>
        <w:tc>
          <w:tcPr>
            <w:tcW w:w="420" w:type="pct"/>
            <w:tcBorders>
              <w:top w:val="single" w:sz="4" w:space="0" w:color="auto"/>
              <w:left w:val="single" w:sz="4" w:space="0" w:color="auto"/>
              <w:bottom w:val="single" w:sz="4" w:space="0" w:color="auto"/>
              <w:right w:val="single" w:sz="4" w:space="0" w:color="auto"/>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70,20%</w:t>
            </w:r>
          </w:p>
        </w:tc>
        <w:tc>
          <w:tcPr>
            <w:tcW w:w="2962" w:type="pct"/>
            <w:tcBorders>
              <w:top w:val="single" w:sz="4" w:space="0" w:color="auto"/>
              <w:left w:val="single" w:sz="4" w:space="0" w:color="auto"/>
              <w:bottom w:val="single" w:sz="4" w:space="0" w:color="auto"/>
              <w:right w:val="single" w:sz="4" w:space="0" w:color="auto"/>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La meta para este año es del 5%  de los proyectos ejecutados y se cuenta con un 3.51% un cumplimiento final del 70.2%, es decir, de 285 proyectos concluidos en el período comprendido entre el año 2007 y 2011, 10 proyectos han sido </w:t>
            </w:r>
            <w:r w:rsidRPr="00535E30">
              <w:rPr>
                <w:rFonts w:asciiTheme="minorHAnsi" w:hAnsiTheme="minorHAnsi" w:cs="Arial"/>
                <w:sz w:val="18"/>
                <w:szCs w:val="18"/>
              </w:rPr>
              <w:lastRenderedPageBreak/>
              <w:t>innovadores.</w:t>
            </w:r>
          </w:p>
        </w:tc>
      </w:tr>
      <w:tr w:rsidR="00475419" w:rsidRPr="00535E30" w:rsidTr="005678E7">
        <w:trPr>
          <w:trHeight w:val="57"/>
          <w:jc w:val="center"/>
        </w:trPr>
        <w:tc>
          <w:tcPr>
            <w:tcW w:w="657"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lastRenderedPageBreak/>
              <w:t>Número de citaciones de investigadores de la Universidad en revistas indexadas internacionales</w:t>
            </w:r>
          </w:p>
        </w:tc>
        <w:tc>
          <w:tcPr>
            <w:tcW w:w="477"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Pr>
                <w:rFonts w:cs="Arial"/>
                <w:sz w:val="18"/>
                <w:szCs w:val="18"/>
              </w:rPr>
              <w:t>200</w:t>
            </w:r>
          </w:p>
        </w:tc>
        <w:tc>
          <w:tcPr>
            <w:tcW w:w="484"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Pr>
                <w:rFonts w:cs="Arial"/>
                <w:color w:val="000000"/>
                <w:sz w:val="18"/>
                <w:szCs w:val="18"/>
              </w:rPr>
              <w:t>227</w:t>
            </w:r>
          </w:p>
        </w:tc>
        <w:tc>
          <w:tcPr>
            <w:tcW w:w="420" w:type="pct"/>
            <w:tcBorders>
              <w:top w:val="single" w:sz="4" w:space="0" w:color="auto"/>
              <w:left w:val="single" w:sz="4" w:space="0" w:color="auto"/>
              <w:bottom w:val="single" w:sz="4" w:space="0" w:color="auto"/>
              <w:right w:val="single" w:sz="4" w:space="0" w:color="auto"/>
            </w:tcBorders>
            <w:shd w:val="clear" w:color="auto" w:fill="auto"/>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100,00%</w:t>
            </w:r>
          </w:p>
        </w:tc>
        <w:tc>
          <w:tcPr>
            <w:tcW w:w="2962" w:type="pct"/>
            <w:tcBorders>
              <w:top w:val="single" w:sz="4" w:space="0" w:color="auto"/>
              <w:left w:val="single" w:sz="4" w:space="0" w:color="auto"/>
              <w:bottom w:val="single" w:sz="4" w:space="0" w:color="auto"/>
              <w:right w:val="single" w:sz="4" w:space="0" w:color="auto"/>
            </w:tcBorders>
            <w:shd w:val="clear" w:color="auto" w:fill="auto"/>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La meta es de 200 citaciones para el año 2012 y se cuenta con 227, logrando un porcentaje de cumplimiento del 113.5%.</w:t>
            </w:r>
          </w:p>
        </w:tc>
      </w:tr>
    </w:tbl>
    <w:p w:rsidR="00475419" w:rsidRPr="00535E30" w:rsidRDefault="00475419" w:rsidP="00475419">
      <w:pPr>
        <w:pStyle w:val="Sinespaciado"/>
        <w:spacing w:line="276" w:lineRule="auto"/>
        <w:rPr>
          <w:rFonts w:asciiTheme="minorHAnsi" w:hAnsiTheme="minorHAnsi" w:cs="Arial"/>
          <w:b/>
        </w:rPr>
      </w:pPr>
    </w:p>
    <w:p w:rsidR="00475419" w:rsidRPr="00535E30" w:rsidRDefault="00475419" w:rsidP="00475419">
      <w:pPr>
        <w:pStyle w:val="Sinespaciado"/>
        <w:numPr>
          <w:ilvl w:val="0"/>
          <w:numId w:val="13"/>
        </w:numPr>
        <w:spacing w:line="276" w:lineRule="auto"/>
        <w:ind w:left="284" w:hanging="284"/>
        <w:rPr>
          <w:rFonts w:asciiTheme="minorHAnsi" w:hAnsiTheme="minorHAnsi" w:cs="Arial"/>
          <w:b/>
        </w:rPr>
      </w:pPr>
      <w:r w:rsidRPr="00535E30">
        <w:rPr>
          <w:rFonts w:asciiTheme="minorHAnsi" w:hAnsiTheme="minorHAnsi" w:cs="Arial"/>
          <w:b/>
        </w:rPr>
        <w:t>Generación de desarrollo social y cultural</w:t>
      </w:r>
    </w:p>
    <w:p w:rsidR="00475419" w:rsidRPr="00535E30" w:rsidRDefault="00475419" w:rsidP="00475419">
      <w:pPr>
        <w:pStyle w:val="Sinespaciado"/>
        <w:spacing w:line="276" w:lineRule="auto"/>
        <w:rPr>
          <w:rFonts w:asciiTheme="minorHAnsi" w:hAnsiTheme="minorHAnsi" w:cs="Arial"/>
          <w:b/>
        </w:rPr>
      </w:pPr>
    </w:p>
    <w:tbl>
      <w:tblPr>
        <w:tblW w:w="5817" w:type="pct"/>
        <w:jc w:val="center"/>
        <w:tblCellMar>
          <w:left w:w="0" w:type="dxa"/>
          <w:right w:w="0" w:type="dxa"/>
        </w:tblCellMar>
        <w:tblLook w:val="04A0" w:firstRow="1" w:lastRow="0" w:firstColumn="1" w:lastColumn="0" w:noHBand="0" w:noVBand="1"/>
      </w:tblPr>
      <w:tblGrid>
        <w:gridCol w:w="1354"/>
        <w:gridCol w:w="983"/>
        <w:gridCol w:w="998"/>
        <w:gridCol w:w="861"/>
        <w:gridCol w:w="6109"/>
      </w:tblGrid>
      <w:tr w:rsidR="00475419" w:rsidRPr="00535E30" w:rsidTr="005678E7">
        <w:trPr>
          <w:trHeight w:val="57"/>
          <w:tblHeader/>
          <w:jc w:val="center"/>
        </w:trPr>
        <w:tc>
          <w:tcPr>
            <w:tcW w:w="657" w:type="pct"/>
            <w:tcBorders>
              <w:top w:val="single" w:sz="4" w:space="0" w:color="000000"/>
              <w:left w:val="single" w:sz="4" w:space="0" w:color="000000"/>
              <w:bottom w:val="single" w:sz="4" w:space="0" w:color="auto"/>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477" w:type="pct"/>
            <w:tcBorders>
              <w:top w:val="single" w:sz="4" w:space="0" w:color="000000"/>
              <w:left w:val="single" w:sz="4" w:space="0" w:color="000000"/>
              <w:bottom w:val="single" w:sz="4" w:space="0" w:color="auto"/>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484" w:type="pct"/>
            <w:tcBorders>
              <w:top w:val="single" w:sz="4" w:space="0" w:color="000000"/>
              <w:left w:val="single" w:sz="4" w:space="0" w:color="000000"/>
              <w:bottom w:val="single" w:sz="4" w:space="0" w:color="auto"/>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418" w:type="pct"/>
            <w:tcBorders>
              <w:top w:val="single" w:sz="4" w:space="0" w:color="000000"/>
              <w:left w:val="single" w:sz="4" w:space="0" w:color="000000"/>
              <w:bottom w:val="single" w:sz="4" w:space="0" w:color="auto"/>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2964" w:type="pct"/>
            <w:tcBorders>
              <w:top w:val="single" w:sz="4" w:space="0" w:color="000000"/>
              <w:left w:val="single" w:sz="4" w:space="0" w:color="000000"/>
              <w:bottom w:val="single" w:sz="4" w:space="0" w:color="auto"/>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57"/>
          <w:jc w:val="center"/>
        </w:trPr>
        <w:tc>
          <w:tcPr>
            <w:tcW w:w="657"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Porcentaje de proyectos de investigación que son utilizados como insumo para el desarrollo de políticas públicas</w:t>
            </w:r>
          </w:p>
        </w:tc>
        <w:tc>
          <w:tcPr>
            <w:tcW w:w="477"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Pr>
                <w:rFonts w:cs="Arial"/>
                <w:sz w:val="18"/>
                <w:szCs w:val="18"/>
              </w:rPr>
              <w:t>8</w:t>
            </w:r>
          </w:p>
        </w:tc>
        <w:tc>
          <w:tcPr>
            <w:tcW w:w="484"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Pr>
                <w:rFonts w:cs="Arial"/>
                <w:color w:val="000000"/>
                <w:sz w:val="18"/>
                <w:szCs w:val="18"/>
              </w:rPr>
              <w:t>10</w:t>
            </w:r>
          </w:p>
        </w:tc>
        <w:tc>
          <w:tcPr>
            <w:tcW w:w="418" w:type="pct"/>
            <w:tcBorders>
              <w:top w:val="single" w:sz="4" w:space="0" w:color="auto"/>
              <w:left w:val="single" w:sz="4" w:space="0" w:color="auto"/>
              <w:bottom w:val="single" w:sz="4" w:space="0" w:color="auto"/>
              <w:right w:val="single" w:sz="4" w:space="0" w:color="auto"/>
            </w:tcBorders>
            <w:shd w:val="clear" w:color="auto" w:fill="auto"/>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100,00%</w:t>
            </w:r>
          </w:p>
        </w:tc>
        <w:tc>
          <w:tcPr>
            <w:tcW w:w="2964" w:type="pct"/>
            <w:tcBorders>
              <w:top w:val="single" w:sz="4" w:space="0" w:color="auto"/>
              <w:left w:val="single" w:sz="4" w:space="0" w:color="auto"/>
              <w:bottom w:val="single" w:sz="4" w:space="0" w:color="auto"/>
              <w:right w:val="single" w:sz="4" w:space="0" w:color="auto"/>
            </w:tcBorders>
            <w:shd w:val="clear" w:color="auto" w:fill="auto"/>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Se ha participado en la generación de cinco políticas públicas: </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1. Acompañamiento a la discusión y formulación de los Planes de Desarrollo Departamentales del Quindío, Caldas y Risaralda, en el componente de </w:t>
            </w:r>
            <w:proofErr w:type="spellStart"/>
            <w:r w:rsidRPr="00535E30">
              <w:rPr>
                <w:rFonts w:asciiTheme="minorHAnsi" w:hAnsiTheme="minorHAnsi" w:cs="Arial"/>
                <w:sz w:val="18"/>
                <w:szCs w:val="18"/>
              </w:rPr>
              <w:t>CTeI</w:t>
            </w:r>
            <w:proofErr w:type="spellEnd"/>
            <w:r w:rsidRPr="00535E30">
              <w:rPr>
                <w:rFonts w:asciiTheme="minorHAnsi" w:hAnsiTheme="minorHAnsi" w:cs="Arial"/>
                <w:sz w:val="18"/>
                <w:szCs w:val="18"/>
              </w:rPr>
              <w:t>, Empleo y Pobreza.</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2. Acompañamiento a la discusión y formulación de los Planes de Desarrollo Municipales de Manizales Caldas y Risaralda, en el componente de </w:t>
            </w:r>
            <w:proofErr w:type="spellStart"/>
            <w:r w:rsidRPr="00535E30">
              <w:rPr>
                <w:rFonts w:asciiTheme="minorHAnsi" w:hAnsiTheme="minorHAnsi" w:cs="Arial"/>
                <w:sz w:val="18"/>
                <w:szCs w:val="18"/>
              </w:rPr>
              <w:t>CTeI</w:t>
            </w:r>
            <w:proofErr w:type="spellEnd"/>
            <w:r w:rsidRPr="00535E30">
              <w:rPr>
                <w:rFonts w:asciiTheme="minorHAnsi" w:hAnsiTheme="minorHAnsi" w:cs="Arial"/>
                <w:sz w:val="18"/>
                <w:szCs w:val="18"/>
              </w:rPr>
              <w:t xml:space="preserve">, Empleo y Pobreza </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3. Contrato Plan Empleo y Pobreza</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4. Memorando de entendimiento y cooperación entre los gobiernos locales del Eje Cafetero de Manizales, Armenia y Pereira. *Informes Asesor Andrés Felipe Giraldo.</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5. Desarrollar un proceso de coordinación en el diseño, formulación e implementación de un observatorio de políticas públicas en la UTP. *Informes Asesora Luz </w:t>
            </w:r>
            <w:proofErr w:type="spellStart"/>
            <w:r w:rsidRPr="00535E30">
              <w:rPr>
                <w:rFonts w:asciiTheme="minorHAnsi" w:hAnsiTheme="minorHAnsi" w:cs="Arial"/>
                <w:sz w:val="18"/>
                <w:szCs w:val="18"/>
              </w:rPr>
              <w:t>Yasmid</w:t>
            </w:r>
            <w:proofErr w:type="spellEnd"/>
            <w:r w:rsidRPr="00535E30">
              <w:rPr>
                <w:rFonts w:asciiTheme="minorHAnsi" w:hAnsiTheme="minorHAnsi" w:cs="Arial"/>
                <w:sz w:val="18"/>
                <w:szCs w:val="18"/>
              </w:rPr>
              <w:t xml:space="preserve"> López.</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Adicionalmente se cuenta con cinco proyectos desarrollados por jóvenes investigadores que generan o retroalimentan la política pública.</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Lo anterior, permite un cumplimiento del 125% de la meta establecida para el año 2012.</w:t>
            </w:r>
          </w:p>
        </w:tc>
      </w:tr>
      <w:tr w:rsidR="00475419" w:rsidRPr="00535E30" w:rsidTr="005678E7">
        <w:trPr>
          <w:trHeight w:val="57"/>
          <w:jc w:val="center"/>
        </w:trPr>
        <w:tc>
          <w:tcPr>
            <w:tcW w:w="657"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Número de grupos de investigación que participan en observatorios sociales de impacto regional</w:t>
            </w:r>
          </w:p>
        </w:tc>
        <w:tc>
          <w:tcPr>
            <w:tcW w:w="477"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Pr>
                <w:rFonts w:cs="Arial"/>
                <w:sz w:val="18"/>
                <w:szCs w:val="18"/>
              </w:rPr>
              <w:t>5</w:t>
            </w:r>
          </w:p>
        </w:tc>
        <w:tc>
          <w:tcPr>
            <w:tcW w:w="484"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Pr>
                <w:rFonts w:cs="Arial"/>
                <w:color w:val="000000"/>
                <w:sz w:val="18"/>
                <w:szCs w:val="18"/>
              </w:rPr>
              <w:t>5</w:t>
            </w:r>
          </w:p>
        </w:tc>
        <w:tc>
          <w:tcPr>
            <w:tcW w:w="418" w:type="pct"/>
            <w:tcBorders>
              <w:top w:val="single" w:sz="4" w:space="0" w:color="auto"/>
              <w:left w:val="single" w:sz="4" w:space="0" w:color="auto"/>
              <w:bottom w:val="single" w:sz="4" w:space="0" w:color="auto"/>
              <w:right w:val="single" w:sz="4" w:space="0" w:color="auto"/>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100,00%</w:t>
            </w:r>
          </w:p>
        </w:tc>
        <w:tc>
          <w:tcPr>
            <w:tcW w:w="2964" w:type="pct"/>
            <w:tcBorders>
              <w:top w:val="single" w:sz="4" w:space="0" w:color="auto"/>
              <w:left w:val="single" w:sz="4" w:space="0" w:color="auto"/>
              <w:bottom w:val="single" w:sz="4" w:space="0" w:color="auto"/>
              <w:right w:val="single" w:sz="4" w:space="0" w:color="auto"/>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Para el año 2012 se cuenta con 5 grupos de investigaciones que participan en observatorios sociales de impacto regional, cumpliendo la meta en un 100%, teniendo en cuenta que la meta establecida para el año 2012 es de 5 grupos de investigación.</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Se contó con un asesor experto en políticas públicas que participaba en espacios de decisión estratégicos presentando propuestas de interés para la Universidad.</w:t>
            </w:r>
          </w:p>
        </w:tc>
      </w:tr>
    </w:tbl>
    <w:p w:rsidR="00475419" w:rsidRDefault="00475419" w:rsidP="00475419">
      <w:pPr>
        <w:pStyle w:val="Sinespaciado"/>
        <w:spacing w:line="276" w:lineRule="auto"/>
        <w:ind w:left="284"/>
        <w:rPr>
          <w:rFonts w:asciiTheme="minorHAnsi" w:hAnsiTheme="minorHAnsi" w:cs="Arial"/>
          <w:b/>
        </w:rPr>
      </w:pPr>
    </w:p>
    <w:p w:rsidR="00475419" w:rsidRDefault="00475419" w:rsidP="00475419">
      <w:pPr>
        <w:pStyle w:val="Sinespaciado"/>
        <w:spacing w:line="276" w:lineRule="auto"/>
        <w:ind w:left="284"/>
        <w:rPr>
          <w:rFonts w:asciiTheme="minorHAnsi" w:hAnsiTheme="minorHAnsi" w:cs="Arial"/>
          <w:b/>
        </w:rPr>
      </w:pPr>
    </w:p>
    <w:p w:rsidR="00475419" w:rsidRPr="00535E30" w:rsidRDefault="00475419" w:rsidP="00475419">
      <w:pPr>
        <w:pStyle w:val="Sinespaciado"/>
        <w:spacing w:line="276" w:lineRule="auto"/>
        <w:ind w:left="284"/>
        <w:rPr>
          <w:rFonts w:asciiTheme="minorHAnsi" w:hAnsiTheme="minorHAnsi" w:cs="Arial"/>
          <w:b/>
        </w:rPr>
      </w:pPr>
    </w:p>
    <w:p w:rsidR="00475419" w:rsidRPr="00535E30" w:rsidRDefault="00475419" w:rsidP="00475419">
      <w:pPr>
        <w:pStyle w:val="Sinespaciado"/>
        <w:numPr>
          <w:ilvl w:val="0"/>
          <w:numId w:val="13"/>
        </w:numPr>
        <w:spacing w:line="276" w:lineRule="auto"/>
        <w:ind w:left="284" w:hanging="284"/>
        <w:rPr>
          <w:rFonts w:asciiTheme="minorHAnsi" w:hAnsiTheme="minorHAnsi" w:cs="Arial"/>
          <w:b/>
        </w:rPr>
      </w:pPr>
      <w:r w:rsidRPr="00535E30">
        <w:rPr>
          <w:rFonts w:asciiTheme="minorHAnsi" w:hAnsiTheme="minorHAnsi" w:cs="Arial"/>
          <w:b/>
        </w:rPr>
        <w:t>Desarrollo institucional</w:t>
      </w:r>
    </w:p>
    <w:p w:rsidR="00475419" w:rsidRPr="00535E30" w:rsidRDefault="00475419" w:rsidP="00475419">
      <w:pPr>
        <w:pStyle w:val="Sinespaciado"/>
        <w:spacing w:line="276" w:lineRule="auto"/>
        <w:rPr>
          <w:rFonts w:asciiTheme="minorHAnsi" w:hAnsiTheme="minorHAnsi" w:cs="Arial"/>
          <w:b/>
        </w:rPr>
      </w:pPr>
    </w:p>
    <w:tbl>
      <w:tblPr>
        <w:tblW w:w="5817" w:type="pct"/>
        <w:jc w:val="center"/>
        <w:tblCellMar>
          <w:left w:w="0" w:type="dxa"/>
          <w:right w:w="0" w:type="dxa"/>
        </w:tblCellMar>
        <w:tblLook w:val="04A0" w:firstRow="1" w:lastRow="0" w:firstColumn="1" w:lastColumn="0" w:noHBand="0" w:noVBand="1"/>
      </w:tblPr>
      <w:tblGrid>
        <w:gridCol w:w="1354"/>
        <w:gridCol w:w="983"/>
        <w:gridCol w:w="998"/>
        <w:gridCol w:w="861"/>
        <w:gridCol w:w="6109"/>
      </w:tblGrid>
      <w:tr w:rsidR="00475419" w:rsidRPr="00535E30" w:rsidTr="005678E7">
        <w:trPr>
          <w:trHeight w:val="57"/>
          <w:tblHeader/>
          <w:jc w:val="center"/>
        </w:trPr>
        <w:tc>
          <w:tcPr>
            <w:tcW w:w="657" w:type="pct"/>
            <w:tcBorders>
              <w:top w:val="single" w:sz="4" w:space="0" w:color="000000"/>
              <w:left w:val="single" w:sz="4" w:space="0" w:color="000000"/>
              <w:bottom w:val="single" w:sz="4" w:space="0" w:color="auto"/>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477" w:type="pct"/>
            <w:tcBorders>
              <w:top w:val="single" w:sz="4" w:space="0" w:color="000000"/>
              <w:left w:val="single" w:sz="4" w:space="0" w:color="000000"/>
              <w:bottom w:val="single" w:sz="4" w:space="0" w:color="auto"/>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484" w:type="pct"/>
            <w:tcBorders>
              <w:top w:val="single" w:sz="4" w:space="0" w:color="000000"/>
              <w:left w:val="single" w:sz="4" w:space="0" w:color="000000"/>
              <w:bottom w:val="single" w:sz="4" w:space="0" w:color="auto"/>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418" w:type="pct"/>
            <w:tcBorders>
              <w:top w:val="single" w:sz="4" w:space="0" w:color="000000"/>
              <w:left w:val="single" w:sz="4" w:space="0" w:color="000000"/>
              <w:bottom w:val="single" w:sz="4" w:space="0" w:color="auto"/>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2964" w:type="pct"/>
            <w:tcBorders>
              <w:top w:val="single" w:sz="4" w:space="0" w:color="000000"/>
              <w:left w:val="single" w:sz="4" w:space="0" w:color="000000"/>
              <w:bottom w:val="single" w:sz="4" w:space="0" w:color="auto"/>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57"/>
          <w:jc w:val="center"/>
        </w:trPr>
        <w:tc>
          <w:tcPr>
            <w:tcW w:w="657"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Número de grupos de investigación participando en redes</w:t>
            </w:r>
          </w:p>
        </w:tc>
        <w:tc>
          <w:tcPr>
            <w:tcW w:w="477"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Pr>
                <w:rFonts w:cs="Arial"/>
                <w:sz w:val="18"/>
                <w:szCs w:val="18"/>
              </w:rPr>
              <w:t>20</w:t>
            </w:r>
          </w:p>
        </w:tc>
        <w:tc>
          <w:tcPr>
            <w:tcW w:w="484"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Pr>
                <w:rFonts w:cs="Arial"/>
                <w:color w:val="000000"/>
                <w:sz w:val="18"/>
                <w:szCs w:val="18"/>
              </w:rPr>
              <w:t>22</w:t>
            </w:r>
          </w:p>
        </w:tc>
        <w:tc>
          <w:tcPr>
            <w:tcW w:w="418" w:type="pct"/>
            <w:tcBorders>
              <w:top w:val="single" w:sz="4" w:space="0" w:color="auto"/>
              <w:left w:val="single" w:sz="4" w:space="0" w:color="auto"/>
              <w:bottom w:val="single" w:sz="4" w:space="0" w:color="auto"/>
              <w:right w:val="single" w:sz="4" w:space="0" w:color="auto"/>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100,00%</w:t>
            </w:r>
          </w:p>
        </w:tc>
        <w:tc>
          <w:tcPr>
            <w:tcW w:w="2964" w:type="pct"/>
            <w:tcBorders>
              <w:top w:val="single" w:sz="4" w:space="0" w:color="auto"/>
              <w:left w:val="single" w:sz="4" w:space="0" w:color="auto"/>
              <w:bottom w:val="single" w:sz="4" w:space="0" w:color="auto"/>
              <w:right w:val="single" w:sz="4" w:space="0" w:color="auto"/>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La meta para el 2012 es de 20 grupos y finalizó el año con 22 grupos de investigación vinculados a redes ya sea de carácter nacional o internacional, es decir, se cumplió la meta en un 110%. </w:t>
            </w:r>
          </w:p>
        </w:tc>
      </w:tr>
      <w:tr w:rsidR="00475419" w:rsidRPr="00535E30" w:rsidTr="005678E7">
        <w:trPr>
          <w:trHeight w:val="57"/>
          <w:jc w:val="center"/>
        </w:trPr>
        <w:tc>
          <w:tcPr>
            <w:tcW w:w="657"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Porcentaje de grupos de investigación reconocidos por Colciencias</w:t>
            </w:r>
          </w:p>
        </w:tc>
        <w:tc>
          <w:tcPr>
            <w:tcW w:w="477"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77,00</w:t>
            </w:r>
            <w:r>
              <w:rPr>
                <w:rFonts w:cs="Arial"/>
                <w:sz w:val="18"/>
                <w:szCs w:val="18"/>
              </w:rPr>
              <w:t>%</w:t>
            </w:r>
          </w:p>
        </w:tc>
        <w:tc>
          <w:tcPr>
            <w:tcW w:w="484"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71,63</w:t>
            </w:r>
            <w:r>
              <w:rPr>
                <w:rFonts w:cs="Arial"/>
                <w:color w:val="000000"/>
                <w:sz w:val="18"/>
                <w:szCs w:val="18"/>
              </w:rPr>
              <w:t>%</w:t>
            </w:r>
          </w:p>
        </w:tc>
        <w:tc>
          <w:tcPr>
            <w:tcW w:w="418" w:type="pct"/>
            <w:tcBorders>
              <w:top w:val="single" w:sz="4" w:space="0" w:color="auto"/>
              <w:left w:val="single" w:sz="4" w:space="0" w:color="auto"/>
              <w:bottom w:val="single" w:sz="4" w:space="0" w:color="auto"/>
              <w:right w:val="single" w:sz="4" w:space="0" w:color="auto"/>
            </w:tcBorders>
            <w:shd w:val="clear" w:color="auto" w:fill="auto"/>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93,03%</w:t>
            </w:r>
          </w:p>
        </w:tc>
        <w:tc>
          <w:tcPr>
            <w:tcW w:w="2964" w:type="pct"/>
            <w:tcBorders>
              <w:top w:val="single" w:sz="4" w:space="0" w:color="auto"/>
              <w:left w:val="single" w:sz="4" w:space="0" w:color="auto"/>
              <w:bottom w:val="single" w:sz="4" w:space="0" w:color="auto"/>
              <w:right w:val="single" w:sz="4" w:space="0" w:color="auto"/>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La meta estimada para el año  2012  es que el 77% de los grupos de la UTP se encuentren reconocidos  y se obtuvo un cumplimiento del 71.63%. </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Actualmente se cuenta con el siguiente dato: de 141 grupos 101 son reconocidos, teniendo en cuenta la reclasificación realizada por Colciencias. (Ver archivo anexo: Grupos reconocidos). </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Clasificación de los grupos de la UTP según categoría:</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A1= 1</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A= 11</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B= 10</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C= 32</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D= 23</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SC= 24</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Con lo anterior, se ha cumplido con el 93.03% de la meta establecida.</w:t>
            </w:r>
          </w:p>
        </w:tc>
      </w:tr>
      <w:tr w:rsidR="00475419" w:rsidRPr="00535E30" w:rsidTr="005678E7">
        <w:trPr>
          <w:trHeight w:val="57"/>
          <w:jc w:val="center"/>
        </w:trPr>
        <w:tc>
          <w:tcPr>
            <w:tcW w:w="657"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Porcentaje de grupos de investigación vinculados en los programas de maestría y doctorado</w:t>
            </w:r>
          </w:p>
        </w:tc>
        <w:tc>
          <w:tcPr>
            <w:tcW w:w="477"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50,00</w:t>
            </w:r>
            <w:r>
              <w:rPr>
                <w:rFonts w:cs="Arial"/>
                <w:sz w:val="18"/>
                <w:szCs w:val="18"/>
              </w:rPr>
              <w:t>%</w:t>
            </w:r>
          </w:p>
        </w:tc>
        <w:tc>
          <w:tcPr>
            <w:tcW w:w="484"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44,68</w:t>
            </w:r>
            <w:r>
              <w:rPr>
                <w:rFonts w:cs="Arial"/>
                <w:color w:val="000000"/>
                <w:sz w:val="18"/>
                <w:szCs w:val="18"/>
              </w:rPr>
              <w:t>%</w:t>
            </w:r>
          </w:p>
        </w:tc>
        <w:tc>
          <w:tcPr>
            <w:tcW w:w="418" w:type="pct"/>
            <w:tcBorders>
              <w:top w:val="single" w:sz="4" w:space="0" w:color="auto"/>
              <w:left w:val="single" w:sz="4" w:space="0" w:color="auto"/>
              <w:bottom w:val="single" w:sz="4" w:space="0" w:color="auto"/>
              <w:right w:val="single" w:sz="4" w:space="0" w:color="auto"/>
            </w:tcBorders>
            <w:shd w:val="clear" w:color="auto" w:fill="auto"/>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89,36%</w:t>
            </w:r>
          </w:p>
        </w:tc>
        <w:tc>
          <w:tcPr>
            <w:tcW w:w="2964" w:type="pct"/>
            <w:tcBorders>
              <w:top w:val="single" w:sz="4" w:space="0" w:color="auto"/>
              <w:left w:val="single" w:sz="4" w:space="0" w:color="auto"/>
              <w:bottom w:val="single" w:sz="4" w:space="0" w:color="auto"/>
              <w:right w:val="single" w:sz="4" w:space="0" w:color="auto"/>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La meta para el año 2012 es que el 50% de los grupos se encuentren vinculados a estos programas, la cual se cumplió en un  89.36%,  ya que se cuenta con 63 grupos de investigación vinculados en los programas de maestría y doctorado  de los 139 inscritos en la Vicerrectoría de Investigaciones, Innovación y Extensión (44.68%).</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A través de los términos de referencia de las convocatorias que abre anualmente la Vicerrectoría de Investigaciones, Innovación y Extensión, se fomenta la categorización de los grupos de la UTP, la creación y participación en redes de investigación y la vinculación a los postgrados.</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Por otra parte, se iniciara el proceso de diseño de los planes estratégicos de cada uno de los grupos inscritos en la VIIE, lo que permitirá generar un plan de acción a corto, mediano y largo plazo.</w:t>
            </w:r>
          </w:p>
        </w:tc>
      </w:tr>
    </w:tbl>
    <w:p w:rsidR="00475419" w:rsidRDefault="00475419" w:rsidP="00475419">
      <w:bookmarkStart w:id="188" w:name="_Toc304826949"/>
    </w:p>
    <w:p w:rsidR="00475419" w:rsidRDefault="00475419" w:rsidP="00475419">
      <w:r>
        <w:br w:type="page"/>
      </w:r>
    </w:p>
    <w:p w:rsidR="00475419" w:rsidRPr="00535E30" w:rsidRDefault="00475419" w:rsidP="00475419">
      <w:pPr>
        <w:pStyle w:val="Ttulo2"/>
        <w:spacing w:line="276" w:lineRule="auto"/>
      </w:pPr>
      <w:bookmarkStart w:id="189" w:name="_Toc347392855"/>
      <w:bookmarkStart w:id="190" w:name="_Toc350957790"/>
      <w:bookmarkStart w:id="191" w:name="_Toc354671383"/>
      <w:r w:rsidRPr="00535E30">
        <w:rPr>
          <w:caps w:val="0"/>
        </w:rPr>
        <w:lastRenderedPageBreak/>
        <w:t>COMPONENTES INTERNACIONALIZACIÓN DE LA UNIVERSIDAD</w:t>
      </w:r>
      <w:bookmarkEnd w:id="188"/>
      <w:bookmarkEnd w:id="189"/>
      <w:bookmarkEnd w:id="190"/>
      <w:bookmarkEnd w:id="191"/>
    </w:p>
    <w:p w:rsidR="00475419" w:rsidRPr="00535E30" w:rsidRDefault="00475419" w:rsidP="00475419">
      <w:pPr>
        <w:pStyle w:val="Sinespaciado"/>
        <w:spacing w:line="276" w:lineRule="auto"/>
        <w:rPr>
          <w:rFonts w:asciiTheme="minorHAnsi" w:hAnsiTheme="minorHAnsi" w:cs="Arial"/>
          <w:b/>
        </w:rPr>
      </w:pPr>
    </w:p>
    <w:tbl>
      <w:tblPr>
        <w:tblW w:w="5826" w:type="pct"/>
        <w:jc w:val="center"/>
        <w:tblInd w:w="-3517" w:type="dxa"/>
        <w:tblCellMar>
          <w:left w:w="0" w:type="dxa"/>
          <w:right w:w="0" w:type="dxa"/>
        </w:tblCellMar>
        <w:tblLook w:val="04A0" w:firstRow="1" w:lastRow="0" w:firstColumn="1" w:lastColumn="0" w:noHBand="0" w:noVBand="1"/>
      </w:tblPr>
      <w:tblGrid>
        <w:gridCol w:w="1427"/>
        <w:gridCol w:w="964"/>
        <w:gridCol w:w="978"/>
        <w:gridCol w:w="846"/>
        <w:gridCol w:w="6106"/>
      </w:tblGrid>
      <w:tr w:rsidR="00475419" w:rsidRPr="00535E30" w:rsidTr="005678E7">
        <w:trPr>
          <w:trHeight w:val="57"/>
          <w:tblHeader/>
          <w:jc w:val="center"/>
        </w:trPr>
        <w:tc>
          <w:tcPr>
            <w:tcW w:w="691"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467"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474"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410"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2958" w:type="pct"/>
            <w:tcBorders>
              <w:top w:val="single" w:sz="4" w:space="0" w:color="000000"/>
              <w:left w:val="single" w:sz="4" w:space="0" w:color="000000"/>
              <w:bottom w:val="single" w:sz="4" w:space="0" w:color="auto"/>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57"/>
          <w:jc w:val="center"/>
        </w:trPr>
        <w:tc>
          <w:tcPr>
            <w:tcW w:w="69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Desarrollo y promoción del bilingüismo (Estudiantes)</w:t>
            </w:r>
          </w:p>
        </w:tc>
        <w:tc>
          <w:tcPr>
            <w:tcW w:w="46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10,00%</w:t>
            </w:r>
          </w:p>
        </w:tc>
        <w:tc>
          <w:tcPr>
            <w:tcW w:w="47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7,10%</w:t>
            </w:r>
          </w:p>
        </w:tc>
        <w:tc>
          <w:tcPr>
            <w:tcW w:w="410" w:type="pct"/>
            <w:tcBorders>
              <w:top w:val="single" w:sz="4" w:space="0" w:color="000000"/>
              <w:left w:val="single" w:sz="4" w:space="0" w:color="000000"/>
              <w:bottom w:val="single" w:sz="4" w:space="0" w:color="000000"/>
              <w:right w:val="single" w:sz="4" w:space="0" w:color="auto"/>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71,00%</w:t>
            </w:r>
          </w:p>
        </w:tc>
        <w:tc>
          <w:tcPr>
            <w:tcW w:w="2958" w:type="pct"/>
            <w:tcBorders>
              <w:top w:val="single" w:sz="4" w:space="0" w:color="auto"/>
              <w:left w:val="single" w:sz="4" w:space="0" w:color="auto"/>
              <w:bottom w:val="single" w:sz="4" w:space="0" w:color="auto"/>
              <w:right w:val="single" w:sz="4" w:space="0" w:color="auto"/>
            </w:tcBorders>
            <w:shd w:val="clear" w:color="auto" w:fill="auto"/>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theme="minorHAnsi"/>
                <w:sz w:val="20"/>
                <w:szCs w:val="20"/>
              </w:rPr>
              <w:t>La meta es del 10% y el resultado es del 7.1%. Corresponde al total de estudiantes que en lo corrido del año finalizaron los cursos de inglés o presentaron y aprobaron la prueba de suficiencia, sobre el número total de estudiantes de pregrado. La estrategia del ILEX, teniendo como restricción la disponibilidad de salones y de docentes y el número creciente de estudiantes versus el nulo crecimiento en infraestructura física, ha sido la de ofrecer amplias franjas horarias de lunes a domingo y el de trabajar en coordinación con UNIVIRTUAL en una oferta de formación en modalidad online. Esto debe ir acompañado por una divulgación más fuerte en cuanto a la necesidad de que desde los primeros semestres los estudiantes inicien su formación en segunda lengua, por parte del ILEX y de los docentes.</w:t>
            </w:r>
          </w:p>
        </w:tc>
      </w:tr>
      <w:tr w:rsidR="00475419" w:rsidRPr="00535E30" w:rsidTr="005678E7">
        <w:trPr>
          <w:trHeight w:val="57"/>
          <w:jc w:val="center"/>
        </w:trPr>
        <w:tc>
          <w:tcPr>
            <w:tcW w:w="69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Desarrollo y promoción del bilingüismo (Administrativos)</w:t>
            </w:r>
          </w:p>
        </w:tc>
        <w:tc>
          <w:tcPr>
            <w:tcW w:w="46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 xml:space="preserve">40 </w:t>
            </w:r>
            <w:r>
              <w:rPr>
                <w:rFonts w:cs="Arial"/>
                <w:sz w:val="18"/>
                <w:szCs w:val="18"/>
              </w:rPr>
              <w:t>funcionarios</w:t>
            </w:r>
          </w:p>
        </w:tc>
        <w:tc>
          <w:tcPr>
            <w:tcW w:w="47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 xml:space="preserve">61 </w:t>
            </w:r>
            <w:r>
              <w:rPr>
                <w:rFonts w:cs="Arial"/>
                <w:color w:val="000000"/>
                <w:sz w:val="18"/>
                <w:szCs w:val="18"/>
              </w:rPr>
              <w:t>funcionarios</w:t>
            </w:r>
          </w:p>
        </w:tc>
        <w:tc>
          <w:tcPr>
            <w:tcW w:w="410" w:type="pct"/>
            <w:tcBorders>
              <w:top w:val="single" w:sz="4" w:space="0" w:color="000000"/>
              <w:left w:val="single" w:sz="4" w:space="0" w:color="000000"/>
              <w:bottom w:val="single" w:sz="4" w:space="0" w:color="000000"/>
              <w:right w:val="single" w:sz="4" w:space="0" w:color="auto"/>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100,00%</w:t>
            </w:r>
          </w:p>
        </w:tc>
        <w:tc>
          <w:tcPr>
            <w:tcW w:w="2958" w:type="pct"/>
            <w:tcBorders>
              <w:top w:val="single" w:sz="4" w:space="0" w:color="auto"/>
              <w:left w:val="single" w:sz="4" w:space="0" w:color="auto"/>
              <w:bottom w:val="single" w:sz="4" w:space="0" w:color="auto"/>
              <w:right w:val="single" w:sz="4" w:space="0" w:color="auto"/>
            </w:tcBorders>
            <w:shd w:val="clear" w:color="auto" w:fill="auto"/>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theme="minorHAnsi"/>
                <w:sz w:val="20"/>
                <w:szCs w:val="20"/>
              </w:rPr>
              <w:t xml:space="preserve">La aplicación de estrategias de bilingüismo para funcionarios administrativos planteadas por la Vicerrectoría Administrativa en cuanto a promover el estudio de una segunda lengua mediante la oferta de cursos en el ILEX y programas de inmersión en el exterior, se refleja en el incremento de los resultados al cierre del 2012: siendo la meta de 40 administrativos, se logró un resultado de 61 funcionarios en formación de segunda lengua. </w:t>
            </w:r>
          </w:p>
        </w:tc>
      </w:tr>
      <w:tr w:rsidR="00475419" w:rsidRPr="00535E30" w:rsidTr="005678E7">
        <w:trPr>
          <w:trHeight w:val="57"/>
          <w:jc w:val="center"/>
        </w:trPr>
        <w:tc>
          <w:tcPr>
            <w:tcW w:w="69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Desarrollo y promoción del bilingüismo (Docentes)</w:t>
            </w:r>
          </w:p>
        </w:tc>
        <w:tc>
          <w:tcPr>
            <w:tcW w:w="46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 xml:space="preserve">80 </w:t>
            </w:r>
            <w:r>
              <w:rPr>
                <w:rFonts w:cs="Arial"/>
                <w:sz w:val="18"/>
                <w:szCs w:val="18"/>
              </w:rPr>
              <w:t>docentes</w:t>
            </w:r>
          </w:p>
        </w:tc>
        <w:tc>
          <w:tcPr>
            <w:tcW w:w="47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 xml:space="preserve">79 </w:t>
            </w:r>
            <w:r>
              <w:rPr>
                <w:rFonts w:cs="Arial"/>
                <w:color w:val="000000"/>
                <w:sz w:val="18"/>
                <w:szCs w:val="18"/>
              </w:rPr>
              <w:t>docentes</w:t>
            </w:r>
          </w:p>
        </w:tc>
        <w:tc>
          <w:tcPr>
            <w:tcW w:w="410" w:type="pct"/>
            <w:tcBorders>
              <w:top w:val="single" w:sz="4" w:space="0" w:color="000000"/>
              <w:left w:val="single" w:sz="4" w:space="0" w:color="000000"/>
              <w:bottom w:val="single" w:sz="4" w:space="0" w:color="000000"/>
              <w:right w:val="single" w:sz="4" w:space="0" w:color="auto"/>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98,75%</w:t>
            </w:r>
          </w:p>
        </w:tc>
        <w:tc>
          <w:tcPr>
            <w:tcW w:w="2958" w:type="pct"/>
            <w:tcBorders>
              <w:top w:val="single" w:sz="4" w:space="0" w:color="auto"/>
              <w:left w:val="single" w:sz="4" w:space="0" w:color="auto"/>
              <w:bottom w:val="single" w:sz="4" w:space="0" w:color="auto"/>
              <w:right w:val="single" w:sz="4" w:space="0" w:color="auto"/>
            </w:tcBorders>
            <w:shd w:val="clear" w:color="auto" w:fill="auto"/>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theme="minorHAnsi"/>
                <w:sz w:val="20"/>
                <w:szCs w:val="20"/>
              </w:rPr>
              <w:t>La estrategia de cursos de formación en coordinación con el Colombo Americano en Pereira y los programas de inmersión en Estados Unidos promovieron la participación de los docentes en cursos de formación en segunda lengua. El cierre para la vigencia 2012 es de 79 de una meta de 80 en formación. No hubo novedad para diciembre, no se anexa soporte.</w:t>
            </w:r>
          </w:p>
        </w:tc>
      </w:tr>
      <w:tr w:rsidR="00475419" w:rsidRPr="00535E30" w:rsidTr="005678E7">
        <w:trPr>
          <w:trHeight w:val="57"/>
          <w:jc w:val="center"/>
        </w:trPr>
        <w:tc>
          <w:tcPr>
            <w:tcW w:w="69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Convenios internacionales</w:t>
            </w:r>
          </w:p>
        </w:tc>
        <w:tc>
          <w:tcPr>
            <w:tcW w:w="46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65,00%</w:t>
            </w:r>
          </w:p>
        </w:tc>
        <w:tc>
          <w:tcPr>
            <w:tcW w:w="47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65,00%</w:t>
            </w:r>
          </w:p>
        </w:tc>
        <w:tc>
          <w:tcPr>
            <w:tcW w:w="410" w:type="pct"/>
            <w:tcBorders>
              <w:top w:val="single" w:sz="4" w:space="0" w:color="000000"/>
              <w:left w:val="single" w:sz="4" w:space="0" w:color="000000"/>
              <w:bottom w:val="single" w:sz="4" w:space="0" w:color="000000"/>
              <w:right w:val="single" w:sz="4" w:space="0" w:color="auto"/>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100,00%</w:t>
            </w:r>
          </w:p>
        </w:tc>
        <w:tc>
          <w:tcPr>
            <w:tcW w:w="2958" w:type="pct"/>
            <w:tcBorders>
              <w:top w:val="single" w:sz="4" w:space="0" w:color="auto"/>
              <w:left w:val="single" w:sz="4" w:space="0" w:color="auto"/>
              <w:bottom w:val="single" w:sz="4" w:space="0" w:color="auto"/>
              <w:right w:val="single" w:sz="4" w:space="0" w:color="auto"/>
            </w:tcBorders>
            <w:shd w:val="clear" w:color="auto" w:fill="auto"/>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theme="minorHAnsi"/>
                <w:sz w:val="20"/>
                <w:szCs w:val="20"/>
              </w:rPr>
              <w:t xml:space="preserve">La meta es de 65% y el cumplimiento fue de 65% al cierre de la vigencia. La ORI apoya la gestión de los docentes e investigadores mediante la institucionalización de convenios con instituciones de educación superior y se encarga de dinamizar por la oficina directamente, los relacionados con movilidad estudiantil en ambas vías. </w:t>
            </w:r>
          </w:p>
        </w:tc>
      </w:tr>
      <w:tr w:rsidR="00475419" w:rsidRPr="00535E30" w:rsidTr="005678E7">
        <w:trPr>
          <w:trHeight w:val="57"/>
          <w:jc w:val="center"/>
        </w:trPr>
        <w:tc>
          <w:tcPr>
            <w:tcW w:w="69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Grupos registrados y reconocidos por Colciencias Pertenecientes a Redes de Investigación internacionales</w:t>
            </w:r>
          </w:p>
        </w:tc>
        <w:tc>
          <w:tcPr>
            <w:tcW w:w="46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12 grupos</w:t>
            </w:r>
          </w:p>
        </w:tc>
        <w:tc>
          <w:tcPr>
            <w:tcW w:w="47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14 grupos</w:t>
            </w:r>
          </w:p>
        </w:tc>
        <w:tc>
          <w:tcPr>
            <w:tcW w:w="410" w:type="pct"/>
            <w:tcBorders>
              <w:top w:val="single" w:sz="4" w:space="0" w:color="000000"/>
              <w:left w:val="single" w:sz="4" w:space="0" w:color="000000"/>
              <w:bottom w:val="single" w:sz="4" w:space="0" w:color="000000"/>
              <w:right w:val="single" w:sz="4" w:space="0" w:color="auto"/>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100,00%</w:t>
            </w:r>
          </w:p>
        </w:tc>
        <w:tc>
          <w:tcPr>
            <w:tcW w:w="2958" w:type="pct"/>
            <w:tcBorders>
              <w:top w:val="single" w:sz="4" w:space="0" w:color="auto"/>
              <w:left w:val="single" w:sz="4" w:space="0" w:color="auto"/>
              <w:bottom w:val="single" w:sz="4" w:space="0" w:color="auto"/>
              <w:right w:val="single" w:sz="4" w:space="0" w:color="auto"/>
            </w:tcBorders>
            <w:shd w:val="clear" w:color="auto" w:fill="auto"/>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theme="minorHAnsi"/>
                <w:sz w:val="20"/>
                <w:szCs w:val="20"/>
              </w:rPr>
              <w:t xml:space="preserve">La Vicerrectoría de Investigación Innovación y extensión reportó 14 grupos trabajando en redes internacionales. Con respecto a los grupos de investigación, la Vicerrectoría de Investigación, Innovación y Extensión realiza entre otras las siguientes actividades para promover y fortalecer las redes de investigación internacional: acompañamiento en la formulación de proyectos de investigación para convocatorias externas en entidades internacionales, apoyo económico para el desplazamiento de investigadores internacionales con el fin de realizar eventos conducentes al fortalecimiento de las capacidades de los grupos de investigación locales, apoyo económico para el desplazamiento de investigadores de la </w:t>
            </w:r>
            <w:r w:rsidRPr="00535E30">
              <w:rPr>
                <w:rFonts w:asciiTheme="minorHAnsi" w:hAnsiTheme="minorHAnsi" w:cstheme="minorHAnsi"/>
                <w:sz w:val="20"/>
                <w:szCs w:val="20"/>
              </w:rPr>
              <w:lastRenderedPageBreak/>
              <w:t xml:space="preserve">UTP para participar en eventos internacionales relacionados con investigación. </w:t>
            </w:r>
          </w:p>
        </w:tc>
      </w:tr>
      <w:tr w:rsidR="00475419" w:rsidRPr="00535E30" w:rsidTr="005678E7">
        <w:trPr>
          <w:trHeight w:val="57"/>
          <w:jc w:val="center"/>
        </w:trPr>
        <w:tc>
          <w:tcPr>
            <w:tcW w:w="69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lastRenderedPageBreak/>
              <w:t>Movilidad de estudiantes (Estudiantes UTP en el extranjero)</w:t>
            </w:r>
          </w:p>
        </w:tc>
        <w:tc>
          <w:tcPr>
            <w:tcW w:w="46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20 estudiantes</w:t>
            </w:r>
          </w:p>
        </w:tc>
        <w:tc>
          <w:tcPr>
            <w:tcW w:w="47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28 estudiantes</w:t>
            </w:r>
          </w:p>
        </w:tc>
        <w:tc>
          <w:tcPr>
            <w:tcW w:w="410" w:type="pct"/>
            <w:tcBorders>
              <w:top w:val="single" w:sz="4" w:space="0" w:color="000000"/>
              <w:left w:val="single" w:sz="4" w:space="0" w:color="000000"/>
              <w:bottom w:val="single" w:sz="4" w:space="0" w:color="000000"/>
              <w:right w:val="single" w:sz="4" w:space="0" w:color="auto"/>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100,00%</w:t>
            </w:r>
          </w:p>
        </w:tc>
        <w:tc>
          <w:tcPr>
            <w:tcW w:w="2958" w:type="pct"/>
            <w:tcBorders>
              <w:top w:val="single" w:sz="4" w:space="0" w:color="auto"/>
              <w:left w:val="single" w:sz="4" w:space="0" w:color="auto"/>
              <w:bottom w:val="single" w:sz="4" w:space="0" w:color="auto"/>
              <w:right w:val="single" w:sz="4" w:space="0" w:color="auto"/>
            </w:tcBorders>
            <w:shd w:val="clear" w:color="auto" w:fill="auto"/>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theme="minorHAnsi"/>
                <w:sz w:val="20"/>
                <w:szCs w:val="20"/>
              </w:rPr>
              <w:t xml:space="preserve">La meta es de 20 estudiantes, y el cumplimiento para la vigencia de 2013 fue de 28. Este incremento se debe al interés creciente por parte de la comunidad estudiantil de contar con la experiencia internacional: además y gracias a una mejor comunicación con las facultades, estamos recibiendo cada vez más visitas por parte de los estudiantes que aplican a movilidad internacional incluso en relación con pasantías cortas. La ORI atiende cada vez más solicitudes de información al respecto. </w:t>
            </w:r>
          </w:p>
        </w:tc>
      </w:tr>
      <w:tr w:rsidR="00475419" w:rsidRPr="00535E30" w:rsidTr="005678E7">
        <w:trPr>
          <w:trHeight w:val="57"/>
          <w:jc w:val="center"/>
        </w:trPr>
        <w:tc>
          <w:tcPr>
            <w:tcW w:w="69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Movilidad de estudiantes (Estudiantes extranjeros en la UTP)</w:t>
            </w:r>
          </w:p>
        </w:tc>
        <w:tc>
          <w:tcPr>
            <w:tcW w:w="46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12 estudiantes</w:t>
            </w:r>
          </w:p>
        </w:tc>
        <w:tc>
          <w:tcPr>
            <w:tcW w:w="47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20 estudiantes</w:t>
            </w:r>
          </w:p>
        </w:tc>
        <w:tc>
          <w:tcPr>
            <w:tcW w:w="410" w:type="pct"/>
            <w:tcBorders>
              <w:top w:val="single" w:sz="4" w:space="0" w:color="000000"/>
              <w:left w:val="single" w:sz="4" w:space="0" w:color="000000"/>
              <w:bottom w:val="single" w:sz="4" w:space="0" w:color="000000"/>
              <w:right w:val="single" w:sz="4" w:space="0" w:color="auto"/>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100,00%</w:t>
            </w:r>
          </w:p>
        </w:tc>
        <w:tc>
          <w:tcPr>
            <w:tcW w:w="2958" w:type="pct"/>
            <w:tcBorders>
              <w:top w:val="single" w:sz="4" w:space="0" w:color="auto"/>
              <w:left w:val="single" w:sz="4" w:space="0" w:color="auto"/>
              <w:bottom w:val="single" w:sz="4" w:space="0" w:color="auto"/>
              <w:right w:val="single" w:sz="4" w:space="0" w:color="auto"/>
            </w:tcBorders>
            <w:shd w:val="clear" w:color="auto" w:fill="auto"/>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theme="minorHAnsi"/>
                <w:sz w:val="20"/>
                <w:szCs w:val="20"/>
              </w:rPr>
              <w:t>La meta es de 12 y el cumplimiento de la vigencia 2012 fue de 20. Como estrategia, la ORI ha lanzado las convocatorias internacionales a las IES con quién se tiene un convenio. Además y con base en la experiencia, se ha venido mejorando la gestión operativa y administrativa para la recepción de estudiantes. La ORI ha mejorado su página web con la inclusión de las guías informativas para estudiantes extranjeros y estudiantes UTP y de los formatos para la aplicación a la movilidad de extranjeros en la UTP. A nivel de la Rectoría, se han firmado convenios como universidad asociada a ASCUN, para apoyo y promoción de la movilidad estudiantil internacional con Argentina (Movilidad Académica Colombia Argentina - MACA) y con Brasil (Brasil Colombia, BRACOL).No hubo cambios para diciembre, no se anexa soporte.</w:t>
            </w:r>
          </w:p>
        </w:tc>
      </w:tr>
      <w:tr w:rsidR="00475419" w:rsidRPr="00535E30" w:rsidTr="005678E7">
        <w:trPr>
          <w:trHeight w:val="57"/>
          <w:jc w:val="center"/>
        </w:trPr>
        <w:tc>
          <w:tcPr>
            <w:tcW w:w="69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N° de docentes que salen al exterior</w:t>
            </w:r>
          </w:p>
        </w:tc>
        <w:tc>
          <w:tcPr>
            <w:tcW w:w="46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200 docentes</w:t>
            </w:r>
          </w:p>
        </w:tc>
        <w:tc>
          <w:tcPr>
            <w:tcW w:w="47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187 docentes</w:t>
            </w:r>
          </w:p>
        </w:tc>
        <w:tc>
          <w:tcPr>
            <w:tcW w:w="410" w:type="pct"/>
            <w:tcBorders>
              <w:top w:val="single" w:sz="4" w:space="0" w:color="000000"/>
              <w:left w:val="single" w:sz="4" w:space="0" w:color="000000"/>
              <w:bottom w:val="single" w:sz="4" w:space="0" w:color="000000"/>
              <w:right w:val="single" w:sz="4" w:space="0" w:color="auto"/>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93,50%</w:t>
            </w:r>
          </w:p>
        </w:tc>
        <w:tc>
          <w:tcPr>
            <w:tcW w:w="2958" w:type="pct"/>
            <w:tcBorders>
              <w:top w:val="single" w:sz="4" w:space="0" w:color="auto"/>
              <w:left w:val="single" w:sz="4" w:space="0" w:color="auto"/>
              <w:bottom w:val="single" w:sz="4" w:space="0" w:color="auto"/>
              <w:right w:val="single" w:sz="4" w:space="0" w:color="auto"/>
            </w:tcBorders>
            <w:shd w:val="clear" w:color="auto" w:fill="auto"/>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theme="minorHAnsi"/>
                <w:sz w:val="20"/>
                <w:szCs w:val="20"/>
              </w:rPr>
              <w:t>El indicador mide el número de docentes que salen al exterior. La meta es de 200 y el cumplimiento final es de 187. El indicador incluye cursos cortos, profesores visitantes, estancias de investigación, estudios de Doctorado, profesor de Maestría, ponencias. Esta información es entregada por Personal. No hay novedad en diciembre, no se anexa soporte</w:t>
            </w:r>
          </w:p>
        </w:tc>
      </w:tr>
      <w:tr w:rsidR="00475419" w:rsidRPr="00535E30" w:rsidTr="005678E7">
        <w:trPr>
          <w:trHeight w:val="57"/>
          <w:jc w:val="center"/>
        </w:trPr>
        <w:tc>
          <w:tcPr>
            <w:tcW w:w="69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Pares académicos</w:t>
            </w:r>
          </w:p>
        </w:tc>
        <w:tc>
          <w:tcPr>
            <w:tcW w:w="46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15 pares activos</w:t>
            </w:r>
          </w:p>
        </w:tc>
        <w:tc>
          <w:tcPr>
            <w:tcW w:w="47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16 pares activos</w:t>
            </w:r>
          </w:p>
        </w:tc>
        <w:tc>
          <w:tcPr>
            <w:tcW w:w="410" w:type="pct"/>
            <w:tcBorders>
              <w:top w:val="single" w:sz="4" w:space="0" w:color="000000"/>
              <w:left w:val="single" w:sz="4" w:space="0" w:color="000000"/>
              <w:bottom w:val="single" w:sz="4" w:space="0" w:color="000000"/>
              <w:right w:val="single" w:sz="4" w:space="0" w:color="auto"/>
            </w:tcBorders>
            <w:shd w:val="clear" w:color="auto" w:fill="auto"/>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100,00%</w:t>
            </w:r>
          </w:p>
        </w:tc>
        <w:tc>
          <w:tcPr>
            <w:tcW w:w="2958" w:type="pct"/>
            <w:tcBorders>
              <w:top w:val="single" w:sz="4" w:space="0" w:color="auto"/>
              <w:left w:val="single" w:sz="4" w:space="0" w:color="auto"/>
              <w:bottom w:val="single" w:sz="4" w:space="0" w:color="auto"/>
              <w:right w:val="single" w:sz="4" w:space="0" w:color="auto"/>
            </w:tcBorders>
            <w:shd w:val="clear" w:color="auto" w:fill="auto"/>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theme="minorHAnsi"/>
                <w:sz w:val="20"/>
                <w:szCs w:val="20"/>
              </w:rPr>
              <w:t xml:space="preserve">Este proyecto tiene como objetivo la búsqueda y consolidación de relaciones con pares académicos en el exterior. El indicador da el número de pares académicos activos internacionales con que cuentan las facultades de la UTP. La meta es de 15 y el cumplimiento final fue de 16. Este dato se fundamenta en la revisión de las actividades que dan origen a proyectos conjuntes tales como movilidad docente y/o de investigadores, presentación de ponencias, seminarios y trabajos con miras a fortalecer los programas y/o generar dobles diplomas. Aún no se cuenta con datos de todas las Facultades, se está revisando la cadena de logro con el fin de facilitar el flujo, oportunidad y exactitud de la información. La meta ha sido superada debido a que hay una gestión mayor por parte de las Facultades con respecto a las actividades que se realizan con pares académicos internacionales y además la gestión de la ORI ha permitido conseguir la información. La Rectoría y la ORI mediante su participación activas en misionas académicas y ferias internacionales han logrado ir posicionando y </w:t>
            </w:r>
            <w:r w:rsidRPr="00535E30">
              <w:rPr>
                <w:rFonts w:asciiTheme="minorHAnsi" w:hAnsiTheme="minorHAnsi" w:cstheme="minorHAnsi"/>
                <w:sz w:val="20"/>
                <w:szCs w:val="20"/>
              </w:rPr>
              <w:lastRenderedPageBreak/>
              <w:t>haciendo visible cada vez más a la UTP. No se reportan novedades a diciembre de 2012.</w:t>
            </w:r>
          </w:p>
        </w:tc>
      </w:tr>
      <w:tr w:rsidR="00475419" w:rsidRPr="00535E30" w:rsidTr="005678E7">
        <w:trPr>
          <w:trHeight w:val="57"/>
          <w:jc w:val="center"/>
        </w:trPr>
        <w:tc>
          <w:tcPr>
            <w:tcW w:w="69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lastRenderedPageBreak/>
              <w:t>Asignaturas orientadas por profesores extranjeros visitantes</w:t>
            </w:r>
          </w:p>
        </w:tc>
        <w:tc>
          <w:tcPr>
            <w:tcW w:w="46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3 asignaturas</w:t>
            </w:r>
          </w:p>
        </w:tc>
        <w:tc>
          <w:tcPr>
            <w:tcW w:w="47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7 asignaturas</w:t>
            </w:r>
          </w:p>
        </w:tc>
        <w:tc>
          <w:tcPr>
            <w:tcW w:w="410" w:type="pct"/>
            <w:tcBorders>
              <w:top w:val="single" w:sz="4" w:space="0" w:color="000000"/>
              <w:left w:val="single" w:sz="4" w:space="0" w:color="000000"/>
              <w:bottom w:val="single" w:sz="4" w:space="0" w:color="000000"/>
              <w:right w:val="single" w:sz="4" w:space="0" w:color="auto"/>
            </w:tcBorders>
            <w:shd w:val="clear" w:color="auto" w:fill="auto"/>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100,00%</w:t>
            </w:r>
          </w:p>
        </w:tc>
        <w:tc>
          <w:tcPr>
            <w:tcW w:w="2958" w:type="pct"/>
            <w:tcBorders>
              <w:top w:val="single" w:sz="4" w:space="0" w:color="auto"/>
              <w:left w:val="single" w:sz="4" w:space="0" w:color="auto"/>
              <w:bottom w:val="single" w:sz="4" w:space="0" w:color="auto"/>
              <w:right w:val="single" w:sz="4" w:space="0" w:color="auto"/>
            </w:tcBorders>
            <w:shd w:val="clear" w:color="auto" w:fill="auto"/>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theme="minorHAnsi"/>
                <w:sz w:val="20"/>
                <w:szCs w:val="20"/>
              </w:rPr>
              <w:t>La meta es de 3 y el cumplimiento fue de 7. El incremento se debió especialmente a las materias que se dictan en los posgrados: el Doctorado en Ingeniería (3), la Maestría en Ingeniería Eléctrica (1), la Maestría en Educación (2) y la Maestría en Ingeniería Mecánica. Está pendiente por establecer la estrategia explícita, sin embargo se ve una activa dinámica a nivel de posgrado, no de pregrado No hay novedad que reportar en diciembre, no se anexa soporte.</w:t>
            </w:r>
          </w:p>
        </w:tc>
      </w:tr>
      <w:tr w:rsidR="00475419" w:rsidRPr="00535E30" w:rsidTr="005678E7">
        <w:trPr>
          <w:trHeight w:val="57"/>
          <w:jc w:val="center"/>
        </w:trPr>
        <w:tc>
          <w:tcPr>
            <w:tcW w:w="69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Organización de eventos internacionales</w:t>
            </w:r>
          </w:p>
        </w:tc>
        <w:tc>
          <w:tcPr>
            <w:tcW w:w="46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4 eventos</w:t>
            </w:r>
          </w:p>
        </w:tc>
        <w:tc>
          <w:tcPr>
            <w:tcW w:w="47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5 eventos</w:t>
            </w:r>
          </w:p>
        </w:tc>
        <w:tc>
          <w:tcPr>
            <w:tcW w:w="410" w:type="pct"/>
            <w:tcBorders>
              <w:top w:val="single" w:sz="4" w:space="0" w:color="000000"/>
              <w:left w:val="single" w:sz="4" w:space="0" w:color="000000"/>
              <w:bottom w:val="single" w:sz="4" w:space="0" w:color="000000"/>
              <w:right w:val="single" w:sz="4" w:space="0" w:color="auto"/>
            </w:tcBorders>
            <w:shd w:val="clear" w:color="auto" w:fill="auto"/>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100,00%</w:t>
            </w:r>
          </w:p>
        </w:tc>
        <w:tc>
          <w:tcPr>
            <w:tcW w:w="2958" w:type="pct"/>
            <w:tcBorders>
              <w:top w:val="single" w:sz="4" w:space="0" w:color="auto"/>
              <w:left w:val="single" w:sz="4" w:space="0" w:color="auto"/>
              <w:bottom w:val="single" w:sz="4" w:space="0" w:color="auto"/>
              <w:right w:val="single" w:sz="4" w:space="0" w:color="auto"/>
            </w:tcBorders>
            <w:shd w:val="clear" w:color="auto" w:fill="auto"/>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theme="minorHAnsi"/>
                <w:sz w:val="20"/>
                <w:szCs w:val="20"/>
              </w:rPr>
              <w:t>La meta es de 4 y el cumplimiento fue de 5, correspondientes a eventos programados desde Ciencias Ambientales e Ingeniería Mecánica. Está pendiente por definir una estrategia institucional, sin embargo la ORI realiza un apoyo efectivo en trámites y logística. Hay planes de trabajo que se manejan a nivel de facultad (ejemplo: simposios internacionales de las facultades de Ingenierías, de Ciencias Ambientales, de la Vicerrectoría de Investigación Innovación y extensión). No hay novedad para diciembre, no se anexa soporte.</w:t>
            </w:r>
          </w:p>
        </w:tc>
      </w:tr>
      <w:tr w:rsidR="00475419" w:rsidRPr="00535E30" w:rsidTr="005678E7">
        <w:trPr>
          <w:trHeight w:val="57"/>
          <w:jc w:val="center"/>
        </w:trPr>
        <w:tc>
          <w:tcPr>
            <w:tcW w:w="69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N° de docentes que dan ponencias</w:t>
            </w:r>
          </w:p>
        </w:tc>
        <w:tc>
          <w:tcPr>
            <w:tcW w:w="46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35</w:t>
            </w:r>
          </w:p>
        </w:tc>
        <w:tc>
          <w:tcPr>
            <w:tcW w:w="47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52</w:t>
            </w:r>
          </w:p>
        </w:tc>
        <w:tc>
          <w:tcPr>
            <w:tcW w:w="410" w:type="pct"/>
            <w:tcBorders>
              <w:top w:val="single" w:sz="4" w:space="0" w:color="000000"/>
              <w:left w:val="single" w:sz="4" w:space="0" w:color="000000"/>
              <w:bottom w:val="single" w:sz="4" w:space="0" w:color="000000"/>
              <w:right w:val="single" w:sz="4" w:space="0" w:color="auto"/>
            </w:tcBorders>
            <w:shd w:val="clear" w:color="auto" w:fill="auto"/>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100,00%</w:t>
            </w:r>
          </w:p>
        </w:tc>
        <w:tc>
          <w:tcPr>
            <w:tcW w:w="2958" w:type="pct"/>
            <w:tcBorders>
              <w:top w:val="single" w:sz="4" w:space="0" w:color="auto"/>
              <w:left w:val="single" w:sz="4" w:space="0" w:color="auto"/>
              <w:bottom w:val="single" w:sz="4" w:space="0" w:color="auto"/>
              <w:right w:val="single" w:sz="4" w:space="0" w:color="auto"/>
            </w:tcBorders>
            <w:shd w:val="clear" w:color="auto" w:fill="auto"/>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theme="minorHAnsi"/>
                <w:sz w:val="20"/>
                <w:szCs w:val="20"/>
              </w:rPr>
              <w:t xml:space="preserve">El indicador mide la participación de docentes, investigadores y grupos de investigación de la UTP a través de ponencias en eventos internacionales. La meta es de 35 y el cumplimiento fue de 52. Esta información es enviada por Personal. </w:t>
            </w:r>
          </w:p>
        </w:tc>
      </w:tr>
      <w:tr w:rsidR="00475419" w:rsidRPr="00535E30" w:rsidTr="005678E7">
        <w:trPr>
          <w:trHeight w:val="57"/>
          <w:jc w:val="center"/>
        </w:trPr>
        <w:tc>
          <w:tcPr>
            <w:tcW w:w="69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Membresías y participaciones en asociaciones internacionales</w:t>
            </w:r>
          </w:p>
        </w:tc>
        <w:tc>
          <w:tcPr>
            <w:tcW w:w="46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5</w:t>
            </w:r>
          </w:p>
        </w:tc>
        <w:tc>
          <w:tcPr>
            <w:tcW w:w="47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4</w:t>
            </w:r>
          </w:p>
        </w:tc>
        <w:tc>
          <w:tcPr>
            <w:tcW w:w="410" w:type="pct"/>
            <w:tcBorders>
              <w:top w:val="single" w:sz="4" w:space="0" w:color="000000"/>
              <w:left w:val="single" w:sz="4" w:space="0" w:color="000000"/>
              <w:bottom w:val="single" w:sz="4" w:space="0" w:color="000000"/>
              <w:right w:val="single" w:sz="4" w:space="0" w:color="auto"/>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80,00%</w:t>
            </w:r>
          </w:p>
        </w:tc>
        <w:tc>
          <w:tcPr>
            <w:tcW w:w="2958" w:type="pct"/>
            <w:tcBorders>
              <w:top w:val="single" w:sz="4" w:space="0" w:color="auto"/>
              <w:left w:val="single" w:sz="4" w:space="0" w:color="auto"/>
              <w:bottom w:val="single" w:sz="4" w:space="0" w:color="auto"/>
              <w:right w:val="single" w:sz="4" w:space="0" w:color="auto"/>
            </w:tcBorders>
            <w:shd w:val="clear" w:color="auto" w:fill="auto"/>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theme="minorHAnsi"/>
                <w:sz w:val="20"/>
                <w:szCs w:val="20"/>
              </w:rPr>
              <w:t>El indicador busca cuantificar la participación de la Universidad en asociaciones internacionales. La meta es de 5 y el cumplimiento fue de  4. Una comunicación más fluida entre la ORI y la Vicerrectoría Académica y otras áreas de la Universidad, facilita el reporte de las mismas, no hay una estrategia institucional explícita definida, más bien surgen por necesidades o contactos individuales que luego se concretan en alianzas y trabajos en red con asociaciones internacionales.</w:t>
            </w:r>
          </w:p>
        </w:tc>
      </w:tr>
    </w:tbl>
    <w:p w:rsidR="00475419" w:rsidRDefault="00475419" w:rsidP="00475419">
      <w:pPr>
        <w:pStyle w:val="Sinespaciado"/>
        <w:spacing w:line="276" w:lineRule="auto"/>
        <w:jc w:val="center"/>
        <w:rPr>
          <w:rFonts w:asciiTheme="minorHAnsi" w:hAnsiTheme="minorHAnsi" w:cs="Arial"/>
          <w:b/>
        </w:rPr>
      </w:pPr>
    </w:p>
    <w:p w:rsidR="00475419" w:rsidRDefault="00475419" w:rsidP="00475419">
      <w:pPr>
        <w:spacing w:after="200" w:line="276" w:lineRule="auto"/>
        <w:jc w:val="left"/>
        <w:rPr>
          <w:rFonts w:asciiTheme="minorHAnsi" w:hAnsiTheme="minorHAnsi" w:cs="Arial"/>
          <w:b/>
        </w:rPr>
      </w:pPr>
      <w:r>
        <w:rPr>
          <w:rFonts w:asciiTheme="minorHAnsi" w:hAnsiTheme="minorHAnsi" w:cs="Arial"/>
          <w:b/>
        </w:rPr>
        <w:br w:type="page"/>
      </w:r>
    </w:p>
    <w:p w:rsidR="00475419" w:rsidRPr="00535E30" w:rsidRDefault="00475419" w:rsidP="00475419">
      <w:pPr>
        <w:pStyle w:val="Sinespaciado"/>
        <w:spacing w:line="276" w:lineRule="auto"/>
        <w:rPr>
          <w:rFonts w:asciiTheme="minorHAnsi" w:hAnsiTheme="minorHAnsi" w:cs="Arial"/>
          <w:b/>
        </w:rPr>
      </w:pPr>
      <w:r w:rsidRPr="00535E30">
        <w:rPr>
          <w:rFonts w:asciiTheme="minorHAnsi" w:hAnsiTheme="minorHAnsi" w:cs="Arial"/>
          <w:b/>
          <w:bCs/>
        </w:rPr>
        <w:lastRenderedPageBreak/>
        <w:t>Gestión de la Información en Internacionalización</w:t>
      </w:r>
    </w:p>
    <w:p w:rsidR="00475419" w:rsidRPr="00535E30" w:rsidRDefault="00475419" w:rsidP="00475419">
      <w:pPr>
        <w:pStyle w:val="Sinespaciado"/>
        <w:spacing w:line="276" w:lineRule="auto"/>
        <w:rPr>
          <w:rFonts w:asciiTheme="minorHAnsi" w:hAnsiTheme="minorHAnsi" w:cs="Arial"/>
          <w:b/>
        </w:rPr>
      </w:pPr>
    </w:p>
    <w:tbl>
      <w:tblPr>
        <w:tblW w:w="5817" w:type="pct"/>
        <w:jc w:val="center"/>
        <w:tblInd w:w="-3517" w:type="dxa"/>
        <w:tblCellMar>
          <w:left w:w="0" w:type="dxa"/>
          <w:right w:w="0" w:type="dxa"/>
        </w:tblCellMar>
        <w:tblLook w:val="04A0" w:firstRow="1" w:lastRow="0" w:firstColumn="1" w:lastColumn="0" w:noHBand="0" w:noVBand="1"/>
      </w:tblPr>
      <w:tblGrid>
        <w:gridCol w:w="1354"/>
        <w:gridCol w:w="983"/>
        <w:gridCol w:w="998"/>
        <w:gridCol w:w="861"/>
        <w:gridCol w:w="6109"/>
      </w:tblGrid>
      <w:tr w:rsidR="00475419" w:rsidRPr="00535E30" w:rsidTr="005678E7">
        <w:trPr>
          <w:trHeight w:val="57"/>
          <w:tblHeader/>
          <w:jc w:val="center"/>
        </w:trPr>
        <w:tc>
          <w:tcPr>
            <w:tcW w:w="657"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477"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484"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418"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2964"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3239"/>
          <w:jc w:val="center"/>
        </w:trPr>
        <w:tc>
          <w:tcPr>
            <w:tcW w:w="65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rPr>
                <w:rFonts w:cs="Arial"/>
                <w:sz w:val="18"/>
                <w:szCs w:val="18"/>
              </w:rPr>
            </w:pPr>
            <w:r w:rsidRPr="00535E30">
              <w:rPr>
                <w:rFonts w:cs="Arial"/>
                <w:sz w:val="18"/>
                <w:szCs w:val="18"/>
              </w:rPr>
              <w:t>Gestión de la información</w:t>
            </w:r>
          </w:p>
        </w:tc>
        <w:tc>
          <w:tcPr>
            <w:tcW w:w="47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50,00%</w:t>
            </w:r>
          </w:p>
        </w:tc>
        <w:tc>
          <w:tcPr>
            <w:tcW w:w="48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15,00%</w:t>
            </w:r>
          </w:p>
        </w:tc>
        <w:tc>
          <w:tcPr>
            <w:tcW w:w="418" w:type="pct"/>
            <w:tcBorders>
              <w:top w:val="single" w:sz="4" w:space="0" w:color="000000"/>
              <w:left w:val="single" w:sz="4" w:space="0" w:color="000000"/>
              <w:bottom w:val="single" w:sz="4" w:space="0" w:color="000000"/>
              <w:right w:val="single" w:sz="4" w:space="0" w:color="000000"/>
            </w:tcBorders>
            <w:shd w:val="clear" w:color="auto" w:fill="auto"/>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30,00%</w:t>
            </w:r>
          </w:p>
        </w:tc>
        <w:tc>
          <w:tcPr>
            <w:tcW w:w="2964"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El indicador de gestión de la información está conformado en un 50% por el avance del software de internacionalización más un 50% de reportes de las fuentes de los indicadores. La meta para este año es del 50%.</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Al cierre de la vigencia, la información que deben generar las fuentes reporta un avance bajo, al igual que el desarrollo de un software que apoye la operación y gestión de la ORI.  </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Se han realizado reuniones con la División de Sistemas para definir los requerimientos del módulo de movilidad estudiantil (entrante/saliente), está pendiente comenzar a hacer pruebas.  </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Con respecto al bilingüismo de estudiantes (ILEX) se han hecho avances importantes pero más que todo en lo relacionado con la operación del Instituto, sin embargo esperamos que esto se vea reflejado en un mejor y oportuno acceso a la información estadística. </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A nivel de las fuentes de la información que debe llegar a la ORI, sabemos que se está trabajando en varios módulos, pero no conocemos su avance. </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Para el 2013, se espera un acercamiento a la División de Sistemas con el fin de volver a evaluar el estado del Sistema de Información.</w:t>
            </w:r>
          </w:p>
        </w:tc>
      </w:tr>
    </w:tbl>
    <w:p w:rsidR="00475419" w:rsidRPr="00535E30" w:rsidRDefault="00475419" w:rsidP="00475419">
      <w:pPr>
        <w:pStyle w:val="Ttulo2"/>
        <w:spacing w:line="276" w:lineRule="auto"/>
      </w:pPr>
      <w:bookmarkStart w:id="192" w:name="_Toc304826950"/>
      <w:bookmarkStart w:id="193" w:name="_Toc347392856"/>
      <w:bookmarkStart w:id="194" w:name="_Toc350957791"/>
      <w:bookmarkStart w:id="195" w:name="_Toc354671384"/>
      <w:r w:rsidRPr="00535E30">
        <w:rPr>
          <w:caps w:val="0"/>
        </w:rPr>
        <w:t>COMPONENTES IMPACTO REGIONAL</w:t>
      </w:r>
      <w:bookmarkEnd w:id="192"/>
      <w:bookmarkEnd w:id="193"/>
      <w:bookmarkEnd w:id="194"/>
      <w:bookmarkEnd w:id="195"/>
    </w:p>
    <w:p w:rsidR="00475419" w:rsidRPr="00535E30" w:rsidRDefault="00475419" w:rsidP="00475419">
      <w:pPr>
        <w:pStyle w:val="Sinespaciado"/>
        <w:spacing w:line="276" w:lineRule="auto"/>
        <w:rPr>
          <w:rFonts w:asciiTheme="minorHAnsi" w:hAnsiTheme="minorHAnsi" w:cs="Arial"/>
          <w:b/>
        </w:rPr>
      </w:pPr>
    </w:p>
    <w:p w:rsidR="00475419" w:rsidRPr="00535E30" w:rsidRDefault="00475419" w:rsidP="00475419">
      <w:pPr>
        <w:pStyle w:val="Sinespaciado"/>
        <w:spacing w:line="276" w:lineRule="auto"/>
        <w:rPr>
          <w:rFonts w:asciiTheme="minorHAnsi" w:hAnsiTheme="minorHAnsi" w:cs="Arial"/>
          <w:b/>
        </w:rPr>
      </w:pPr>
      <w:r w:rsidRPr="00535E30">
        <w:rPr>
          <w:rFonts w:asciiTheme="minorHAnsi" w:hAnsiTheme="minorHAnsi" w:cs="Arial"/>
          <w:b/>
          <w:bCs/>
        </w:rPr>
        <w:t>Direccionamiento estratégico de los ámbitos de la Tecnología y la Producción</w:t>
      </w:r>
    </w:p>
    <w:p w:rsidR="00475419" w:rsidRPr="00535E30" w:rsidRDefault="00475419" w:rsidP="00475419">
      <w:pPr>
        <w:pStyle w:val="Sinespaciado"/>
        <w:spacing w:line="276" w:lineRule="auto"/>
        <w:jc w:val="center"/>
        <w:rPr>
          <w:rFonts w:asciiTheme="minorHAnsi" w:hAnsiTheme="minorHAnsi" w:cs="Arial"/>
          <w:b/>
        </w:rPr>
      </w:pPr>
    </w:p>
    <w:tbl>
      <w:tblPr>
        <w:tblW w:w="5817" w:type="pct"/>
        <w:jc w:val="center"/>
        <w:tblInd w:w="-3517" w:type="dxa"/>
        <w:tblCellMar>
          <w:left w:w="0" w:type="dxa"/>
          <w:right w:w="0" w:type="dxa"/>
        </w:tblCellMar>
        <w:tblLook w:val="04A0" w:firstRow="1" w:lastRow="0" w:firstColumn="1" w:lastColumn="0" w:noHBand="0" w:noVBand="1"/>
      </w:tblPr>
      <w:tblGrid>
        <w:gridCol w:w="1354"/>
        <w:gridCol w:w="983"/>
        <w:gridCol w:w="998"/>
        <w:gridCol w:w="861"/>
        <w:gridCol w:w="6109"/>
      </w:tblGrid>
      <w:tr w:rsidR="00475419" w:rsidRPr="00535E30" w:rsidTr="005678E7">
        <w:trPr>
          <w:trHeight w:val="57"/>
          <w:tblHeader/>
          <w:jc w:val="center"/>
        </w:trPr>
        <w:tc>
          <w:tcPr>
            <w:tcW w:w="657"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477"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484"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418"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2964"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57"/>
          <w:jc w:val="center"/>
        </w:trPr>
        <w:tc>
          <w:tcPr>
            <w:tcW w:w="65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Transferencia de conocimiento al sector productivo</w:t>
            </w:r>
          </w:p>
        </w:tc>
        <w:tc>
          <w:tcPr>
            <w:tcW w:w="47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Pr>
                <w:rFonts w:cs="Arial"/>
                <w:sz w:val="18"/>
                <w:szCs w:val="18"/>
              </w:rPr>
              <w:t>8</w:t>
            </w:r>
          </w:p>
        </w:tc>
        <w:tc>
          <w:tcPr>
            <w:tcW w:w="48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Pr>
                <w:rFonts w:cs="Arial"/>
                <w:color w:val="000000"/>
                <w:sz w:val="18"/>
                <w:szCs w:val="18"/>
              </w:rPr>
              <w:t>7</w:t>
            </w:r>
          </w:p>
        </w:tc>
        <w:tc>
          <w:tcPr>
            <w:tcW w:w="418"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87,50%</w:t>
            </w:r>
          </w:p>
        </w:tc>
        <w:tc>
          <w:tcPr>
            <w:tcW w:w="2964"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Número de alianzas estratégicas generadas con el sector productivo. Acumulativo.</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Siendo este un indicador acumulativo, se cuenta actualmente con las siguientes alianzas que fortalecieron la relación UEE:</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Para el 2012 la meta era de 8 alianzas, teniendo un cumplimiento de 7 equivalente al 87,50%</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Estas son las alianzas regionales en las que se participa desde la UTP:</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1.</w:t>
            </w:r>
            <w:r w:rsidRPr="00535E30">
              <w:rPr>
                <w:rFonts w:asciiTheme="minorHAnsi" w:hAnsiTheme="minorHAnsi" w:cs="Arial"/>
                <w:sz w:val="18"/>
                <w:szCs w:val="18"/>
              </w:rPr>
              <w:tab/>
              <w:t>Fundación Universidad Empresa Estado</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2.</w:t>
            </w:r>
            <w:r w:rsidRPr="00535E30">
              <w:rPr>
                <w:rFonts w:asciiTheme="minorHAnsi" w:hAnsiTheme="minorHAnsi" w:cs="Arial"/>
                <w:sz w:val="18"/>
                <w:szCs w:val="18"/>
              </w:rPr>
              <w:tab/>
              <w:t xml:space="preserve">Comité Universidad Empresa Estado del Eje Cafetero </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3.</w:t>
            </w:r>
            <w:r w:rsidRPr="00535E30">
              <w:rPr>
                <w:rFonts w:asciiTheme="minorHAnsi" w:hAnsiTheme="minorHAnsi" w:cs="Arial"/>
                <w:sz w:val="18"/>
                <w:szCs w:val="18"/>
              </w:rPr>
              <w:tab/>
              <w:t>Incubar Eje Cafetero</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4.</w:t>
            </w:r>
            <w:r w:rsidRPr="00535E30">
              <w:rPr>
                <w:rFonts w:asciiTheme="minorHAnsi" w:hAnsiTheme="minorHAnsi" w:cs="Arial"/>
                <w:sz w:val="18"/>
                <w:szCs w:val="18"/>
              </w:rPr>
              <w:tab/>
              <w:t>Universidad del Quindío</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5.</w:t>
            </w:r>
            <w:r w:rsidRPr="00535E30">
              <w:rPr>
                <w:rFonts w:asciiTheme="minorHAnsi" w:hAnsiTheme="minorHAnsi" w:cs="Arial"/>
                <w:sz w:val="18"/>
                <w:szCs w:val="18"/>
              </w:rPr>
              <w:tab/>
              <w:t xml:space="preserve"> Comité </w:t>
            </w:r>
            <w:proofErr w:type="spellStart"/>
            <w:r w:rsidRPr="00535E30">
              <w:rPr>
                <w:rFonts w:asciiTheme="minorHAnsi" w:hAnsiTheme="minorHAnsi" w:cs="Arial"/>
                <w:sz w:val="18"/>
                <w:szCs w:val="18"/>
              </w:rPr>
              <w:t>Intergremial</w:t>
            </w:r>
            <w:proofErr w:type="spellEnd"/>
            <w:r w:rsidRPr="00535E30">
              <w:rPr>
                <w:rFonts w:asciiTheme="minorHAnsi" w:hAnsiTheme="minorHAnsi" w:cs="Arial"/>
                <w:sz w:val="18"/>
                <w:szCs w:val="18"/>
              </w:rPr>
              <w:t xml:space="preserve"> de Risaralda </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lastRenderedPageBreak/>
              <w:t>6.</w:t>
            </w:r>
            <w:r w:rsidRPr="00535E30">
              <w:rPr>
                <w:rFonts w:asciiTheme="minorHAnsi" w:hAnsiTheme="minorHAnsi" w:cs="Arial"/>
                <w:sz w:val="18"/>
                <w:szCs w:val="18"/>
              </w:rPr>
              <w:tab/>
              <w:t>Alianza entre diversas entidades en la temática de  Cadenas Productivas para la agroindustria desarrollado por la Vicerrectoría de Investigaciones, el Grupo Gestor y con la participación de diversas facultades de la UTP, SENA, Administraciones municipales, Comité de Cafeteros, CARDER y otras instituciones,   lo que permitirá la identificación y aporte en otras posibles Alianza constituidas para el sector agroindustrial. Este proceso se adelantará hasta finales de julio, lo que permitirá tener claridad en torno a las rutas de cada cadena y los posibles aliados estratégicos en este sentido.</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7.    Alianza para el Proyecto </w:t>
            </w:r>
            <w:r w:rsidR="005438C7" w:rsidRPr="00535E30">
              <w:rPr>
                <w:rFonts w:asciiTheme="minorHAnsi" w:hAnsiTheme="minorHAnsi" w:cs="Arial"/>
                <w:sz w:val="18"/>
                <w:szCs w:val="18"/>
              </w:rPr>
              <w:t xml:space="preserve">HIMIGRA </w:t>
            </w:r>
            <w:r w:rsidRPr="00535E30">
              <w:rPr>
                <w:rFonts w:asciiTheme="minorHAnsi" w:hAnsiTheme="minorHAnsi" w:cs="Arial"/>
                <w:sz w:val="18"/>
                <w:szCs w:val="18"/>
              </w:rPr>
              <w:t>apoyado por la Vicerrectora de Investigaciones, innovación y extensión de la UTP Gestionado por la Red Alma Mater, en Alianza con Incubar Eje Cafetero. Objetivo del proyecto: Contribuir a potenciar los impactos positivos de la migración internacional desde Colombia, con una perspectiva de codesarrollo y amplia participación institucional.</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Las 5 primeras alianzas se han desarrollado y mantenido a través de alianzas duraderas y con proyección a futuro que aportan al desarrollo de la región desde el ámbito de la tecnología y producción.</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Se destaca el trabajo realizado a fin de establecer proyectos de carácter regional que se esperan sean financiados por los nuevos recursos del Sistema General de Regalías y lo que se pueda derivar en los diversos procesos asociados a la agroindustria.</w:t>
            </w:r>
          </w:p>
        </w:tc>
      </w:tr>
    </w:tbl>
    <w:p w:rsidR="00475419" w:rsidRPr="00535E30" w:rsidRDefault="00475419" w:rsidP="00475419">
      <w:pPr>
        <w:pStyle w:val="Sinespaciado"/>
        <w:spacing w:line="276" w:lineRule="auto"/>
        <w:rPr>
          <w:rFonts w:asciiTheme="minorHAnsi" w:hAnsiTheme="minorHAnsi" w:cs="Arial"/>
          <w:b/>
          <w:bCs/>
        </w:rPr>
      </w:pPr>
    </w:p>
    <w:p w:rsidR="00475419" w:rsidRPr="00535E30" w:rsidRDefault="00475419" w:rsidP="00475419">
      <w:pPr>
        <w:pStyle w:val="Sinespaciado"/>
        <w:spacing w:line="276" w:lineRule="auto"/>
        <w:rPr>
          <w:rFonts w:asciiTheme="minorHAnsi" w:hAnsiTheme="minorHAnsi" w:cs="Arial"/>
          <w:b/>
        </w:rPr>
      </w:pPr>
      <w:r w:rsidRPr="00535E30">
        <w:rPr>
          <w:rFonts w:asciiTheme="minorHAnsi" w:hAnsiTheme="minorHAnsi" w:cs="Arial"/>
          <w:b/>
          <w:bCs/>
        </w:rPr>
        <w:t>Direccionamiento estratégico del ámbito del conocimiento</w:t>
      </w:r>
    </w:p>
    <w:p w:rsidR="00475419" w:rsidRPr="00535E30" w:rsidRDefault="00475419" w:rsidP="00475419">
      <w:pPr>
        <w:pStyle w:val="Sinespaciado"/>
        <w:spacing w:line="276" w:lineRule="auto"/>
        <w:jc w:val="center"/>
        <w:rPr>
          <w:rFonts w:asciiTheme="minorHAnsi" w:hAnsiTheme="minorHAnsi" w:cs="Arial"/>
          <w:b/>
        </w:rPr>
      </w:pPr>
    </w:p>
    <w:tbl>
      <w:tblPr>
        <w:tblW w:w="5817" w:type="pct"/>
        <w:jc w:val="center"/>
        <w:tblInd w:w="-3517" w:type="dxa"/>
        <w:tblCellMar>
          <w:left w:w="0" w:type="dxa"/>
          <w:right w:w="0" w:type="dxa"/>
        </w:tblCellMar>
        <w:tblLook w:val="04A0" w:firstRow="1" w:lastRow="0" w:firstColumn="1" w:lastColumn="0" w:noHBand="0" w:noVBand="1"/>
      </w:tblPr>
      <w:tblGrid>
        <w:gridCol w:w="1354"/>
        <w:gridCol w:w="983"/>
        <w:gridCol w:w="998"/>
        <w:gridCol w:w="861"/>
        <w:gridCol w:w="6109"/>
      </w:tblGrid>
      <w:tr w:rsidR="00475419" w:rsidRPr="00535E30" w:rsidTr="005678E7">
        <w:trPr>
          <w:trHeight w:val="57"/>
          <w:tblHeader/>
          <w:jc w:val="center"/>
        </w:trPr>
        <w:tc>
          <w:tcPr>
            <w:tcW w:w="657"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477"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484"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418"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2964" w:type="pct"/>
            <w:tcBorders>
              <w:top w:val="single" w:sz="4" w:space="0" w:color="000000"/>
              <w:left w:val="single" w:sz="4" w:space="0" w:color="000000"/>
              <w:bottom w:val="single" w:sz="4" w:space="0" w:color="auto"/>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57"/>
          <w:jc w:val="center"/>
        </w:trPr>
        <w:tc>
          <w:tcPr>
            <w:tcW w:w="65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Conocimiento científico y académico de carácter regional y en red puesto a disposición de la región</w:t>
            </w:r>
          </w:p>
        </w:tc>
        <w:tc>
          <w:tcPr>
            <w:tcW w:w="47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Pr>
                <w:rFonts w:cs="Arial"/>
                <w:sz w:val="18"/>
                <w:szCs w:val="18"/>
              </w:rPr>
              <w:t>18</w:t>
            </w:r>
          </w:p>
        </w:tc>
        <w:tc>
          <w:tcPr>
            <w:tcW w:w="48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Pr>
                <w:rFonts w:cs="Arial"/>
                <w:color w:val="000000"/>
                <w:sz w:val="18"/>
                <w:szCs w:val="18"/>
              </w:rPr>
              <w:t>18</w:t>
            </w:r>
          </w:p>
        </w:tc>
        <w:tc>
          <w:tcPr>
            <w:tcW w:w="418" w:type="pct"/>
            <w:tcBorders>
              <w:top w:val="single" w:sz="4" w:space="0" w:color="000000"/>
              <w:left w:val="single" w:sz="4" w:space="0" w:color="000000"/>
              <w:bottom w:val="single" w:sz="4" w:space="0" w:color="000000"/>
              <w:right w:val="single" w:sz="4" w:space="0" w:color="auto"/>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100,00%</w:t>
            </w:r>
          </w:p>
        </w:tc>
        <w:tc>
          <w:tcPr>
            <w:tcW w:w="2964" w:type="pct"/>
            <w:tcBorders>
              <w:top w:val="single" w:sz="4" w:space="0" w:color="auto"/>
              <w:left w:val="single" w:sz="4" w:space="0" w:color="auto"/>
              <w:bottom w:val="single" w:sz="4" w:space="0" w:color="auto"/>
              <w:right w:val="single" w:sz="4" w:space="0" w:color="auto"/>
            </w:tcBorders>
            <w:shd w:val="clear" w:color="auto" w:fill="auto"/>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Conocimiento científico y académico de carácter regional y en red puesto a disposición de la región.</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Descripción del indicador: Planes, programas y/o proyectos ofrecidos a la región de conocimiento científico y académico</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Se mide por la primero sumatoria de planes, programas y/o proyectos ofrecidos a la región de conocimiento científico y académico. </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Por medio de este indicador se pretende cuantificar algunas herramientas que propicien la integración regional a nivel de conocimiento científico y académico.  Este indicador corresponde a la sumatoria de los siguientes proyectos: Observatorios en Red, Postgrados e Investigaciones en Red</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Resultado: </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La meta fue de 18 con un cumplimiento del 100%</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Default="00475419" w:rsidP="005678E7">
            <w:pPr>
              <w:pStyle w:val="Sinespaciado"/>
              <w:numPr>
                <w:ilvl w:val="1"/>
                <w:numId w:val="16"/>
              </w:numPr>
              <w:spacing w:line="276" w:lineRule="auto"/>
              <w:ind w:left="366"/>
              <w:jc w:val="both"/>
              <w:rPr>
                <w:rFonts w:asciiTheme="minorHAnsi" w:hAnsiTheme="minorHAnsi" w:cs="Arial"/>
                <w:sz w:val="18"/>
                <w:szCs w:val="18"/>
              </w:rPr>
            </w:pPr>
            <w:r w:rsidRPr="00535E30">
              <w:rPr>
                <w:rFonts w:asciiTheme="minorHAnsi" w:hAnsiTheme="minorHAnsi" w:cs="Arial"/>
                <w:sz w:val="18"/>
                <w:szCs w:val="18"/>
              </w:rPr>
              <w:t xml:space="preserve">8 Observatorios en Red, que acopian y analizan información para la toma de </w:t>
            </w:r>
            <w:r w:rsidRPr="00535E30">
              <w:rPr>
                <w:rFonts w:asciiTheme="minorHAnsi" w:hAnsiTheme="minorHAnsi" w:cs="Arial"/>
                <w:sz w:val="18"/>
                <w:szCs w:val="18"/>
              </w:rPr>
              <w:lastRenderedPageBreak/>
              <w:t xml:space="preserve">decisiones en los diferentes temas, se cuenta actualmente con los observatorios (Observatorio de Drogas del Eje Cafetero, Migraciones, Turismo Sostenible, Sostenibilidad de los Paisajes culturales, Mercado laboral Risaralda, Salud pública, Observatorio Ambiental, Actividad física, deporte y recreación). </w:t>
            </w:r>
          </w:p>
          <w:p w:rsidR="00475419" w:rsidRPr="00535E30" w:rsidRDefault="00475419" w:rsidP="005678E7">
            <w:pPr>
              <w:pStyle w:val="Sinespaciado"/>
              <w:numPr>
                <w:ilvl w:val="1"/>
                <w:numId w:val="16"/>
              </w:numPr>
              <w:spacing w:line="276" w:lineRule="auto"/>
              <w:ind w:left="366"/>
              <w:jc w:val="both"/>
              <w:rPr>
                <w:rFonts w:asciiTheme="minorHAnsi" w:hAnsiTheme="minorHAnsi" w:cs="Arial"/>
                <w:sz w:val="18"/>
                <w:szCs w:val="18"/>
              </w:rPr>
            </w:pPr>
            <w:r w:rsidRPr="00535E30">
              <w:rPr>
                <w:rFonts w:asciiTheme="minorHAnsi" w:hAnsiTheme="minorHAnsi" w:cs="Arial"/>
                <w:sz w:val="18"/>
                <w:szCs w:val="18"/>
              </w:rPr>
              <w:t xml:space="preserve">2 </w:t>
            </w:r>
            <w:r>
              <w:rPr>
                <w:rFonts w:asciiTheme="minorHAnsi" w:hAnsiTheme="minorHAnsi" w:cs="Arial"/>
                <w:sz w:val="18"/>
                <w:szCs w:val="18"/>
              </w:rPr>
              <w:t xml:space="preserve">Observatorios </w:t>
            </w:r>
            <w:r w:rsidRPr="00535E30">
              <w:rPr>
                <w:rFonts w:asciiTheme="minorHAnsi" w:hAnsiTheme="minorHAnsi" w:cs="Arial"/>
                <w:sz w:val="18"/>
                <w:szCs w:val="18"/>
              </w:rPr>
              <w:t>articulados al SIR.</w:t>
            </w:r>
          </w:p>
          <w:p w:rsidR="00475419" w:rsidRPr="00535E30" w:rsidRDefault="00475419" w:rsidP="005678E7">
            <w:pPr>
              <w:pStyle w:val="Sinespaciado"/>
              <w:numPr>
                <w:ilvl w:val="1"/>
                <w:numId w:val="16"/>
              </w:numPr>
              <w:spacing w:line="276" w:lineRule="auto"/>
              <w:ind w:left="366"/>
              <w:jc w:val="both"/>
              <w:rPr>
                <w:rFonts w:asciiTheme="minorHAnsi" w:hAnsiTheme="minorHAnsi" w:cs="Arial"/>
                <w:sz w:val="18"/>
                <w:szCs w:val="18"/>
              </w:rPr>
            </w:pPr>
            <w:r w:rsidRPr="00535E30">
              <w:rPr>
                <w:rFonts w:asciiTheme="minorHAnsi" w:hAnsiTheme="minorHAnsi" w:cs="Arial"/>
                <w:sz w:val="18"/>
                <w:szCs w:val="18"/>
              </w:rPr>
              <w:t>5 postgrados en Red con la participación de la UTP (1. Migraciones internacionales, 2. Doctorado Ciencias Educación y 3. Doctorado Ciencias Biomédicas 4. Doctorado en Ciencias Ambientales 5. Doctorado en Administración en convenio con la UNAM)</w:t>
            </w:r>
          </w:p>
          <w:p w:rsidR="00475419" w:rsidRPr="00535E30" w:rsidRDefault="00475419" w:rsidP="005678E7">
            <w:pPr>
              <w:pStyle w:val="Sinespaciado"/>
              <w:numPr>
                <w:ilvl w:val="1"/>
                <w:numId w:val="16"/>
              </w:numPr>
              <w:spacing w:line="276" w:lineRule="auto"/>
              <w:ind w:left="366"/>
              <w:jc w:val="both"/>
              <w:rPr>
                <w:rFonts w:asciiTheme="minorHAnsi" w:hAnsiTheme="minorHAnsi" w:cs="Arial"/>
                <w:sz w:val="18"/>
                <w:szCs w:val="18"/>
              </w:rPr>
            </w:pPr>
            <w:r w:rsidRPr="00535E30">
              <w:rPr>
                <w:rFonts w:asciiTheme="minorHAnsi" w:hAnsiTheme="minorHAnsi" w:cs="Arial"/>
                <w:sz w:val="18"/>
                <w:szCs w:val="18"/>
              </w:rPr>
              <w:t>3 Investigaciones en Red. La UTP participó en 3 proyectos que fueron beneficiados en la convocatoria del Fondo Regional de Investigaciones, destacando que es el 100% de los proyectos seleccionados en dicha convocatoria.</w:t>
            </w:r>
          </w:p>
        </w:tc>
      </w:tr>
      <w:tr w:rsidR="00475419" w:rsidRPr="00535E30" w:rsidTr="005678E7">
        <w:trPr>
          <w:trHeight w:val="57"/>
          <w:jc w:val="center"/>
        </w:trPr>
        <w:tc>
          <w:tcPr>
            <w:tcW w:w="65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lastRenderedPageBreak/>
              <w:t>Políticas públicas formuladas o intervenidas a nivel regional</w:t>
            </w:r>
          </w:p>
        </w:tc>
        <w:tc>
          <w:tcPr>
            <w:tcW w:w="47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Pr>
                <w:rFonts w:cs="Arial"/>
                <w:sz w:val="18"/>
                <w:szCs w:val="18"/>
              </w:rPr>
              <w:t>3</w:t>
            </w:r>
          </w:p>
        </w:tc>
        <w:tc>
          <w:tcPr>
            <w:tcW w:w="48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Pr>
                <w:rFonts w:cs="Arial"/>
                <w:color w:val="000000"/>
                <w:sz w:val="18"/>
                <w:szCs w:val="18"/>
              </w:rPr>
              <w:t>3</w:t>
            </w:r>
          </w:p>
        </w:tc>
        <w:tc>
          <w:tcPr>
            <w:tcW w:w="418" w:type="pct"/>
            <w:tcBorders>
              <w:top w:val="single" w:sz="4" w:space="0" w:color="000000"/>
              <w:left w:val="single" w:sz="4" w:space="0" w:color="000000"/>
              <w:bottom w:val="single" w:sz="4" w:space="0" w:color="000000"/>
              <w:right w:val="single" w:sz="4" w:space="0" w:color="auto"/>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100,00%</w:t>
            </w:r>
          </w:p>
        </w:tc>
        <w:tc>
          <w:tcPr>
            <w:tcW w:w="2964" w:type="pct"/>
            <w:tcBorders>
              <w:top w:val="single" w:sz="4" w:space="0" w:color="auto"/>
              <w:left w:val="single" w:sz="4" w:space="0" w:color="auto"/>
              <w:bottom w:val="single" w:sz="4" w:space="0" w:color="auto"/>
              <w:right w:val="single" w:sz="4" w:space="0" w:color="auto"/>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Políticas públicas formuladas o intervenidas a nivel regional con la participación de la UTP.</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Es la Sumatoria de políticas públicas formuladas o intervenidas con la participación de la UTP El segundo indicador, es la Sumatoria de políticas públicas formuladas o intervenidas con la participación de la UTP.</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Políticas públicas formuladas o intervenidas a nivel regional con la participación de la UTP.</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Para el 2012 la meta fue de 3 políticas públicas y se tuvo un complimiento del 100%.</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numPr>
                <w:ilvl w:val="0"/>
                <w:numId w:val="17"/>
              </w:numPr>
              <w:spacing w:line="276" w:lineRule="auto"/>
              <w:jc w:val="both"/>
              <w:rPr>
                <w:rFonts w:asciiTheme="minorHAnsi" w:hAnsiTheme="minorHAnsi" w:cs="Arial"/>
                <w:sz w:val="18"/>
                <w:szCs w:val="18"/>
              </w:rPr>
            </w:pPr>
            <w:r w:rsidRPr="00535E30">
              <w:rPr>
                <w:rFonts w:asciiTheme="minorHAnsi" w:hAnsiTheme="minorHAnsi" w:cs="Arial"/>
                <w:sz w:val="18"/>
                <w:szCs w:val="18"/>
              </w:rPr>
              <w:t>Ordenanza para Risaralda ""Por el cual se formaliza el presupuesto participativo en el departamento de Risaralda"", cuyo resultado es la dinamización de procesos de participación ciudadana: conformación del nodo del Eje Cafetero de Planeación y Presupuesto Participativo, V Encuentro Nacional de Planeación y PP realizado en Pereira, generación de dinámicas asociadas al Sistema Municipal de Participación Ciudadana.</w:t>
            </w:r>
          </w:p>
          <w:p w:rsidR="00475419" w:rsidRPr="00535E30" w:rsidRDefault="00475419" w:rsidP="005678E7">
            <w:pPr>
              <w:pStyle w:val="Sinespaciado"/>
              <w:numPr>
                <w:ilvl w:val="0"/>
                <w:numId w:val="17"/>
              </w:numPr>
              <w:spacing w:line="276" w:lineRule="auto"/>
              <w:jc w:val="both"/>
              <w:rPr>
                <w:rFonts w:asciiTheme="minorHAnsi" w:hAnsiTheme="minorHAnsi" w:cs="Arial"/>
                <w:sz w:val="18"/>
                <w:szCs w:val="18"/>
              </w:rPr>
            </w:pPr>
            <w:r w:rsidRPr="00535E30">
              <w:rPr>
                <w:rFonts w:asciiTheme="minorHAnsi" w:hAnsiTheme="minorHAnsi" w:cs="Arial"/>
                <w:sz w:val="18"/>
                <w:szCs w:val="18"/>
              </w:rPr>
              <w:t>Política pública Pereira activa, saludable e incluyente Proyecto de Acuerdo No. 108 del municipio de Pereira para la Actividad Física, Salud, Deporte y Recreación.</w:t>
            </w:r>
          </w:p>
          <w:p w:rsidR="00475419" w:rsidRPr="00535E30" w:rsidRDefault="00475419" w:rsidP="005678E7">
            <w:pPr>
              <w:pStyle w:val="Sinespaciado"/>
              <w:numPr>
                <w:ilvl w:val="0"/>
                <w:numId w:val="17"/>
              </w:numPr>
              <w:spacing w:line="276" w:lineRule="auto"/>
              <w:jc w:val="both"/>
              <w:rPr>
                <w:rFonts w:asciiTheme="minorHAnsi" w:hAnsiTheme="minorHAnsi" w:cs="Arial"/>
                <w:sz w:val="18"/>
                <w:szCs w:val="18"/>
              </w:rPr>
            </w:pPr>
            <w:r w:rsidRPr="00535E30">
              <w:rPr>
                <w:rFonts w:asciiTheme="minorHAnsi" w:hAnsiTheme="minorHAnsi" w:cs="Arial"/>
                <w:sz w:val="18"/>
                <w:szCs w:val="18"/>
              </w:rPr>
              <w:t>Propuesta de política pública PLAN INTEGRAL DE DESARROLLO METROPOLITANO para Pereira, Dosquebradas, Santa Rosa y la Virginia (Risaralda).</w:t>
            </w:r>
          </w:p>
        </w:tc>
      </w:tr>
    </w:tbl>
    <w:p w:rsidR="00475419" w:rsidRDefault="00475419" w:rsidP="00475419">
      <w:pPr>
        <w:pStyle w:val="Sinespaciado"/>
        <w:spacing w:line="276" w:lineRule="auto"/>
        <w:rPr>
          <w:rFonts w:asciiTheme="minorHAnsi" w:hAnsiTheme="minorHAnsi" w:cs="Arial"/>
          <w:b/>
          <w:bCs/>
        </w:rPr>
      </w:pPr>
    </w:p>
    <w:p w:rsidR="00475419" w:rsidRDefault="00475419" w:rsidP="00475419">
      <w:pPr>
        <w:spacing w:after="200" w:line="276" w:lineRule="auto"/>
        <w:jc w:val="left"/>
        <w:rPr>
          <w:rFonts w:asciiTheme="minorHAnsi" w:hAnsiTheme="minorHAnsi" w:cs="Arial"/>
          <w:b/>
          <w:bCs/>
        </w:rPr>
      </w:pPr>
      <w:r>
        <w:rPr>
          <w:rFonts w:asciiTheme="minorHAnsi" w:hAnsiTheme="minorHAnsi" w:cs="Arial"/>
          <w:b/>
          <w:bCs/>
        </w:rPr>
        <w:br w:type="page"/>
      </w:r>
    </w:p>
    <w:p w:rsidR="00475419" w:rsidRPr="00535E30" w:rsidRDefault="00475419" w:rsidP="00475419">
      <w:pPr>
        <w:pStyle w:val="Sinespaciado"/>
        <w:spacing w:line="276" w:lineRule="auto"/>
        <w:rPr>
          <w:rFonts w:asciiTheme="minorHAnsi" w:hAnsiTheme="minorHAnsi" w:cs="Arial"/>
          <w:b/>
        </w:rPr>
      </w:pPr>
      <w:r w:rsidRPr="00535E30">
        <w:rPr>
          <w:rFonts w:asciiTheme="minorHAnsi" w:hAnsiTheme="minorHAnsi" w:cs="Arial"/>
          <w:b/>
          <w:bCs/>
        </w:rPr>
        <w:lastRenderedPageBreak/>
        <w:t>Direccionamiento estratégico del ámbito de la sociedad y el ambiente</w:t>
      </w:r>
    </w:p>
    <w:p w:rsidR="00475419" w:rsidRPr="00535E30" w:rsidRDefault="00475419" w:rsidP="00475419">
      <w:pPr>
        <w:pStyle w:val="Sinespaciado"/>
        <w:spacing w:line="276" w:lineRule="auto"/>
        <w:jc w:val="center"/>
        <w:rPr>
          <w:rFonts w:asciiTheme="minorHAnsi" w:hAnsiTheme="minorHAnsi" w:cs="Arial"/>
          <w:b/>
        </w:rPr>
      </w:pPr>
    </w:p>
    <w:tbl>
      <w:tblPr>
        <w:tblW w:w="5817" w:type="pct"/>
        <w:jc w:val="center"/>
        <w:tblInd w:w="-3517" w:type="dxa"/>
        <w:tblCellMar>
          <w:left w:w="0" w:type="dxa"/>
          <w:right w:w="0" w:type="dxa"/>
        </w:tblCellMar>
        <w:tblLook w:val="04A0" w:firstRow="1" w:lastRow="0" w:firstColumn="1" w:lastColumn="0" w:noHBand="0" w:noVBand="1"/>
      </w:tblPr>
      <w:tblGrid>
        <w:gridCol w:w="1354"/>
        <w:gridCol w:w="983"/>
        <w:gridCol w:w="998"/>
        <w:gridCol w:w="861"/>
        <w:gridCol w:w="6109"/>
      </w:tblGrid>
      <w:tr w:rsidR="00475419" w:rsidRPr="00535E30" w:rsidTr="005678E7">
        <w:trPr>
          <w:trHeight w:val="57"/>
          <w:tblHeader/>
          <w:jc w:val="center"/>
        </w:trPr>
        <w:tc>
          <w:tcPr>
            <w:tcW w:w="657"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477"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484"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418"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2964"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57"/>
          <w:jc w:val="center"/>
        </w:trPr>
        <w:tc>
          <w:tcPr>
            <w:tcW w:w="65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Aporte de la UTP en proyectos y/o actividades a nivel regional del componente ambiental de la agenda de la Ecorregión</w:t>
            </w:r>
          </w:p>
        </w:tc>
        <w:tc>
          <w:tcPr>
            <w:tcW w:w="47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Pr>
                <w:rFonts w:cs="Arial"/>
                <w:sz w:val="18"/>
                <w:szCs w:val="18"/>
              </w:rPr>
              <w:t>27</w:t>
            </w:r>
          </w:p>
        </w:tc>
        <w:tc>
          <w:tcPr>
            <w:tcW w:w="48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Pr>
                <w:rFonts w:cs="Arial"/>
                <w:color w:val="000000"/>
                <w:sz w:val="18"/>
                <w:szCs w:val="18"/>
              </w:rPr>
              <w:t>27</w:t>
            </w:r>
          </w:p>
        </w:tc>
        <w:tc>
          <w:tcPr>
            <w:tcW w:w="418"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100,00%</w:t>
            </w:r>
          </w:p>
        </w:tc>
        <w:tc>
          <w:tcPr>
            <w:tcW w:w="2964"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Aporte de la UTP en proyectos y/o actividades a nivel regional del componente ambiental de la agenda de la Ecorregión.</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Las acciones desarrolladas en este campo se encaminan a aportar académicamente a la ejecución de la Agenda para el Desarrollo Sostenible de la Ecorregión Eje Cafetero en su componente ambiental  y se mide el aporte de la UTP en el proyecto Paisaje Cultural Cafetero-PCC (por ser un proyecto integrador de 47 municipios de la Ecorregión Eje Cafetero), aportes desde lo ambiental a la Ecorregión y los resultados de la alianza con el Instituto de Investigaciones Ambientales. </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La UTP participa en proyectos de orden regional a través del proceso de participación de la comunidad en la conservación del PCC: </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En este sentido, la UTP participa en proyectos de orden regional en :</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Actividades masivas y focalizadas de divulgación:</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1. Divulgación y capacitación  a funcionarios del SENA y otras organizaciones y entidades.</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2. Acuerdo firmado con el Ministerio de Cultura para la promoción de Contrato Plan para el Paisaje Cultural.</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3. Participación en la convocatoria a expertos en el PCC.</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4.  Encuentro de Alcaldes del PCC participación en todo el proceso académico y organizativo a realizarse el 16 y 17 de julio en Marsella..</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5. Taller de Concertación Regional con diversos actores para acuerdos conjuntos en torno a contrato plan.</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6. </w:t>
            </w:r>
            <w:proofErr w:type="spellStart"/>
            <w:r w:rsidRPr="00535E30">
              <w:rPr>
                <w:rFonts w:asciiTheme="minorHAnsi" w:hAnsiTheme="minorHAnsi" w:cs="Arial"/>
                <w:sz w:val="18"/>
                <w:szCs w:val="18"/>
              </w:rPr>
              <w:t>Conpes</w:t>
            </w:r>
            <w:proofErr w:type="spellEnd"/>
            <w:r w:rsidRPr="00535E30">
              <w:rPr>
                <w:rFonts w:asciiTheme="minorHAnsi" w:hAnsiTheme="minorHAnsi" w:cs="Arial"/>
                <w:sz w:val="18"/>
                <w:szCs w:val="18"/>
              </w:rPr>
              <w:t xml:space="preserve"> PCC. Propuesta de documento </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7. Encuentro Ciudadano en Santa Rosa de Cabal  con representantes de los municipios de Dosquebradas, Marsella, Pereira, Santa Rosa de Cabal y Norte del Valle para el acompañamiento a los municipios de Risaralda incorporados en el Paisaje Cultural Cafetero, proceso de asesoría, conocimiento de la inclusión del PCC en los Planes de Desarrollo e inclusión en los </w:t>
            </w:r>
            <w:proofErr w:type="spellStart"/>
            <w:r w:rsidRPr="00535E30">
              <w:rPr>
                <w:rFonts w:asciiTheme="minorHAnsi" w:hAnsiTheme="minorHAnsi" w:cs="Arial"/>
                <w:sz w:val="18"/>
                <w:szCs w:val="18"/>
              </w:rPr>
              <w:t>POTs</w:t>
            </w:r>
            <w:proofErr w:type="spellEnd"/>
            <w:r w:rsidRPr="00535E30">
              <w:rPr>
                <w:rFonts w:asciiTheme="minorHAnsi" w:hAnsiTheme="minorHAnsi" w:cs="Arial"/>
                <w:sz w:val="18"/>
                <w:szCs w:val="18"/>
              </w:rPr>
              <w:t xml:space="preserve"> ,   realizado en asocio con el Comité de Cafeteros, SENA y la Gobernación de Risaralda.</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8. Encuentro Ciudadano en Balboa con representantes de los municipios de La Celia, Santuario, Apía y Balboa.</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9. Encuentro Ciudadano en Guática con representantes de los municipios de Guática, Belén y Quinchía</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10. Salida de campo a Santuario con estudiantes de I Semestre de la Facultad de Ciencias Ambientales para el apropiamiento de herramientas para la interpretación del Paisaje Cultural Cafetero.</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11. Salida de campo a Santuario con estudiantes de IX Semestre de la Facultad de Ciencias Ambientales para la asesoría en los procesos de ordenamiento del territorio e interpretación ambiental en el PCC</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12. Salida de campo a Santuario con estudiantes de colegios de Marsella.</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lastRenderedPageBreak/>
              <w:t>13. Taller Internacional Estudios del Paisaje: Paisajes Culturales Productivos a realizarse del 30 de julio al 4 de Agosto en Manizales, Pereira y Armenia. Conjuntamente con el Observatorio para la sostenibilidad de los paisajes.</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14. Participación Foro Cafetero / </w:t>
            </w:r>
            <w:proofErr w:type="spellStart"/>
            <w:r w:rsidRPr="00535E30">
              <w:rPr>
                <w:rFonts w:asciiTheme="minorHAnsi" w:hAnsiTheme="minorHAnsi" w:cs="Arial"/>
                <w:sz w:val="18"/>
                <w:szCs w:val="18"/>
              </w:rPr>
              <w:t>Anserma</w:t>
            </w:r>
            <w:proofErr w:type="spellEnd"/>
            <w:r w:rsidRPr="00535E30">
              <w:rPr>
                <w:rFonts w:asciiTheme="minorHAnsi" w:hAnsiTheme="minorHAnsi" w:cs="Arial"/>
                <w:sz w:val="18"/>
                <w:szCs w:val="18"/>
              </w:rPr>
              <w:t xml:space="preserve"> nuevo (Valle)</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15. Se adelanta un proceso de constitución de la Red de  Soberanía Alimentaria.</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16. Participación en las mesas del Comité de Integración Territorial y todo el proceso de armonización que se adelanta con los municipios que lo conforman.  17. Participación en el Comité Técnico de Ecorregión en alianza con el Convenio </w:t>
            </w:r>
            <w:proofErr w:type="spellStart"/>
            <w:r w:rsidRPr="00535E30">
              <w:rPr>
                <w:rFonts w:asciiTheme="minorHAnsi" w:hAnsiTheme="minorHAnsi" w:cs="Arial"/>
                <w:sz w:val="18"/>
                <w:szCs w:val="18"/>
              </w:rPr>
              <w:t>intercorporativo</w:t>
            </w:r>
            <w:proofErr w:type="spellEnd"/>
            <w:r w:rsidRPr="00535E30">
              <w:rPr>
                <w:rFonts w:asciiTheme="minorHAnsi" w:hAnsiTheme="minorHAnsi" w:cs="Arial"/>
                <w:sz w:val="18"/>
                <w:szCs w:val="18"/>
              </w:rPr>
              <w:t xml:space="preserve"> de las 5 Corporaciones Regionales de la Ecorregión.      </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18. En Santa Rosa se participó en la Mesa de Buen Gobierno en el área de participación ciudadana. En Dosquebradas en la mesa de Desarrollo Regional. En Pereira en la mesa de la Sociedad Civil</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19. Así mismo se participó en la mesa de Risaralda y a nivel de ajuste de los procesos en los Consejos Territoriales de Planeación</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20. Participación en reuniones de difusión y concertación de Planeta Paz, establecimiento de acuerdos para trabajo conjunto en Soberanía Alimentaria a nivel regional.</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21. Adicionalmente se participa en los Talleres y procesos de discusión de la Minería en Quinchía con la participación de diversos actores, ya se ha definido una ruta conjunta para apoyar esta temática en el departamento.</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22. Reunión Comité Técnico de Ecorregión. Realizada con diversos actores académicos, políticos y sociales para el establecimiento de trabajo conjunto en red y articulación en diversos procesos ambientales. </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23. I Foro Regional Soberanía Alimentaria</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24. Participación formulación política local para el Plan de Desarrollo Nacional</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25. Participación como ponentes ACIUR - X Seminario Investigación urbana y regional políticas de vivienda y derechos habitacionales ""Reflexiones sobre la justicia espacial en la ciudad latinoamericana""</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26. Realización del II Encuentro de Cuencas del Paisaje Cultural Cafetero realizado en Santa Rosa de Cabal y con la participación de delegados de las corporaciones, grupos de </w:t>
            </w:r>
            <w:proofErr w:type="spellStart"/>
            <w:r w:rsidRPr="00535E30">
              <w:rPr>
                <w:rFonts w:asciiTheme="minorHAnsi" w:hAnsiTheme="minorHAnsi" w:cs="Arial"/>
                <w:sz w:val="18"/>
                <w:szCs w:val="18"/>
              </w:rPr>
              <w:t>investigaciòn</w:t>
            </w:r>
            <w:proofErr w:type="spellEnd"/>
            <w:r w:rsidRPr="00535E30">
              <w:rPr>
                <w:rFonts w:asciiTheme="minorHAnsi" w:hAnsiTheme="minorHAnsi" w:cs="Arial"/>
                <w:sz w:val="18"/>
                <w:szCs w:val="18"/>
              </w:rPr>
              <w:t>, universidades, CTP, acueductos comunitarios e integrantes del doctorado en Cuencas de la Universidad del Tolima.</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27. Encuentro de Consejos Territoriales de Planeación del Quindío.</w:t>
            </w:r>
          </w:p>
        </w:tc>
      </w:tr>
    </w:tbl>
    <w:p w:rsidR="00475419" w:rsidRDefault="00475419" w:rsidP="00475419">
      <w:pPr>
        <w:rPr>
          <w:caps/>
        </w:rPr>
      </w:pPr>
      <w:bookmarkStart w:id="196" w:name="_Toc304826951"/>
      <w:bookmarkStart w:id="197" w:name="_Toc347392857"/>
    </w:p>
    <w:p w:rsidR="00475419" w:rsidRDefault="00475419" w:rsidP="00475419">
      <w:pPr>
        <w:rPr>
          <w:rFonts w:eastAsiaTheme="majorEastAsia" w:cstheme="majorBidi"/>
          <w:sz w:val="28"/>
          <w:szCs w:val="26"/>
        </w:rPr>
      </w:pPr>
      <w:r>
        <w:br w:type="page"/>
      </w:r>
    </w:p>
    <w:p w:rsidR="00475419" w:rsidRPr="00535E30" w:rsidRDefault="00475419" w:rsidP="00475419">
      <w:pPr>
        <w:pStyle w:val="Ttulo2"/>
        <w:spacing w:line="276" w:lineRule="auto"/>
      </w:pPr>
      <w:bookmarkStart w:id="198" w:name="_Toc350957792"/>
      <w:bookmarkStart w:id="199" w:name="_Toc354671385"/>
      <w:r w:rsidRPr="00535E30">
        <w:rPr>
          <w:caps w:val="0"/>
        </w:rPr>
        <w:lastRenderedPageBreak/>
        <w:t>COMPONENTES ALIANZAS ESTRATÉGICAS</w:t>
      </w:r>
      <w:bookmarkEnd w:id="196"/>
      <w:bookmarkEnd w:id="197"/>
      <w:bookmarkEnd w:id="198"/>
      <w:bookmarkEnd w:id="199"/>
    </w:p>
    <w:p w:rsidR="00475419" w:rsidRPr="00535E30" w:rsidRDefault="00475419" w:rsidP="00475419">
      <w:pPr>
        <w:pStyle w:val="Sinespaciado"/>
        <w:spacing w:line="276" w:lineRule="auto"/>
        <w:rPr>
          <w:rFonts w:asciiTheme="minorHAnsi" w:hAnsiTheme="minorHAnsi" w:cs="Arial"/>
          <w:b/>
        </w:rPr>
      </w:pPr>
    </w:p>
    <w:p w:rsidR="00475419" w:rsidRPr="00535E30" w:rsidRDefault="00475419" w:rsidP="00475419">
      <w:pPr>
        <w:pStyle w:val="Sinespaciado"/>
        <w:spacing w:line="276" w:lineRule="auto"/>
        <w:rPr>
          <w:rFonts w:asciiTheme="minorHAnsi" w:hAnsiTheme="minorHAnsi" w:cs="Arial"/>
          <w:b/>
        </w:rPr>
      </w:pPr>
      <w:r w:rsidRPr="00535E30">
        <w:rPr>
          <w:rFonts w:asciiTheme="minorHAnsi" w:hAnsiTheme="minorHAnsi" w:cs="Arial"/>
          <w:b/>
          <w:bCs/>
        </w:rPr>
        <w:t>Vigilancia e Inteligencia Competitiva y del entorno</w:t>
      </w:r>
    </w:p>
    <w:p w:rsidR="00475419" w:rsidRPr="00535E30" w:rsidRDefault="00475419" w:rsidP="00475419">
      <w:pPr>
        <w:pStyle w:val="Sinespaciado"/>
        <w:spacing w:line="276" w:lineRule="auto"/>
        <w:jc w:val="center"/>
        <w:rPr>
          <w:rFonts w:asciiTheme="minorHAnsi" w:hAnsiTheme="minorHAnsi" w:cs="Arial"/>
          <w:b/>
        </w:rPr>
      </w:pPr>
    </w:p>
    <w:tbl>
      <w:tblPr>
        <w:tblW w:w="5817" w:type="pct"/>
        <w:jc w:val="center"/>
        <w:tblInd w:w="-3517" w:type="dxa"/>
        <w:tblCellMar>
          <w:left w:w="0" w:type="dxa"/>
          <w:right w:w="0" w:type="dxa"/>
        </w:tblCellMar>
        <w:tblLook w:val="04A0" w:firstRow="1" w:lastRow="0" w:firstColumn="1" w:lastColumn="0" w:noHBand="0" w:noVBand="1"/>
      </w:tblPr>
      <w:tblGrid>
        <w:gridCol w:w="1354"/>
        <w:gridCol w:w="983"/>
        <w:gridCol w:w="998"/>
        <w:gridCol w:w="861"/>
        <w:gridCol w:w="6109"/>
      </w:tblGrid>
      <w:tr w:rsidR="00475419" w:rsidRPr="00535E30" w:rsidTr="005678E7">
        <w:trPr>
          <w:trHeight w:val="57"/>
          <w:tblHeader/>
          <w:jc w:val="center"/>
        </w:trPr>
        <w:tc>
          <w:tcPr>
            <w:tcW w:w="657"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477"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484"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418"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2964"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57"/>
          <w:jc w:val="center"/>
        </w:trPr>
        <w:tc>
          <w:tcPr>
            <w:tcW w:w="65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Vigilancia e inteligencia competitiva (Identificación de información) (Días)</w:t>
            </w:r>
          </w:p>
        </w:tc>
        <w:tc>
          <w:tcPr>
            <w:tcW w:w="47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Pr>
                <w:rFonts w:cs="Arial"/>
                <w:sz w:val="18"/>
                <w:szCs w:val="18"/>
              </w:rPr>
              <w:t>180</w:t>
            </w:r>
          </w:p>
        </w:tc>
        <w:tc>
          <w:tcPr>
            <w:tcW w:w="48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Pr>
                <w:rFonts w:cs="Arial"/>
                <w:color w:val="000000"/>
                <w:sz w:val="18"/>
                <w:szCs w:val="18"/>
              </w:rPr>
              <w:t>63</w:t>
            </w:r>
          </w:p>
        </w:tc>
        <w:tc>
          <w:tcPr>
            <w:tcW w:w="418"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100,00%</w:t>
            </w:r>
          </w:p>
        </w:tc>
        <w:tc>
          <w:tcPr>
            <w:tcW w:w="2964"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Durante el año 2012 a la fecha se realizaron los siguientes informes del entorno:</w:t>
            </w:r>
          </w:p>
          <w:p w:rsidR="00475419" w:rsidRPr="00535E30" w:rsidRDefault="00475419" w:rsidP="005678E7">
            <w:pPr>
              <w:pStyle w:val="Sinespaciado"/>
              <w:spacing w:line="276" w:lineRule="auto"/>
              <w:rPr>
                <w:rFonts w:asciiTheme="minorHAnsi" w:hAnsiTheme="minorHAnsi" w:cs="Arial"/>
                <w:sz w:val="18"/>
                <w:szCs w:val="18"/>
              </w:rPr>
            </w:pPr>
          </w:p>
          <w:p w:rsidR="00475419" w:rsidRPr="00535E30" w:rsidRDefault="00475419" w:rsidP="005678E7">
            <w:pPr>
              <w:pStyle w:val="Sinespaciado"/>
              <w:numPr>
                <w:ilvl w:val="2"/>
                <w:numId w:val="6"/>
              </w:numPr>
              <w:spacing w:line="276" w:lineRule="auto"/>
              <w:ind w:left="507" w:hanging="438"/>
              <w:rPr>
                <w:rFonts w:asciiTheme="minorHAnsi" w:hAnsiTheme="minorHAnsi" w:cs="Arial"/>
                <w:sz w:val="18"/>
                <w:szCs w:val="18"/>
              </w:rPr>
            </w:pPr>
            <w:r w:rsidRPr="00535E30">
              <w:rPr>
                <w:rFonts w:asciiTheme="minorHAnsi" w:hAnsiTheme="minorHAnsi" w:cs="Arial"/>
                <w:sz w:val="18"/>
                <w:szCs w:val="18"/>
              </w:rPr>
              <w:t>Estudio de Capacidades: Aulas.</w:t>
            </w:r>
          </w:p>
          <w:p w:rsidR="00475419" w:rsidRPr="00535E30" w:rsidRDefault="00475419" w:rsidP="005678E7">
            <w:pPr>
              <w:pStyle w:val="Sinespaciado"/>
              <w:numPr>
                <w:ilvl w:val="2"/>
                <w:numId w:val="6"/>
              </w:numPr>
              <w:spacing w:line="276" w:lineRule="auto"/>
              <w:ind w:left="507" w:hanging="438"/>
              <w:rPr>
                <w:rFonts w:asciiTheme="minorHAnsi" w:hAnsiTheme="minorHAnsi" w:cs="Arial"/>
                <w:sz w:val="18"/>
                <w:szCs w:val="18"/>
              </w:rPr>
            </w:pPr>
            <w:r w:rsidRPr="00535E30">
              <w:rPr>
                <w:rFonts w:asciiTheme="minorHAnsi" w:hAnsiTheme="minorHAnsi" w:cs="Arial"/>
                <w:sz w:val="18"/>
                <w:szCs w:val="18"/>
              </w:rPr>
              <w:t>Análisis PDI Vs plan de desarrollo del área metropolitana.</w:t>
            </w:r>
          </w:p>
          <w:p w:rsidR="00475419" w:rsidRPr="00535E30" w:rsidRDefault="00475419" w:rsidP="005678E7">
            <w:pPr>
              <w:pStyle w:val="Sinespaciado"/>
              <w:numPr>
                <w:ilvl w:val="2"/>
                <w:numId w:val="6"/>
              </w:numPr>
              <w:spacing w:line="276" w:lineRule="auto"/>
              <w:ind w:left="507" w:hanging="438"/>
              <w:rPr>
                <w:rFonts w:asciiTheme="minorHAnsi" w:hAnsiTheme="minorHAnsi" w:cs="Arial"/>
                <w:sz w:val="18"/>
                <w:szCs w:val="18"/>
              </w:rPr>
            </w:pPr>
            <w:r w:rsidRPr="00535E30">
              <w:rPr>
                <w:rFonts w:asciiTheme="minorHAnsi" w:hAnsiTheme="minorHAnsi" w:cs="Arial"/>
                <w:sz w:val="18"/>
                <w:szCs w:val="18"/>
              </w:rPr>
              <w:t>Proyectos de la UTP potenciales de ser financiados por el SGR – Se elaboró una matriz de proyectos del PDI susceptibles a presentarse ante el SGR en fase II y III. Está listo y pendiente para presentarse ante el Comité de Estrategias.</w:t>
            </w:r>
          </w:p>
          <w:p w:rsidR="00475419" w:rsidRPr="00535E30" w:rsidRDefault="00475419" w:rsidP="005678E7">
            <w:pPr>
              <w:pStyle w:val="Sinespaciado"/>
              <w:numPr>
                <w:ilvl w:val="2"/>
                <w:numId w:val="6"/>
              </w:numPr>
              <w:spacing w:line="276" w:lineRule="auto"/>
              <w:ind w:left="507" w:hanging="438"/>
              <w:rPr>
                <w:rFonts w:asciiTheme="minorHAnsi" w:hAnsiTheme="minorHAnsi" w:cs="Arial"/>
                <w:sz w:val="18"/>
                <w:szCs w:val="18"/>
              </w:rPr>
            </w:pPr>
            <w:r w:rsidRPr="00535E30">
              <w:rPr>
                <w:rFonts w:asciiTheme="minorHAnsi" w:hAnsiTheme="minorHAnsi" w:cs="Arial"/>
                <w:sz w:val="18"/>
                <w:szCs w:val="18"/>
              </w:rPr>
              <w:t>Informe Análisis de Asignaturas Pendientes por Exámenes de Suficiencia.</w:t>
            </w:r>
          </w:p>
          <w:p w:rsidR="00475419" w:rsidRPr="00535E30" w:rsidRDefault="00475419" w:rsidP="005678E7">
            <w:pPr>
              <w:pStyle w:val="Sinespaciado"/>
              <w:numPr>
                <w:ilvl w:val="2"/>
                <w:numId w:val="6"/>
              </w:numPr>
              <w:spacing w:line="276" w:lineRule="auto"/>
              <w:ind w:left="507" w:hanging="438"/>
              <w:rPr>
                <w:rFonts w:asciiTheme="minorHAnsi" w:hAnsiTheme="minorHAnsi" w:cs="Arial"/>
                <w:sz w:val="18"/>
                <w:szCs w:val="18"/>
              </w:rPr>
            </w:pPr>
            <w:r w:rsidRPr="00535E30">
              <w:rPr>
                <w:rFonts w:asciiTheme="minorHAnsi" w:hAnsiTheme="minorHAnsi" w:cs="Arial"/>
                <w:sz w:val="18"/>
                <w:szCs w:val="18"/>
              </w:rPr>
              <w:t>Análisis del Mercado del Contexto Educativo.</w:t>
            </w:r>
          </w:p>
          <w:p w:rsidR="00475419" w:rsidRPr="00535E30" w:rsidRDefault="00475419" w:rsidP="005678E7">
            <w:pPr>
              <w:pStyle w:val="Sinespaciado"/>
              <w:numPr>
                <w:ilvl w:val="2"/>
                <w:numId w:val="6"/>
              </w:numPr>
              <w:spacing w:line="276" w:lineRule="auto"/>
              <w:ind w:left="507" w:hanging="438"/>
              <w:rPr>
                <w:rFonts w:asciiTheme="minorHAnsi" w:hAnsiTheme="minorHAnsi" w:cs="Arial"/>
                <w:sz w:val="18"/>
                <w:szCs w:val="18"/>
              </w:rPr>
            </w:pPr>
            <w:r w:rsidRPr="00535E30">
              <w:rPr>
                <w:rFonts w:asciiTheme="minorHAnsi" w:hAnsiTheme="minorHAnsi" w:cs="Arial"/>
                <w:sz w:val="18"/>
                <w:szCs w:val="18"/>
              </w:rPr>
              <w:t>Actualización Análisis portal O3 del Observatorio Laboral para la Educación.</w:t>
            </w:r>
          </w:p>
          <w:p w:rsidR="00475419" w:rsidRPr="00535E30" w:rsidRDefault="00475419" w:rsidP="005678E7">
            <w:pPr>
              <w:pStyle w:val="Sinespaciado"/>
              <w:spacing w:line="276" w:lineRule="auto"/>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El promedio de entrega de los informes es de 63 días</w:t>
            </w:r>
          </w:p>
        </w:tc>
      </w:tr>
    </w:tbl>
    <w:p w:rsidR="00475419" w:rsidRPr="00535E30" w:rsidRDefault="00475419" w:rsidP="00475419">
      <w:pPr>
        <w:pStyle w:val="Sinespaciado"/>
        <w:spacing w:line="276" w:lineRule="auto"/>
        <w:jc w:val="center"/>
        <w:rPr>
          <w:rFonts w:asciiTheme="minorHAnsi" w:hAnsiTheme="minorHAnsi" w:cs="Arial"/>
          <w:b/>
        </w:rPr>
      </w:pPr>
    </w:p>
    <w:p w:rsidR="00475419" w:rsidRPr="00535E30" w:rsidRDefault="00475419" w:rsidP="00475419">
      <w:pPr>
        <w:pStyle w:val="Sinespaciado"/>
        <w:spacing w:line="276" w:lineRule="auto"/>
        <w:rPr>
          <w:rFonts w:asciiTheme="minorHAnsi" w:hAnsiTheme="minorHAnsi" w:cs="Arial"/>
          <w:b/>
        </w:rPr>
      </w:pPr>
      <w:r w:rsidRPr="00535E30">
        <w:rPr>
          <w:rFonts w:asciiTheme="minorHAnsi" w:hAnsiTheme="minorHAnsi" w:cs="Arial"/>
          <w:b/>
          <w:bCs/>
        </w:rPr>
        <w:t>Gestión del marketing (Social e institucional)</w:t>
      </w:r>
    </w:p>
    <w:p w:rsidR="00475419" w:rsidRPr="00535E30" w:rsidRDefault="00475419" w:rsidP="00475419">
      <w:pPr>
        <w:pStyle w:val="Sinespaciado"/>
        <w:spacing w:line="276" w:lineRule="auto"/>
        <w:jc w:val="center"/>
        <w:rPr>
          <w:rFonts w:asciiTheme="minorHAnsi" w:hAnsiTheme="minorHAnsi" w:cs="Arial"/>
          <w:b/>
        </w:rPr>
      </w:pPr>
    </w:p>
    <w:tbl>
      <w:tblPr>
        <w:tblW w:w="5772" w:type="pct"/>
        <w:jc w:val="center"/>
        <w:tblInd w:w="-3517" w:type="dxa"/>
        <w:tblCellMar>
          <w:left w:w="0" w:type="dxa"/>
          <w:right w:w="0" w:type="dxa"/>
        </w:tblCellMar>
        <w:tblLook w:val="04A0" w:firstRow="1" w:lastRow="0" w:firstColumn="1" w:lastColumn="0" w:noHBand="0" w:noVBand="1"/>
      </w:tblPr>
      <w:tblGrid>
        <w:gridCol w:w="1356"/>
        <w:gridCol w:w="955"/>
        <w:gridCol w:w="969"/>
        <w:gridCol w:w="839"/>
        <w:gridCol w:w="6107"/>
      </w:tblGrid>
      <w:tr w:rsidR="00475419" w:rsidRPr="00535E30" w:rsidTr="005678E7">
        <w:trPr>
          <w:trHeight w:val="57"/>
          <w:tblHeader/>
          <w:jc w:val="center"/>
        </w:trPr>
        <w:tc>
          <w:tcPr>
            <w:tcW w:w="663"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467"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474"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410"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2986"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57"/>
          <w:jc w:val="center"/>
        </w:trPr>
        <w:tc>
          <w:tcPr>
            <w:tcW w:w="663"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Acuerdos generados para trabajo conjunto en la movilización (</w:t>
            </w:r>
            <w:proofErr w:type="spellStart"/>
            <w:r w:rsidRPr="00535E30">
              <w:rPr>
                <w:rFonts w:cs="Arial"/>
                <w:sz w:val="18"/>
                <w:szCs w:val="18"/>
              </w:rPr>
              <w:t>Reeditores</w:t>
            </w:r>
            <w:proofErr w:type="spellEnd"/>
            <w:r w:rsidRPr="00535E30">
              <w:rPr>
                <w:rFonts w:cs="Arial"/>
                <w:sz w:val="18"/>
                <w:szCs w:val="18"/>
              </w:rPr>
              <w:t>)</w:t>
            </w:r>
          </w:p>
        </w:tc>
        <w:tc>
          <w:tcPr>
            <w:tcW w:w="46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Pr>
                <w:rFonts w:cs="Arial"/>
                <w:sz w:val="18"/>
                <w:szCs w:val="18"/>
              </w:rPr>
              <w:t>31</w:t>
            </w:r>
          </w:p>
        </w:tc>
        <w:tc>
          <w:tcPr>
            <w:tcW w:w="47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Pr>
                <w:rFonts w:cs="Arial"/>
                <w:color w:val="000000"/>
                <w:sz w:val="18"/>
                <w:szCs w:val="18"/>
              </w:rPr>
              <w:t>30</w:t>
            </w:r>
          </w:p>
        </w:tc>
        <w:tc>
          <w:tcPr>
            <w:tcW w:w="410"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96,77%</w:t>
            </w:r>
          </w:p>
        </w:tc>
        <w:tc>
          <w:tcPr>
            <w:tcW w:w="2986" w:type="pct"/>
            <w:tcBorders>
              <w:top w:val="single" w:sz="4" w:space="0" w:color="auto"/>
              <w:left w:val="single" w:sz="4" w:space="0" w:color="000000"/>
              <w:bottom w:val="single" w:sz="4" w:space="0" w:color="auto"/>
              <w:right w:val="single" w:sz="4" w:space="0" w:color="000000"/>
            </w:tcBorders>
            <w:shd w:val="clear" w:color="auto" w:fill="auto"/>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Se realizaron 30 acuerdos o memorandos de entendimiento, en donde se tenía una meta de 31 acuerdos para el año 2012, por tal motivo se tuvo  un avance en las meta del 96,77%. Realizando este ejercicio constante y gracias a la gestión de los actores que se han involucrado en el proceso. </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 xml:space="preserve">1. </w:t>
            </w:r>
            <w:proofErr w:type="spellStart"/>
            <w:r w:rsidRPr="00535E30">
              <w:rPr>
                <w:rFonts w:asciiTheme="minorHAnsi" w:hAnsiTheme="minorHAnsi" w:cs="Arial"/>
                <w:sz w:val="18"/>
                <w:szCs w:val="18"/>
              </w:rPr>
              <w:t>Fenalco</w:t>
            </w:r>
            <w:proofErr w:type="spellEnd"/>
            <w:r w:rsidRPr="00535E30">
              <w:rPr>
                <w:rFonts w:asciiTheme="minorHAnsi" w:hAnsiTheme="minorHAnsi" w:cs="Arial"/>
                <w:sz w:val="18"/>
                <w:szCs w:val="18"/>
              </w:rPr>
              <w:t xml:space="preserve"> Junio de 2009.</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2. Sector Comunitario 06 de Agosto de 2010.</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3. Sector Academia Abril de 2010.</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4. Sector Juvenil Julio de 2010.</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5. Cámara de Comercio de Pereira 25 Agosto de 2010.</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6. Sector Ambiental 26 Agosto de 2010.</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7. Concejo de Dosquebradas 27 Agosto de 2010.</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 xml:space="preserve">8. </w:t>
            </w:r>
            <w:proofErr w:type="spellStart"/>
            <w:r w:rsidRPr="00535E30">
              <w:rPr>
                <w:rFonts w:asciiTheme="minorHAnsi" w:hAnsiTheme="minorHAnsi" w:cs="Arial"/>
                <w:sz w:val="18"/>
                <w:szCs w:val="18"/>
              </w:rPr>
              <w:t>Parquesoft</w:t>
            </w:r>
            <w:proofErr w:type="spellEnd"/>
            <w:r w:rsidRPr="00535E30">
              <w:rPr>
                <w:rFonts w:asciiTheme="minorHAnsi" w:hAnsiTheme="minorHAnsi" w:cs="Arial"/>
                <w:sz w:val="18"/>
                <w:szCs w:val="18"/>
              </w:rPr>
              <w:t xml:space="preserve"> 30 Agosto de 2010.</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9. Incubar 3 de Septiembre de 2010.</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10. Congresistas 23 Septiembre de 2010.</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11. Egresados UTP 18 de Noviembre de 2010.</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12. Fundación Empresarios por la Educación 20 Diciembre de 2010.</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 xml:space="preserve">13. Concejo </w:t>
            </w:r>
            <w:proofErr w:type="spellStart"/>
            <w:r w:rsidRPr="00535E30">
              <w:rPr>
                <w:rFonts w:asciiTheme="minorHAnsi" w:hAnsiTheme="minorHAnsi" w:cs="Arial"/>
                <w:sz w:val="18"/>
                <w:szCs w:val="18"/>
              </w:rPr>
              <w:t>Municpal</w:t>
            </w:r>
            <w:proofErr w:type="spellEnd"/>
            <w:r w:rsidRPr="00535E30">
              <w:rPr>
                <w:rFonts w:asciiTheme="minorHAnsi" w:hAnsiTheme="minorHAnsi" w:cs="Arial"/>
                <w:sz w:val="18"/>
                <w:szCs w:val="18"/>
              </w:rPr>
              <w:t xml:space="preserve"> de Pereira 31 de Enero de 2011.</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14. Partidos Políticos (PACTO SOCIAL) 26 de Mayo de 2011.</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 xml:space="preserve">Firma del Pacto Social con Candidatos a Alcaldías del </w:t>
            </w:r>
            <w:proofErr w:type="spellStart"/>
            <w:r w:rsidRPr="00535E30">
              <w:rPr>
                <w:rFonts w:asciiTheme="minorHAnsi" w:hAnsiTheme="minorHAnsi" w:cs="Arial"/>
                <w:sz w:val="18"/>
                <w:szCs w:val="18"/>
              </w:rPr>
              <w:t>Amco</w:t>
            </w:r>
            <w:proofErr w:type="spellEnd"/>
            <w:r w:rsidRPr="00535E30">
              <w:rPr>
                <w:rFonts w:asciiTheme="minorHAnsi" w:hAnsiTheme="minorHAnsi" w:cs="Arial"/>
                <w:sz w:val="18"/>
                <w:szCs w:val="18"/>
              </w:rPr>
              <w:t xml:space="preserve">, Santa </w:t>
            </w:r>
            <w:proofErr w:type="spellStart"/>
            <w:r w:rsidRPr="00535E30">
              <w:rPr>
                <w:rFonts w:asciiTheme="minorHAnsi" w:hAnsiTheme="minorHAnsi" w:cs="Arial"/>
                <w:sz w:val="18"/>
                <w:szCs w:val="18"/>
              </w:rPr>
              <w:t>Rosa,Gobernación</w:t>
            </w:r>
            <w:proofErr w:type="spellEnd"/>
            <w:r w:rsidRPr="00535E30">
              <w:rPr>
                <w:rFonts w:asciiTheme="minorHAnsi" w:hAnsiTheme="minorHAnsi" w:cs="Arial"/>
                <w:sz w:val="18"/>
                <w:szCs w:val="18"/>
              </w:rPr>
              <w:t xml:space="preserve"> y Partidos Políticos. INFOZOOM.</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15. ACOPI 13 de Junio de 2011.</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16. Instituciones de Educación Básica Y Media del Núcleo 8. 14 de Junio de 2011.</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lastRenderedPageBreak/>
              <w:t>17. El Sector de Primera Infancia. 20 de Junio de 2011.</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18. Universidad Empresa Estado. 19 de Julio de  2011.</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 xml:space="preserve">19. </w:t>
            </w:r>
            <w:proofErr w:type="spellStart"/>
            <w:r w:rsidRPr="00535E30">
              <w:rPr>
                <w:rFonts w:asciiTheme="minorHAnsi" w:hAnsiTheme="minorHAnsi" w:cs="Arial"/>
                <w:sz w:val="18"/>
                <w:szCs w:val="18"/>
              </w:rPr>
              <w:t>Comfamiliar</w:t>
            </w:r>
            <w:proofErr w:type="spellEnd"/>
            <w:r w:rsidRPr="00535E30">
              <w:rPr>
                <w:rFonts w:asciiTheme="minorHAnsi" w:hAnsiTheme="minorHAnsi" w:cs="Arial"/>
                <w:sz w:val="18"/>
                <w:szCs w:val="18"/>
              </w:rPr>
              <w:t xml:space="preserve"> Risaralda. 15 de Julio de 2011.</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20. Centro Colombo Americano de Pereira. 29 de Julio de 2011.</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21. Asociación Nacional de Empresarios de Colombia – ANDI. 15 de Septiembre de 2011.</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22. Organizaciones sociales.  (Fundación Sembrar Futuro, FEDASPAYMARIS, 100% Colombiano, JASS, ACJ) 06 de Octubre de 2011.</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23. Organizaciones sociales. (KIOS, Colectivo Ciudadano) 06 de Octubre de 2011.</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24. Sector gremial del departamento de Risaralda. 15 de Noviembre 2011.</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25. Red de Entidades de Formación para el Trabajo Pereira. 07 de Diciembre de 2011.</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26. Fundación FRISBY. 25 de Enero de 2012.</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27. Centrales Obreras. 31 de Enero de 2012.</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28. CIEBREG. 22 de Febrero de 2012.</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29. MEDIOS DE COMUNICACIÓN, PERIODISTAS Y COMUNICADORES.</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 xml:space="preserve">30. Empresa </w:t>
            </w:r>
            <w:proofErr w:type="spellStart"/>
            <w:r w:rsidRPr="00535E30">
              <w:rPr>
                <w:rFonts w:asciiTheme="minorHAnsi" w:hAnsiTheme="minorHAnsi" w:cs="Arial"/>
                <w:sz w:val="18"/>
                <w:szCs w:val="18"/>
              </w:rPr>
              <w:t>Quinoa</w:t>
            </w:r>
            <w:proofErr w:type="spellEnd"/>
            <w:r w:rsidRPr="00535E30">
              <w:rPr>
                <w:rFonts w:asciiTheme="minorHAnsi" w:hAnsiTheme="minorHAnsi" w:cs="Arial"/>
                <w:sz w:val="18"/>
                <w:szCs w:val="18"/>
              </w:rPr>
              <w:t>.- 11 de Diciembre de 2012.</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 Además se renovó el compromiso por parte de </w:t>
            </w:r>
            <w:proofErr w:type="spellStart"/>
            <w:r w:rsidRPr="00535E30">
              <w:rPr>
                <w:rFonts w:asciiTheme="minorHAnsi" w:hAnsiTheme="minorHAnsi" w:cs="Arial"/>
                <w:sz w:val="18"/>
                <w:szCs w:val="18"/>
              </w:rPr>
              <w:t>Fenalco</w:t>
            </w:r>
            <w:proofErr w:type="spellEnd"/>
            <w:r w:rsidRPr="00535E30">
              <w:rPr>
                <w:rFonts w:asciiTheme="minorHAnsi" w:hAnsiTheme="minorHAnsi" w:cs="Arial"/>
                <w:sz w:val="18"/>
                <w:szCs w:val="18"/>
              </w:rPr>
              <w:t xml:space="preserve"> con la firma de un nuevo memorando.  </w:t>
            </w:r>
          </w:p>
        </w:tc>
      </w:tr>
      <w:tr w:rsidR="00475419" w:rsidRPr="00535E30" w:rsidTr="005678E7">
        <w:trPr>
          <w:trHeight w:val="57"/>
          <w:jc w:val="center"/>
        </w:trPr>
        <w:tc>
          <w:tcPr>
            <w:tcW w:w="663"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lastRenderedPageBreak/>
              <w:t>Políticas públicas nuevas o mejoradas</w:t>
            </w:r>
          </w:p>
        </w:tc>
        <w:tc>
          <w:tcPr>
            <w:tcW w:w="46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Pr>
                <w:rFonts w:cs="Arial"/>
                <w:sz w:val="18"/>
                <w:szCs w:val="18"/>
              </w:rPr>
              <w:t>4</w:t>
            </w:r>
          </w:p>
        </w:tc>
        <w:tc>
          <w:tcPr>
            <w:tcW w:w="47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Pr>
                <w:rFonts w:cs="Arial"/>
                <w:color w:val="000000"/>
                <w:sz w:val="18"/>
                <w:szCs w:val="18"/>
              </w:rPr>
              <w:t>3</w:t>
            </w:r>
          </w:p>
        </w:tc>
        <w:tc>
          <w:tcPr>
            <w:tcW w:w="410"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75,00%</w:t>
            </w:r>
          </w:p>
        </w:tc>
        <w:tc>
          <w:tcPr>
            <w:tcW w:w="2986" w:type="pct"/>
            <w:tcBorders>
              <w:top w:val="single" w:sz="4" w:space="0" w:color="auto"/>
              <w:left w:val="single" w:sz="4" w:space="0" w:color="000000"/>
              <w:bottom w:val="single" w:sz="4" w:space="0" w:color="000000"/>
              <w:right w:val="single" w:sz="4" w:space="0" w:color="000000"/>
            </w:tcBorders>
            <w:shd w:val="clear" w:color="auto" w:fill="auto"/>
            <w:vAlign w:val="center"/>
          </w:tcPr>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En este momento se cuenta con el avance presentado el año pasado con un avance en las metas del 75%, correspondiente a (3) políticas públicas nuevas o mejoradas.</w:t>
            </w:r>
          </w:p>
          <w:p w:rsidR="00475419" w:rsidRPr="00535E30" w:rsidRDefault="00475419" w:rsidP="005678E7">
            <w:pPr>
              <w:pStyle w:val="Sinespaciado"/>
              <w:spacing w:line="276" w:lineRule="auto"/>
              <w:rPr>
                <w:rFonts w:asciiTheme="minorHAnsi" w:hAnsiTheme="minorHAnsi" w:cs="Arial"/>
                <w:sz w:val="18"/>
                <w:szCs w:val="18"/>
              </w:rPr>
            </w:pP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 xml:space="preserve">1. La Política Ambiental “Risaralda un bosque modelo para el mundo” </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 xml:space="preserve">2.  la Política Pública de Ciencia, Tecnología e Innovación del Municipio de Pereira denominada “Pereira Innova” la cual fue aprobada por el Concejo de Pereira. </w:t>
            </w: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3. La Política Pública de Primera Infancia "Pereira Municipio Amigo de la Primera Infancia y Adolescencia", aprobada en el Concejo del Municipio de Pereira, mediante Acuerdo No. 50,  el 28 de diciembre del año 2011.</w:t>
            </w:r>
          </w:p>
          <w:p w:rsidR="00475419" w:rsidRPr="00535E30" w:rsidRDefault="00475419" w:rsidP="005678E7">
            <w:pPr>
              <w:pStyle w:val="Sinespaciado"/>
              <w:spacing w:line="276" w:lineRule="auto"/>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En la búsqueda de lograr el propósito fundamental de este proceso de Movilización Social “Transformar la agenda pública de desarrollo en Risaralda”, se pretende trabajar conjuntamente con todos los actores de la sociedad en la formulación de políticas públicas incluyentes para el departamento; en este sentido, se llevan a cabo unos foros departamentales y municipales que buscan generar unos lineamientos de política pública como propuesta (demanda) de la sociedad.</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Con el propósito de alcanzar la meta propuesta se está trabajando en diferentes enfoques como es el tema de competitividad, ciencia, tecnología e innovación, educación, entre otros; buscando generar voluntad política en alguno de los temas que conlleven a la formulación de política pública. Para estos temas se han generado publicaciones con las recomendaciones de política pública, como insumos fundamentales de las políticas.</w:t>
            </w:r>
          </w:p>
        </w:tc>
      </w:tr>
    </w:tbl>
    <w:p w:rsidR="00475419" w:rsidRDefault="00475419" w:rsidP="00475419">
      <w:pPr>
        <w:pStyle w:val="Sinespaciado"/>
        <w:spacing w:line="276" w:lineRule="auto"/>
        <w:jc w:val="center"/>
        <w:rPr>
          <w:rFonts w:asciiTheme="minorHAnsi" w:hAnsiTheme="minorHAnsi" w:cs="Arial"/>
          <w:b/>
        </w:rPr>
      </w:pPr>
    </w:p>
    <w:p w:rsidR="00475419" w:rsidRDefault="00475419" w:rsidP="00475419">
      <w:pPr>
        <w:spacing w:after="200" w:line="276" w:lineRule="auto"/>
        <w:jc w:val="left"/>
        <w:rPr>
          <w:rFonts w:asciiTheme="minorHAnsi" w:hAnsiTheme="minorHAnsi" w:cs="Arial"/>
          <w:b/>
        </w:rPr>
      </w:pPr>
      <w:r>
        <w:rPr>
          <w:rFonts w:asciiTheme="minorHAnsi" w:hAnsiTheme="minorHAnsi" w:cs="Arial"/>
          <w:b/>
        </w:rPr>
        <w:br w:type="page"/>
      </w:r>
    </w:p>
    <w:p w:rsidR="00475419" w:rsidRPr="00535E30" w:rsidRDefault="00475419" w:rsidP="00475419">
      <w:pPr>
        <w:pStyle w:val="Sinespaciado"/>
        <w:spacing w:line="276" w:lineRule="auto"/>
        <w:rPr>
          <w:rFonts w:asciiTheme="minorHAnsi" w:hAnsiTheme="minorHAnsi" w:cs="Arial"/>
          <w:b/>
        </w:rPr>
      </w:pPr>
      <w:r w:rsidRPr="00535E30">
        <w:rPr>
          <w:rFonts w:asciiTheme="minorHAnsi" w:hAnsiTheme="minorHAnsi" w:cs="Arial"/>
          <w:b/>
          <w:bCs/>
        </w:rPr>
        <w:lastRenderedPageBreak/>
        <w:t>Gestión humana y organizacional para las alianzas</w:t>
      </w:r>
    </w:p>
    <w:p w:rsidR="00475419" w:rsidRPr="00535E30" w:rsidRDefault="00475419" w:rsidP="00475419">
      <w:pPr>
        <w:pStyle w:val="Sinespaciado"/>
        <w:spacing w:line="276" w:lineRule="auto"/>
        <w:jc w:val="center"/>
        <w:rPr>
          <w:rFonts w:asciiTheme="minorHAnsi" w:hAnsiTheme="minorHAnsi" w:cs="Arial"/>
          <w:b/>
        </w:rPr>
      </w:pPr>
    </w:p>
    <w:tbl>
      <w:tblPr>
        <w:tblW w:w="5817" w:type="pct"/>
        <w:jc w:val="center"/>
        <w:tblInd w:w="-3517" w:type="dxa"/>
        <w:tblCellMar>
          <w:left w:w="0" w:type="dxa"/>
          <w:right w:w="0" w:type="dxa"/>
        </w:tblCellMar>
        <w:tblLook w:val="04A0" w:firstRow="1" w:lastRow="0" w:firstColumn="1" w:lastColumn="0" w:noHBand="0" w:noVBand="1"/>
      </w:tblPr>
      <w:tblGrid>
        <w:gridCol w:w="1351"/>
        <w:gridCol w:w="981"/>
        <w:gridCol w:w="1000"/>
        <w:gridCol w:w="864"/>
        <w:gridCol w:w="6109"/>
      </w:tblGrid>
      <w:tr w:rsidR="00475419" w:rsidRPr="00535E30" w:rsidTr="005678E7">
        <w:trPr>
          <w:trHeight w:val="57"/>
          <w:tblHeader/>
          <w:jc w:val="center"/>
        </w:trPr>
        <w:tc>
          <w:tcPr>
            <w:tcW w:w="656"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bCs/>
                <w:sz w:val="18"/>
                <w:szCs w:val="18"/>
              </w:rPr>
              <w:t>Indicador</w:t>
            </w:r>
          </w:p>
        </w:tc>
        <w:tc>
          <w:tcPr>
            <w:tcW w:w="476"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Meta 2012</w:t>
            </w:r>
          </w:p>
        </w:tc>
        <w:tc>
          <w:tcPr>
            <w:tcW w:w="485"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tcPr>
          <w:p w:rsidR="00475419" w:rsidRPr="00535E30" w:rsidRDefault="00475419" w:rsidP="005678E7">
            <w:pPr>
              <w:spacing w:after="0"/>
              <w:jc w:val="center"/>
              <w:rPr>
                <w:rFonts w:cs="Arial"/>
                <w:b/>
                <w:sz w:val="18"/>
                <w:szCs w:val="18"/>
              </w:rPr>
            </w:pPr>
            <w:r w:rsidRPr="00535E30">
              <w:rPr>
                <w:rFonts w:cs="Arial"/>
                <w:b/>
                <w:sz w:val="18"/>
                <w:szCs w:val="18"/>
              </w:rPr>
              <w:t>Resultado</w:t>
            </w:r>
          </w:p>
        </w:tc>
        <w:tc>
          <w:tcPr>
            <w:tcW w:w="419"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 de avance</w:t>
            </w:r>
          </w:p>
        </w:tc>
        <w:tc>
          <w:tcPr>
            <w:tcW w:w="2963" w:type="pct"/>
            <w:tcBorders>
              <w:top w:val="single" w:sz="4" w:space="0" w:color="000000"/>
              <w:left w:val="single" w:sz="4" w:space="0" w:color="000000"/>
              <w:bottom w:val="single" w:sz="4" w:space="0" w:color="000000"/>
              <w:right w:val="single" w:sz="4" w:space="0" w:color="000000"/>
            </w:tcBorders>
            <w:shd w:val="clear" w:color="auto" w:fill="C5D9F1"/>
            <w:vAlign w:val="center"/>
          </w:tcPr>
          <w:p w:rsidR="00475419" w:rsidRPr="00535E30" w:rsidRDefault="00475419" w:rsidP="005678E7">
            <w:pPr>
              <w:spacing w:after="0"/>
              <w:jc w:val="center"/>
              <w:rPr>
                <w:rFonts w:cs="Arial"/>
                <w:b/>
                <w:bCs/>
                <w:sz w:val="18"/>
                <w:szCs w:val="18"/>
              </w:rPr>
            </w:pPr>
            <w:r w:rsidRPr="00535E30">
              <w:rPr>
                <w:rFonts w:cs="Arial"/>
                <w:b/>
                <w:bCs/>
                <w:sz w:val="18"/>
                <w:szCs w:val="18"/>
              </w:rPr>
              <w:t>Observaciones</w:t>
            </w:r>
          </w:p>
        </w:tc>
      </w:tr>
      <w:tr w:rsidR="00475419" w:rsidRPr="00535E30" w:rsidTr="005678E7">
        <w:trPr>
          <w:trHeight w:val="57"/>
          <w:jc w:val="center"/>
        </w:trPr>
        <w:tc>
          <w:tcPr>
            <w:tcW w:w="656"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Número de Alianzas articuladas</w:t>
            </w:r>
          </w:p>
        </w:tc>
        <w:tc>
          <w:tcPr>
            <w:tcW w:w="476"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Pr>
                <w:rFonts w:cs="Arial"/>
                <w:sz w:val="18"/>
                <w:szCs w:val="18"/>
              </w:rPr>
              <w:t>12</w:t>
            </w:r>
          </w:p>
        </w:tc>
        <w:tc>
          <w:tcPr>
            <w:tcW w:w="485"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Pr>
                <w:rFonts w:cs="Arial"/>
                <w:color w:val="000000"/>
                <w:sz w:val="18"/>
                <w:szCs w:val="18"/>
              </w:rPr>
              <w:t>10</w:t>
            </w:r>
          </w:p>
        </w:tc>
        <w:tc>
          <w:tcPr>
            <w:tcW w:w="419" w:type="pct"/>
            <w:tcBorders>
              <w:top w:val="single" w:sz="4" w:space="0" w:color="000000"/>
              <w:left w:val="single" w:sz="4" w:space="0" w:color="000000"/>
              <w:bottom w:val="single" w:sz="4" w:space="0" w:color="000000"/>
              <w:right w:val="single" w:sz="4" w:space="0" w:color="000000"/>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83,33%</w:t>
            </w:r>
          </w:p>
        </w:tc>
        <w:tc>
          <w:tcPr>
            <w:tcW w:w="2963" w:type="pct"/>
            <w:tcBorders>
              <w:top w:val="single" w:sz="4" w:space="0" w:color="000000"/>
              <w:left w:val="single" w:sz="4" w:space="0" w:color="000000"/>
              <w:bottom w:val="single" w:sz="4" w:space="0" w:color="auto"/>
              <w:right w:val="single" w:sz="4" w:space="0" w:color="000000"/>
            </w:tcBorders>
            <w:vAlign w:val="center"/>
          </w:tcPr>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Se realizó un proceso de revisión de una parte de las Alianzas Establecidas para identificar las posibles macro alianzas existentes en la institución para lo cual se definió: </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La movilización social ha venido consolidando acuerdos de entendimiento que deben ser sumados como Alianzas Estratégicas, estas a su vez se articulan configurando una gran red trabajando con el mismo propósito de la Sociedad y Economía del Conocimiento.</w:t>
            </w:r>
          </w:p>
          <w:p w:rsidR="00475419" w:rsidRPr="00535E30" w:rsidRDefault="00475419" w:rsidP="005678E7">
            <w:pPr>
              <w:pStyle w:val="Sinespaciado"/>
              <w:spacing w:line="276" w:lineRule="auto"/>
              <w:jc w:val="both"/>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En este proyecto se han articulado las siguientes alianzas:</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1. Sector político.</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2. Universidades.</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3. </w:t>
            </w:r>
            <w:proofErr w:type="spellStart"/>
            <w:r w:rsidRPr="00535E30">
              <w:rPr>
                <w:rFonts w:asciiTheme="minorHAnsi" w:hAnsiTheme="minorHAnsi" w:cs="Arial"/>
                <w:sz w:val="18"/>
                <w:szCs w:val="18"/>
              </w:rPr>
              <w:t>Parquesoft</w:t>
            </w:r>
            <w:proofErr w:type="spellEnd"/>
            <w:r w:rsidRPr="00535E30">
              <w:rPr>
                <w:rFonts w:asciiTheme="minorHAnsi" w:hAnsiTheme="minorHAnsi" w:cs="Arial"/>
                <w:sz w:val="18"/>
                <w:szCs w:val="18"/>
              </w:rPr>
              <w:t>.</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4. Sector Ambiental.</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5. Concejo Municipal Pereira.</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6. Fundación empresarios por la educación.</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7. </w:t>
            </w:r>
            <w:proofErr w:type="spellStart"/>
            <w:r w:rsidRPr="00535E30">
              <w:rPr>
                <w:rFonts w:asciiTheme="minorHAnsi" w:hAnsiTheme="minorHAnsi" w:cs="Arial"/>
                <w:sz w:val="18"/>
                <w:szCs w:val="18"/>
              </w:rPr>
              <w:t>Acopi</w:t>
            </w:r>
            <w:proofErr w:type="spellEnd"/>
            <w:r w:rsidRPr="00535E30">
              <w:rPr>
                <w:rFonts w:asciiTheme="minorHAnsi" w:hAnsiTheme="minorHAnsi" w:cs="Arial"/>
                <w:sz w:val="18"/>
                <w:szCs w:val="18"/>
              </w:rPr>
              <w:t>.</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 xml:space="preserve">8. </w:t>
            </w:r>
            <w:proofErr w:type="spellStart"/>
            <w:r w:rsidRPr="00535E30">
              <w:rPr>
                <w:rFonts w:asciiTheme="minorHAnsi" w:hAnsiTheme="minorHAnsi" w:cs="Arial"/>
                <w:sz w:val="18"/>
                <w:szCs w:val="18"/>
              </w:rPr>
              <w:t>Fenalco</w:t>
            </w:r>
            <w:proofErr w:type="spellEnd"/>
            <w:r w:rsidRPr="00535E30">
              <w:rPr>
                <w:rFonts w:asciiTheme="minorHAnsi" w:hAnsiTheme="minorHAnsi" w:cs="Arial"/>
                <w:sz w:val="18"/>
                <w:szCs w:val="18"/>
              </w:rPr>
              <w:t>.</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9. Sector Comunidades.</w:t>
            </w: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10. Sector Juvenil.</w:t>
            </w:r>
          </w:p>
        </w:tc>
      </w:tr>
      <w:tr w:rsidR="00475419" w:rsidRPr="00535E30" w:rsidTr="005678E7">
        <w:trPr>
          <w:trHeight w:val="57"/>
          <w:jc w:val="center"/>
        </w:trPr>
        <w:tc>
          <w:tcPr>
            <w:tcW w:w="656"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sidRPr="00535E30">
              <w:rPr>
                <w:rFonts w:cs="Arial"/>
                <w:sz w:val="18"/>
                <w:szCs w:val="18"/>
              </w:rPr>
              <w:t>Facultades involucradas en las alianzas establecidas</w:t>
            </w:r>
          </w:p>
        </w:tc>
        <w:tc>
          <w:tcPr>
            <w:tcW w:w="476"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sz w:val="18"/>
                <w:szCs w:val="18"/>
              </w:rPr>
            </w:pPr>
            <w:r>
              <w:rPr>
                <w:rFonts w:cs="Arial"/>
                <w:sz w:val="18"/>
                <w:szCs w:val="18"/>
              </w:rPr>
              <w:t>4</w:t>
            </w:r>
          </w:p>
        </w:tc>
        <w:tc>
          <w:tcPr>
            <w:tcW w:w="485"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475419" w:rsidRPr="00535E30" w:rsidRDefault="00475419" w:rsidP="005678E7">
            <w:pPr>
              <w:jc w:val="center"/>
              <w:rPr>
                <w:rFonts w:cs="Arial"/>
                <w:color w:val="000000"/>
                <w:sz w:val="18"/>
                <w:szCs w:val="18"/>
              </w:rPr>
            </w:pPr>
            <w:r>
              <w:rPr>
                <w:rFonts w:cs="Arial"/>
                <w:color w:val="000000"/>
                <w:sz w:val="18"/>
                <w:szCs w:val="18"/>
              </w:rPr>
              <w:t>2</w:t>
            </w:r>
          </w:p>
        </w:tc>
        <w:tc>
          <w:tcPr>
            <w:tcW w:w="419" w:type="pct"/>
            <w:tcBorders>
              <w:top w:val="single" w:sz="4" w:space="0" w:color="auto"/>
              <w:left w:val="single" w:sz="4" w:space="0" w:color="000000"/>
              <w:bottom w:val="single" w:sz="4" w:space="0" w:color="000000"/>
              <w:right w:val="single" w:sz="4" w:space="0" w:color="000000"/>
            </w:tcBorders>
            <w:vAlign w:val="center"/>
          </w:tcPr>
          <w:p w:rsidR="00475419" w:rsidRPr="00535E30" w:rsidRDefault="00475419" w:rsidP="005678E7">
            <w:pPr>
              <w:jc w:val="center"/>
              <w:rPr>
                <w:rFonts w:cs="Arial"/>
                <w:color w:val="000000"/>
                <w:sz w:val="18"/>
                <w:szCs w:val="18"/>
              </w:rPr>
            </w:pPr>
            <w:r w:rsidRPr="00535E30">
              <w:rPr>
                <w:rFonts w:cs="Arial"/>
                <w:color w:val="000000"/>
                <w:sz w:val="18"/>
                <w:szCs w:val="18"/>
              </w:rPr>
              <w:t>50,00%</w:t>
            </w:r>
          </w:p>
        </w:tc>
        <w:tc>
          <w:tcPr>
            <w:tcW w:w="2963" w:type="pct"/>
            <w:tcBorders>
              <w:top w:val="single" w:sz="4" w:space="0" w:color="auto"/>
              <w:left w:val="single" w:sz="4" w:space="0" w:color="000000"/>
              <w:bottom w:val="single" w:sz="4" w:space="0" w:color="000000"/>
              <w:right w:val="single" w:sz="4" w:space="0" w:color="000000"/>
            </w:tcBorders>
            <w:vAlign w:val="center"/>
          </w:tcPr>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En la vigencia 2012 se realizó en los meses de octubre y noviembre  una prueba piloto con las facultades de  ingenierías e ingeniería industrial, por medio de la cual se  involucraron en  el tema de las alianzas con la finalidad de buscar alianzas establecidas o potenciales que puedan ser articuladas. Este ejercicio  se seguirá afianzando en la próxima vigencia.</w:t>
            </w:r>
          </w:p>
          <w:p w:rsidR="00475419" w:rsidRPr="00535E30" w:rsidRDefault="00475419" w:rsidP="005678E7">
            <w:pPr>
              <w:pStyle w:val="Sinespaciado"/>
              <w:spacing w:line="276" w:lineRule="auto"/>
              <w:rPr>
                <w:rFonts w:asciiTheme="minorHAnsi" w:hAnsiTheme="minorHAnsi" w:cs="Arial"/>
                <w:sz w:val="18"/>
                <w:szCs w:val="18"/>
              </w:rPr>
            </w:pP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Con respecto al avance del indicador son dos (2) las facultades vinculadas en promedio a las Alianzas estratégicas activas, para este cálculo se puntualizaron  los siguientes aspectos:</w:t>
            </w:r>
          </w:p>
          <w:p w:rsidR="00475419" w:rsidRPr="00535E30" w:rsidRDefault="00475419" w:rsidP="005678E7">
            <w:pPr>
              <w:pStyle w:val="Sinespaciado"/>
              <w:spacing w:line="276" w:lineRule="auto"/>
              <w:rPr>
                <w:rFonts w:asciiTheme="minorHAnsi" w:hAnsiTheme="minorHAnsi" w:cs="Arial"/>
                <w:sz w:val="18"/>
                <w:szCs w:val="18"/>
              </w:rPr>
            </w:pPr>
          </w:p>
          <w:p w:rsidR="00475419" w:rsidRPr="00535E30" w:rsidRDefault="00475419" w:rsidP="005678E7">
            <w:pPr>
              <w:pStyle w:val="Sinespaciado"/>
              <w:spacing w:line="276" w:lineRule="auto"/>
              <w:rPr>
                <w:rFonts w:asciiTheme="minorHAnsi" w:hAnsiTheme="minorHAnsi" w:cs="Arial"/>
                <w:sz w:val="18"/>
                <w:szCs w:val="18"/>
              </w:rPr>
            </w:pPr>
            <w:r w:rsidRPr="00535E30">
              <w:rPr>
                <w:rFonts w:asciiTheme="minorHAnsi" w:hAnsiTheme="minorHAnsi" w:cs="Arial"/>
                <w:sz w:val="18"/>
                <w:szCs w:val="18"/>
              </w:rPr>
              <w:t>Tres Alianzas tiene involucradas las 9 facultades y por ser datos atípicos se retiran del cálculo: Red Alma Mater, Risaralda Profesional y Egresados UTP.</w:t>
            </w:r>
          </w:p>
          <w:p w:rsidR="00475419" w:rsidRPr="00535E30" w:rsidRDefault="00475419" w:rsidP="005678E7">
            <w:pPr>
              <w:pStyle w:val="Sinespaciado"/>
              <w:spacing w:line="276" w:lineRule="auto"/>
              <w:rPr>
                <w:rFonts w:asciiTheme="minorHAnsi" w:hAnsiTheme="minorHAnsi" w:cs="Arial"/>
                <w:sz w:val="18"/>
                <w:szCs w:val="18"/>
              </w:rPr>
            </w:pPr>
          </w:p>
          <w:p w:rsidR="00475419" w:rsidRPr="00535E30" w:rsidRDefault="00475419" w:rsidP="005678E7">
            <w:pPr>
              <w:pStyle w:val="Sinespaciado"/>
              <w:spacing w:line="276" w:lineRule="auto"/>
              <w:jc w:val="both"/>
              <w:rPr>
                <w:rFonts w:asciiTheme="minorHAnsi" w:hAnsiTheme="minorHAnsi" w:cs="Arial"/>
                <w:sz w:val="18"/>
                <w:szCs w:val="18"/>
              </w:rPr>
            </w:pPr>
            <w:r w:rsidRPr="00535E30">
              <w:rPr>
                <w:rFonts w:asciiTheme="minorHAnsi" w:hAnsiTheme="minorHAnsi" w:cs="Arial"/>
                <w:sz w:val="18"/>
                <w:szCs w:val="18"/>
              </w:rPr>
              <w:t>Igualmente existen 15 Alianzas estratégicas que no presentan facultades involucradas ellas corresponden a los acuerdo firmados para la Movilización social, sin embargo, la dinámica de esta macro alianza permite identificar interés de diferentes facultades para el trabajo en las políticas públicas que la movilización pretende impulsar.</w:t>
            </w:r>
          </w:p>
        </w:tc>
      </w:tr>
    </w:tbl>
    <w:p w:rsidR="00475419" w:rsidRDefault="00475419" w:rsidP="00475419"/>
    <w:p w:rsidR="00475419" w:rsidRDefault="00475419">
      <w:pPr>
        <w:spacing w:after="200" w:line="276" w:lineRule="auto"/>
        <w:jc w:val="left"/>
      </w:pPr>
      <w:r>
        <w:br w:type="page"/>
      </w:r>
    </w:p>
    <w:p w:rsidR="00475419" w:rsidRDefault="00475419" w:rsidP="00475419">
      <w:pPr>
        <w:pStyle w:val="Ttulo1"/>
      </w:pPr>
      <w:bookmarkStart w:id="200" w:name="_Toc350957793"/>
      <w:bookmarkStart w:id="201" w:name="_Toc354671386"/>
      <w:r>
        <w:lastRenderedPageBreak/>
        <w:t>ANEXO II – RESULTADOS A NIVEL DE PROYECTOS</w:t>
      </w:r>
      <w:bookmarkEnd w:id="200"/>
      <w:bookmarkEnd w:id="201"/>
    </w:p>
    <w:p w:rsidR="00475419" w:rsidRDefault="00475419" w:rsidP="00475419"/>
    <w:p w:rsidR="00475419" w:rsidRPr="00535E30" w:rsidRDefault="00475419" w:rsidP="00475419">
      <w:pPr>
        <w:spacing w:after="0" w:line="276" w:lineRule="auto"/>
        <w:rPr>
          <w:rFonts w:asciiTheme="minorHAnsi" w:hAnsiTheme="minorHAnsi" w:cs="Arial"/>
        </w:rPr>
      </w:pPr>
      <w:r w:rsidRPr="00535E30">
        <w:rPr>
          <w:rFonts w:asciiTheme="minorHAnsi" w:hAnsiTheme="minorHAnsi" w:cs="Arial"/>
        </w:rPr>
        <w:t xml:space="preserve">Cada objetivo Institucional del plan de Desarrollo se encuentra estructurado por proyectos institucionales, para un total de </w:t>
      </w:r>
      <w:r w:rsidRPr="006E4F3D">
        <w:rPr>
          <w:rFonts w:asciiTheme="minorHAnsi" w:hAnsiTheme="minorHAnsi" w:cs="Arial"/>
          <w:b/>
        </w:rPr>
        <w:t>29</w:t>
      </w:r>
      <w:r w:rsidRPr="00535E30">
        <w:rPr>
          <w:rFonts w:asciiTheme="minorHAnsi" w:hAnsiTheme="minorHAnsi" w:cs="Arial"/>
        </w:rPr>
        <w:t xml:space="preserve"> proyectos institucionales. Estos proyectos a su vez se encuentran estructurados en planes operativos con indicadores y metas.</w:t>
      </w:r>
    </w:p>
    <w:p w:rsidR="00475419" w:rsidRPr="00535E30" w:rsidRDefault="00475419" w:rsidP="00475419">
      <w:pPr>
        <w:spacing w:after="0" w:line="276" w:lineRule="auto"/>
        <w:rPr>
          <w:rFonts w:asciiTheme="minorHAnsi" w:hAnsiTheme="minorHAnsi" w:cs="Arial"/>
        </w:rPr>
      </w:pPr>
    </w:p>
    <w:p w:rsidR="00475419" w:rsidRPr="00535E30" w:rsidRDefault="00475419" w:rsidP="00475419">
      <w:pPr>
        <w:spacing w:after="0" w:line="276" w:lineRule="auto"/>
        <w:rPr>
          <w:rFonts w:asciiTheme="minorHAnsi" w:hAnsiTheme="minorHAnsi" w:cs="Arial"/>
        </w:rPr>
      </w:pPr>
      <w:r w:rsidRPr="00535E30">
        <w:rPr>
          <w:rFonts w:asciiTheme="minorHAnsi" w:hAnsiTheme="minorHAnsi" w:cs="Arial"/>
        </w:rPr>
        <w:t>A continuación se muestra la estructura de los proyectos por Objetivo Institucional:</w:t>
      </w:r>
    </w:p>
    <w:p w:rsidR="00475419" w:rsidRPr="00535E30" w:rsidRDefault="00475419" w:rsidP="00475419">
      <w:pPr>
        <w:spacing w:after="0" w:line="276" w:lineRule="auto"/>
        <w:rPr>
          <w:rFonts w:asciiTheme="minorHAnsi" w:hAnsiTheme="minorHAnsi" w:cs="Arial"/>
        </w:rPr>
      </w:pPr>
    </w:p>
    <w:tbl>
      <w:tblPr>
        <w:tblW w:w="92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97"/>
        <w:gridCol w:w="6618"/>
      </w:tblGrid>
      <w:tr w:rsidR="00475419" w:rsidRPr="00535E30" w:rsidTr="005678E7">
        <w:trPr>
          <w:tblHeader/>
          <w:jc w:val="center"/>
        </w:trPr>
        <w:tc>
          <w:tcPr>
            <w:tcW w:w="2597" w:type="dxa"/>
            <w:shd w:val="clear" w:color="auto" w:fill="76923C"/>
          </w:tcPr>
          <w:p w:rsidR="00475419" w:rsidRPr="00535E30" w:rsidRDefault="00475419" w:rsidP="005678E7">
            <w:pPr>
              <w:pStyle w:val="NormalWeb"/>
              <w:spacing w:after="0" w:afterAutospacing="0" w:line="276" w:lineRule="auto"/>
              <w:jc w:val="center"/>
              <w:rPr>
                <w:rFonts w:asciiTheme="minorHAnsi" w:hAnsiTheme="minorHAnsi" w:cs="Arial"/>
                <w:b/>
                <w:color w:val="000000"/>
                <w:sz w:val="20"/>
                <w:szCs w:val="20"/>
                <w:lang w:val="es-CO"/>
              </w:rPr>
            </w:pPr>
            <w:r w:rsidRPr="00535E30">
              <w:rPr>
                <w:rFonts w:asciiTheme="minorHAnsi" w:hAnsiTheme="minorHAnsi" w:cs="Arial"/>
                <w:b/>
                <w:color w:val="000000"/>
                <w:sz w:val="20"/>
                <w:szCs w:val="20"/>
                <w:lang w:val="es-CO"/>
              </w:rPr>
              <w:t>Objetivo</w:t>
            </w:r>
          </w:p>
        </w:tc>
        <w:tc>
          <w:tcPr>
            <w:tcW w:w="6618" w:type="dxa"/>
            <w:shd w:val="clear" w:color="auto" w:fill="76923C"/>
          </w:tcPr>
          <w:p w:rsidR="00475419" w:rsidRPr="00535E30" w:rsidRDefault="00475419" w:rsidP="005678E7">
            <w:pPr>
              <w:pStyle w:val="NormalWeb"/>
              <w:spacing w:after="0" w:afterAutospacing="0" w:line="276" w:lineRule="auto"/>
              <w:jc w:val="center"/>
              <w:rPr>
                <w:rFonts w:asciiTheme="minorHAnsi" w:hAnsiTheme="minorHAnsi" w:cs="Arial"/>
                <w:b/>
                <w:color w:val="000000"/>
                <w:sz w:val="20"/>
                <w:szCs w:val="20"/>
                <w:lang w:val="es-CO"/>
              </w:rPr>
            </w:pPr>
            <w:r w:rsidRPr="00535E30">
              <w:rPr>
                <w:rFonts w:asciiTheme="minorHAnsi" w:hAnsiTheme="minorHAnsi" w:cs="Arial"/>
                <w:b/>
                <w:color w:val="000000"/>
                <w:sz w:val="20"/>
                <w:szCs w:val="20"/>
                <w:lang w:val="es-CO"/>
              </w:rPr>
              <w:t>Proyecto</w:t>
            </w:r>
          </w:p>
        </w:tc>
      </w:tr>
      <w:tr w:rsidR="00475419" w:rsidRPr="00535E30" w:rsidTr="005678E7">
        <w:trPr>
          <w:jc w:val="center"/>
        </w:trPr>
        <w:tc>
          <w:tcPr>
            <w:tcW w:w="2597" w:type="dxa"/>
            <w:vMerge w:val="restart"/>
            <w:shd w:val="clear" w:color="auto" w:fill="EAF1DD"/>
            <w:vAlign w:val="center"/>
          </w:tcPr>
          <w:p w:rsidR="00475419" w:rsidRPr="00535E30" w:rsidRDefault="00475419" w:rsidP="005678E7">
            <w:pPr>
              <w:numPr>
                <w:ilvl w:val="0"/>
                <w:numId w:val="14"/>
              </w:numPr>
              <w:spacing w:after="0" w:line="276" w:lineRule="auto"/>
              <w:jc w:val="center"/>
              <w:rPr>
                <w:rFonts w:asciiTheme="minorHAnsi" w:hAnsiTheme="minorHAnsi" w:cs="Arial"/>
                <w:sz w:val="20"/>
                <w:szCs w:val="20"/>
              </w:rPr>
            </w:pPr>
            <w:r w:rsidRPr="00535E30">
              <w:rPr>
                <w:rFonts w:asciiTheme="minorHAnsi" w:hAnsiTheme="minorHAnsi" w:cs="Arial"/>
                <w:sz w:val="20"/>
                <w:szCs w:val="20"/>
              </w:rPr>
              <w:t>Desarrollo Institucional</w:t>
            </w:r>
          </w:p>
        </w:tc>
        <w:tc>
          <w:tcPr>
            <w:tcW w:w="6618" w:type="dxa"/>
            <w:shd w:val="clear" w:color="auto" w:fill="EAF1DD"/>
          </w:tcPr>
          <w:p w:rsidR="00475419" w:rsidRPr="00535E30" w:rsidRDefault="00475419" w:rsidP="005678E7">
            <w:pPr>
              <w:pStyle w:val="NormalWeb"/>
              <w:spacing w:after="0" w:afterAutospacing="0" w:line="276" w:lineRule="auto"/>
              <w:jc w:val="both"/>
              <w:rPr>
                <w:rFonts w:asciiTheme="minorHAnsi" w:hAnsiTheme="minorHAnsi" w:cs="Arial"/>
                <w:color w:val="000000"/>
                <w:sz w:val="20"/>
                <w:szCs w:val="20"/>
                <w:lang w:val="es-CO"/>
              </w:rPr>
            </w:pPr>
            <w:r w:rsidRPr="00535E30">
              <w:rPr>
                <w:rFonts w:asciiTheme="minorHAnsi" w:hAnsiTheme="minorHAnsi" w:cs="Arial"/>
                <w:color w:val="000000"/>
                <w:sz w:val="20"/>
                <w:szCs w:val="20"/>
              </w:rPr>
              <w:t>Desarrollo Físico Sostenible</w:t>
            </w:r>
          </w:p>
        </w:tc>
      </w:tr>
      <w:tr w:rsidR="00475419" w:rsidRPr="00535E30" w:rsidTr="005678E7">
        <w:trPr>
          <w:jc w:val="center"/>
        </w:trPr>
        <w:tc>
          <w:tcPr>
            <w:tcW w:w="2597" w:type="dxa"/>
            <w:vMerge/>
            <w:shd w:val="clear" w:color="auto" w:fill="EAF1DD"/>
            <w:vAlign w:val="center"/>
          </w:tcPr>
          <w:p w:rsidR="00475419" w:rsidRPr="00535E30" w:rsidRDefault="00475419" w:rsidP="005678E7">
            <w:pPr>
              <w:pStyle w:val="NormalWeb"/>
              <w:spacing w:after="0" w:afterAutospacing="0" w:line="276" w:lineRule="auto"/>
              <w:jc w:val="center"/>
              <w:rPr>
                <w:rFonts w:asciiTheme="minorHAnsi" w:hAnsiTheme="minorHAnsi" w:cs="Arial"/>
                <w:color w:val="000000"/>
                <w:sz w:val="20"/>
                <w:szCs w:val="20"/>
                <w:lang w:val="es-CO"/>
              </w:rPr>
            </w:pPr>
          </w:p>
        </w:tc>
        <w:tc>
          <w:tcPr>
            <w:tcW w:w="6618" w:type="dxa"/>
            <w:shd w:val="clear" w:color="auto" w:fill="EAF1DD"/>
          </w:tcPr>
          <w:p w:rsidR="00475419" w:rsidRPr="00535E30" w:rsidRDefault="00475419" w:rsidP="005678E7">
            <w:pPr>
              <w:pStyle w:val="NormalWeb"/>
              <w:spacing w:after="0" w:afterAutospacing="0" w:line="276" w:lineRule="auto"/>
              <w:jc w:val="both"/>
              <w:rPr>
                <w:rFonts w:asciiTheme="minorHAnsi" w:hAnsiTheme="minorHAnsi" w:cs="Arial"/>
                <w:color w:val="000000"/>
                <w:sz w:val="20"/>
                <w:szCs w:val="20"/>
                <w:lang w:val="es-CO"/>
              </w:rPr>
            </w:pPr>
            <w:r w:rsidRPr="00535E30">
              <w:rPr>
                <w:rFonts w:asciiTheme="minorHAnsi" w:hAnsiTheme="minorHAnsi" w:cs="Arial"/>
                <w:color w:val="000000"/>
                <w:sz w:val="20"/>
                <w:szCs w:val="20"/>
              </w:rPr>
              <w:t>Desarrollo Informático y de Comunicaciones</w:t>
            </w:r>
          </w:p>
        </w:tc>
      </w:tr>
      <w:tr w:rsidR="00475419" w:rsidRPr="00535E30" w:rsidTr="005678E7">
        <w:trPr>
          <w:jc w:val="center"/>
        </w:trPr>
        <w:tc>
          <w:tcPr>
            <w:tcW w:w="2597" w:type="dxa"/>
            <w:vMerge/>
            <w:shd w:val="clear" w:color="auto" w:fill="EAF1DD"/>
            <w:vAlign w:val="center"/>
          </w:tcPr>
          <w:p w:rsidR="00475419" w:rsidRPr="00535E30" w:rsidRDefault="00475419" w:rsidP="005678E7">
            <w:pPr>
              <w:pStyle w:val="NormalWeb"/>
              <w:spacing w:after="0" w:afterAutospacing="0" w:line="276" w:lineRule="auto"/>
              <w:jc w:val="center"/>
              <w:rPr>
                <w:rFonts w:asciiTheme="minorHAnsi" w:hAnsiTheme="minorHAnsi" w:cs="Arial"/>
                <w:color w:val="000000"/>
                <w:sz w:val="20"/>
                <w:szCs w:val="20"/>
                <w:lang w:val="es-CO"/>
              </w:rPr>
            </w:pPr>
          </w:p>
        </w:tc>
        <w:tc>
          <w:tcPr>
            <w:tcW w:w="6618" w:type="dxa"/>
            <w:shd w:val="clear" w:color="auto" w:fill="EAF1DD"/>
          </w:tcPr>
          <w:p w:rsidR="00475419" w:rsidRPr="00535E30" w:rsidRDefault="00475419" w:rsidP="005678E7">
            <w:pPr>
              <w:pStyle w:val="NormalWeb"/>
              <w:spacing w:after="0" w:afterAutospacing="0" w:line="276" w:lineRule="auto"/>
              <w:jc w:val="both"/>
              <w:rPr>
                <w:rFonts w:asciiTheme="minorHAnsi" w:hAnsiTheme="minorHAnsi" w:cs="Arial"/>
                <w:color w:val="000000"/>
                <w:sz w:val="20"/>
                <w:szCs w:val="20"/>
                <w:lang w:val="es-CO"/>
              </w:rPr>
            </w:pPr>
            <w:r w:rsidRPr="00535E30">
              <w:rPr>
                <w:rFonts w:asciiTheme="minorHAnsi" w:hAnsiTheme="minorHAnsi" w:cs="Arial"/>
                <w:color w:val="000000"/>
                <w:sz w:val="20"/>
                <w:szCs w:val="20"/>
              </w:rPr>
              <w:t>Desarrollo Humano y Organizacional</w:t>
            </w:r>
          </w:p>
        </w:tc>
      </w:tr>
      <w:tr w:rsidR="00475419" w:rsidRPr="00535E30" w:rsidTr="005678E7">
        <w:trPr>
          <w:jc w:val="center"/>
        </w:trPr>
        <w:tc>
          <w:tcPr>
            <w:tcW w:w="2597" w:type="dxa"/>
            <w:vMerge/>
            <w:shd w:val="clear" w:color="auto" w:fill="EAF1DD"/>
            <w:vAlign w:val="center"/>
          </w:tcPr>
          <w:p w:rsidR="00475419" w:rsidRPr="00535E30" w:rsidRDefault="00475419" w:rsidP="005678E7">
            <w:pPr>
              <w:pStyle w:val="NormalWeb"/>
              <w:spacing w:after="0" w:afterAutospacing="0" w:line="276" w:lineRule="auto"/>
              <w:jc w:val="center"/>
              <w:rPr>
                <w:rFonts w:asciiTheme="minorHAnsi" w:hAnsiTheme="minorHAnsi" w:cs="Arial"/>
                <w:color w:val="000000"/>
                <w:sz w:val="20"/>
                <w:szCs w:val="20"/>
                <w:lang w:val="es-CO"/>
              </w:rPr>
            </w:pPr>
          </w:p>
        </w:tc>
        <w:tc>
          <w:tcPr>
            <w:tcW w:w="6618" w:type="dxa"/>
            <w:shd w:val="clear" w:color="auto" w:fill="EAF1DD"/>
          </w:tcPr>
          <w:p w:rsidR="00475419" w:rsidRPr="00535E30" w:rsidRDefault="00475419" w:rsidP="005678E7">
            <w:pPr>
              <w:pStyle w:val="NormalWeb"/>
              <w:spacing w:after="0" w:afterAutospacing="0" w:line="276" w:lineRule="auto"/>
              <w:jc w:val="both"/>
              <w:rPr>
                <w:rFonts w:asciiTheme="minorHAnsi" w:hAnsiTheme="minorHAnsi" w:cs="Arial"/>
                <w:color w:val="000000"/>
                <w:sz w:val="20"/>
                <w:szCs w:val="20"/>
                <w:lang w:val="es-CO"/>
              </w:rPr>
            </w:pPr>
            <w:r w:rsidRPr="00535E30">
              <w:rPr>
                <w:rFonts w:asciiTheme="minorHAnsi" w:hAnsiTheme="minorHAnsi" w:cs="Arial"/>
                <w:color w:val="000000"/>
                <w:sz w:val="20"/>
                <w:szCs w:val="20"/>
              </w:rPr>
              <w:t>Desarrollo Financiero</w:t>
            </w:r>
          </w:p>
        </w:tc>
      </w:tr>
      <w:tr w:rsidR="00475419" w:rsidRPr="00535E30" w:rsidTr="005678E7">
        <w:trPr>
          <w:trHeight w:val="184"/>
          <w:jc w:val="center"/>
        </w:trPr>
        <w:tc>
          <w:tcPr>
            <w:tcW w:w="2597" w:type="dxa"/>
            <w:vMerge w:val="restart"/>
            <w:vAlign w:val="center"/>
          </w:tcPr>
          <w:p w:rsidR="00475419" w:rsidRPr="00535E30" w:rsidRDefault="00475419" w:rsidP="005678E7">
            <w:pPr>
              <w:spacing w:after="0" w:line="276" w:lineRule="auto"/>
              <w:jc w:val="center"/>
              <w:rPr>
                <w:rFonts w:asciiTheme="minorHAnsi" w:hAnsiTheme="minorHAnsi" w:cs="Arial"/>
                <w:color w:val="000000"/>
                <w:sz w:val="20"/>
                <w:szCs w:val="20"/>
              </w:rPr>
            </w:pPr>
            <w:r w:rsidRPr="00535E30">
              <w:rPr>
                <w:rFonts w:asciiTheme="minorHAnsi" w:hAnsiTheme="minorHAnsi" w:cs="Arial"/>
                <w:b/>
                <w:color w:val="000000"/>
                <w:sz w:val="20"/>
                <w:szCs w:val="20"/>
              </w:rPr>
              <w:t>2.</w:t>
            </w:r>
            <w:r w:rsidRPr="00535E30">
              <w:rPr>
                <w:rFonts w:asciiTheme="minorHAnsi" w:hAnsiTheme="minorHAnsi" w:cs="Arial"/>
                <w:color w:val="000000"/>
                <w:sz w:val="20"/>
                <w:szCs w:val="20"/>
              </w:rPr>
              <w:t xml:space="preserve"> </w:t>
            </w:r>
            <w:r w:rsidRPr="00535E30">
              <w:rPr>
                <w:rFonts w:asciiTheme="minorHAnsi" w:hAnsiTheme="minorHAnsi" w:cs="Arial"/>
                <w:sz w:val="20"/>
                <w:szCs w:val="20"/>
              </w:rPr>
              <w:t>Cobertura con calidad de la oferta educativa</w:t>
            </w:r>
          </w:p>
        </w:tc>
        <w:tc>
          <w:tcPr>
            <w:tcW w:w="6618" w:type="dxa"/>
          </w:tcPr>
          <w:p w:rsidR="00475419" w:rsidRPr="00535E30" w:rsidRDefault="00475419" w:rsidP="005678E7">
            <w:pPr>
              <w:pStyle w:val="NormalWeb"/>
              <w:spacing w:after="0" w:afterAutospacing="0" w:line="276" w:lineRule="auto"/>
              <w:jc w:val="both"/>
              <w:rPr>
                <w:rFonts w:asciiTheme="minorHAnsi" w:hAnsiTheme="minorHAnsi" w:cs="Arial"/>
                <w:color w:val="000000"/>
                <w:sz w:val="20"/>
                <w:szCs w:val="20"/>
              </w:rPr>
            </w:pPr>
            <w:r w:rsidRPr="00535E30">
              <w:rPr>
                <w:rFonts w:asciiTheme="minorHAnsi" w:hAnsiTheme="minorHAnsi" w:cs="Arial"/>
                <w:color w:val="000000"/>
                <w:sz w:val="20"/>
                <w:szCs w:val="20"/>
              </w:rPr>
              <w:t>Educabilidad</w:t>
            </w:r>
          </w:p>
        </w:tc>
      </w:tr>
      <w:tr w:rsidR="00475419" w:rsidRPr="00535E30" w:rsidTr="005678E7">
        <w:trPr>
          <w:jc w:val="center"/>
        </w:trPr>
        <w:tc>
          <w:tcPr>
            <w:tcW w:w="2597" w:type="dxa"/>
            <w:vMerge/>
            <w:vAlign w:val="center"/>
          </w:tcPr>
          <w:p w:rsidR="00475419" w:rsidRPr="00535E30" w:rsidRDefault="00475419" w:rsidP="005678E7">
            <w:pPr>
              <w:pStyle w:val="NormalWeb"/>
              <w:spacing w:after="0" w:afterAutospacing="0" w:line="276" w:lineRule="auto"/>
              <w:jc w:val="center"/>
              <w:rPr>
                <w:rFonts w:asciiTheme="minorHAnsi" w:hAnsiTheme="minorHAnsi" w:cs="Arial"/>
                <w:color w:val="000000"/>
                <w:sz w:val="20"/>
                <w:szCs w:val="20"/>
                <w:lang w:val="es-CO"/>
              </w:rPr>
            </w:pPr>
          </w:p>
        </w:tc>
        <w:tc>
          <w:tcPr>
            <w:tcW w:w="6618" w:type="dxa"/>
          </w:tcPr>
          <w:p w:rsidR="00475419" w:rsidRPr="00535E30" w:rsidRDefault="00475419" w:rsidP="005678E7">
            <w:pPr>
              <w:pStyle w:val="NormalWeb"/>
              <w:spacing w:after="0" w:afterAutospacing="0" w:line="276" w:lineRule="auto"/>
              <w:jc w:val="both"/>
              <w:rPr>
                <w:rFonts w:asciiTheme="minorHAnsi" w:hAnsiTheme="minorHAnsi" w:cs="Arial"/>
                <w:color w:val="000000"/>
                <w:sz w:val="20"/>
                <w:szCs w:val="20"/>
              </w:rPr>
            </w:pPr>
            <w:r w:rsidRPr="00535E30">
              <w:rPr>
                <w:rFonts w:asciiTheme="minorHAnsi" w:hAnsiTheme="minorHAnsi" w:cs="Arial"/>
                <w:color w:val="000000"/>
                <w:sz w:val="20"/>
                <w:szCs w:val="20"/>
              </w:rPr>
              <w:t>Aprendibilidad</w:t>
            </w:r>
          </w:p>
        </w:tc>
      </w:tr>
      <w:tr w:rsidR="00475419" w:rsidRPr="00535E30" w:rsidTr="005678E7">
        <w:trPr>
          <w:jc w:val="center"/>
        </w:trPr>
        <w:tc>
          <w:tcPr>
            <w:tcW w:w="2597" w:type="dxa"/>
            <w:vMerge/>
            <w:vAlign w:val="center"/>
          </w:tcPr>
          <w:p w:rsidR="00475419" w:rsidRPr="00535E30" w:rsidRDefault="00475419" w:rsidP="005678E7">
            <w:pPr>
              <w:pStyle w:val="NormalWeb"/>
              <w:spacing w:after="0" w:afterAutospacing="0" w:line="276" w:lineRule="auto"/>
              <w:jc w:val="center"/>
              <w:rPr>
                <w:rFonts w:asciiTheme="minorHAnsi" w:hAnsiTheme="minorHAnsi" w:cs="Arial"/>
                <w:color w:val="000000"/>
                <w:sz w:val="20"/>
                <w:szCs w:val="20"/>
                <w:lang w:val="es-CO"/>
              </w:rPr>
            </w:pPr>
          </w:p>
        </w:tc>
        <w:tc>
          <w:tcPr>
            <w:tcW w:w="6618" w:type="dxa"/>
          </w:tcPr>
          <w:p w:rsidR="00475419" w:rsidRPr="00535E30" w:rsidRDefault="00475419" w:rsidP="005678E7">
            <w:pPr>
              <w:pStyle w:val="NormalWeb"/>
              <w:spacing w:after="0" w:afterAutospacing="0" w:line="276" w:lineRule="auto"/>
              <w:jc w:val="both"/>
              <w:rPr>
                <w:rFonts w:asciiTheme="minorHAnsi" w:hAnsiTheme="minorHAnsi" w:cs="Arial"/>
                <w:color w:val="000000"/>
                <w:sz w:val="20"/>
                <w:szCs w:val="20"/>
              </w:rPr>
            </w:pPr>
            <w:r w:rsidRPr="00535E30">
              <w:rPr>
                <w:rFonts w:asciiTheme="minorHAnsi" w:hAnsiTheme="minorHAnsi" w:cs="Arial"/>
                <w:color w:val="000000"/>
                <w:sz w:val="20"/>
                <w:szCs w:val="20"/>
              </w:rPr>
              <w:t>Educatividad</w:t>
            </w:r>
          </w:p>
        </w:tc>
      </w:tr>
      <w:tr w:rsidR="00475419" w:rsidRPr="00535E30" w:rsidTr="005678E7">
        <w:trPr>
          <w:jc w:val="center"/>
        </w:trPr>
        <w:tc>
          <w:tcPr>
            <w:tcW w:w="2597" w:type="dxa"/>
            <w:vMerge/>
            <w:vAlign w:val="center"/>
          </w:tcPr>
          <w:p w:rsidR="00475419" w:rsidRPr="00535E30" w:rsidRDefault="00475419" w:rsidP="005678E7">
            <w:pPr>
              <w:pStyle w:val="NormalWeb"/>
              <w:spacing w:after="0" w:afterAutospacing="0" w:line="276" w:lineRule="auto"/>
              <w:jc w:val="center"/>
              <w:rPr>
                <w:rFonts w:asciiTheme="minorHAnsi" w:hAnsiTheme="minorHAnsi" w:cs="Arial"/>
                <w:color w:val="000000"/>
                <w:sz w:val="20"/>
                <w:szCs w:val="20"/>
                <w:lang w:val="es-CO"/>
              </w:rPr>
            </w:pPr>
          </w:p>
        </w:tc>
        <w:tc>
          <w:tcPr>
            <w:tcW w:w="6618" w:type="dxa"/>
          </w:tcPr>
          <w:p w:rsidR="00475419" w:rsidRPr="00535E30" w:rsidRDefault="00475419" w:rsidP="005678E7">
            <w:pPr>
              <w:pStyle w:val="NormalWeb"/>
              <w:spacing w:after="0" w:afterAutospacing="0" w:line="276" w:lineRule="auto"/>
              <w:jc w:val="both"/>
              <w:rPr>
                <w:rFonts w:asciiTheme="minorHAnsi" w:hAnsiTheme="minorHAnsi" w:cs="Arial"/>
                <w:color w:val="000000"/>
                <w:sz w:val="20"/>
                <w:szCs w:val="20"/>
              </w:rPr>
            </w:pPr>
            <w:r w:rsidRPr="00535E30">
              <w:rPr>
                <w:rFonts w:asciiTheme="minorHAnsi" w:hAnsiTheme="minorHAnsi" w:cs="Arial"/>
                <w:color w:val="000000"/>
                <w:sz w:val="20"/>
                <w:szCs w:val="20"/>
              </w:rPr>
              <w:t>Enseñabilidad</w:t>
            </w:r>
          </w:p>
        </w:tc>
      </w:tr>
      <w:tr w:rsidR="00475419" w:rsidRPr="00535E30" w:rsidTr="005678E7">
        <w:trPr>
          <w:jc w:val="center"/>
        </w:trPr>
        <w:tc>
          <w:tcPr>
            <w:tcW w:w="2597" w:type="dxa"/>
            <w:vMerge/>
            <w:vAlign w:val="center"/>
          </w:tcPr>
          <w:p w:rsidR="00475419" w:rsidRPr="00535E30" w:rsidRDefault="00475419" w:rsidP="005678E7">
            <w:pPr>
              <w:pStyle w:val="NormalWeb"/>
              <w:spacing w:after="0" w:afterAutospacing="0" w:line="276" w:lineRule="auto"/>
              <w:jc w:val="center"/>
              <w:rPr>
                <w:rFonts w:asciiTheme="minorHAnsi" w:hAnsiTheme="minorHAnsi" w:cs="Arial"/>
                <w:color w:val="000000"/>
                <w:sz w:val="20"/>
                <w:szCs w:val="20"/>
                <w:lang w:val="es-CO"/>
              </w:rPr>
            </w:pPr>
          </w:p>
        </w:tc>
        <w:tc>
          <w:tcPr>
            <w:tcW w:w="6618" w:type="dxa"/>
          </w:tcPr>
          <w:p w:rsidR="00475419" w:rsidRPr="00535E30" w:rsidRDefault="00475419" w:rsidP="005678E7">
            <w:pPr>
              <w:pStyle w:val="NormalWeb"/>
              <w:spacing w:after="0" w:afterAutospacing="0" w:line="276" w:lineRule="auto"/>
              <w:jc w:val="both"/>
              <w:rPr>
                <w:rFonts w:asciiTheme="minorHAnsi" w:hAnsiTheme="minorHAnsi" w:cs="Arial"/>
                <w:color w:val="000000"/>
                <w:sz w:val="20"/>
                <w:szCs w:val="20"/>
              </w:rPr>
            </w:pPr>
            <w:r w:rsidRPr="00535E30">
              <w:rPr>
                <w:rFonts w:asciiTheme="minorHAnsi" w:hAnsiTheme="minorHAnsi" w:cs="Arial"/>
                <w:color w:val="000000"/>
                <w:sz w:val="20"/>
                <w:szCs w:val="20"/>
              </w:rPr>
              <w:t>Cobertura</w:t>
            </w:r>
          </w:p>
        </w:tc>
      </w:tr>
      <w:tr w:rsidR="00475419" w:rsidRPr="00535E30" w:rsidTr="005678E7">
        <w:trPr>
          <w:jc w:val="center"/>
        </w:trPr>
        <w:tc>
          <w:tcPr>
            <w:tcW w:w="2597" w:type="dxa"/>
            <w:vMerge w:val="restart"/>
            <w:shd w:val="clear" w:color="auto" w:fill="EAF1DD"/>
            <w:vAlign w:val="center"/>
          </w:tcPr>
          <w:p w:rsidR="00475419" w:rsidRPr="00535E30" w:rsidRDefault="00475419" w:rsidP="005678E7">
            <w:pPr>
              <w:spacing w:after="0" w:line="276" w:lineRule="auto"/>
              <w:jc w:val="center"/>
              <w:rPr>
                <w:rFonts w:asciiTheme="minorHAnsi" w:hAnsiTheme="minorHAnsi" w:cs="Arial"/>
                <w:color w:val="000000"/>
                <w:sz w:val="20"/>
                <w:szCs w:val="20"/>
              </w:rPr>
            </w:pPr>
            <w:r w:rsidRPr="00535E30">
              <w:rPr>
                <w:rFonts w:asciiTheme="minorHAnsi" w:hAnsiTheme="minorHAnsi" w:cs="Arial"/>
                <w:b/>
                <w:color w:val="000000"/>
                <w:sz w:val="20"/>
                <w:szCs w:val="20"/>
              </w:rPr>
              <w:t>3.</w:t>
            </w:r>
            <w:r w:rsidRPr="00535E30">
              <w:rPr>
                <w:rFonts w:asciiTheme="minorHAnsi" w:hAnsiTheme="minorHAnsi" w:cs="Arial"/>
                <w:color w:val="000000"/>
                <w:sz w:val="20"/>
                <w:szCs w:val="20"/>
              </w:rPr>
              <w:t xml:space="preserve"> </w:t>
            </w:r>
            <w:r w:rsidRPr="00535E30">
              <w:rPr>
                <w:rFonts w:asciiTheme="minorHAnsi" w:eastAsia="Times New Roman" w:hAnsiTheme="minorHAnsi" w:cs="Arial"/>
                <w:color w:val="000000"/>
                <w:sz w:val="20"/>
                <w:szCs w:val="20"/>
                <w:lang w:eastAsia="es-ES"/>
              </w:rPr>
              <w:t>Bienestar Institucional</w:t>
            </w:r>
          </w:p>
        </w:tc>
        <w:tc>
          <w:tcPr>
            <w:tcW w:w="6618" w:type="dxa"/>
            <w:shd w:val="clear" w:color="auto" w:fill="EAF1DD"/>
          </w:tcPr>
          <w:p w:rsidR="00475419" w:rsidRPr="00535E30" w:rsidRDefault="00475419" w:rsidP="005678E7">
            <w:pPr>
              <w:pStyle w:val="NormalWeb"/>
              <w:spacing w:after="0" w:afterAutospacing="0" w:line="276" w:lineRule="auto"/>
              <w:jc w:val="both"/>
              <w:rPr>
                <w:rFonts w:asciiTheme="minorHAnsi" w:hAnsiTheme="minorHAnsi" w:cs="Arial"/>
                <w:color w:val="000000"/>
                <w:sz w:val="20"/>
                <w:szCs w:val="20"/>
              </w:rPr>
            </w:pPr>
            <w:r w:rsidRPr="00535E30">
              <w:rPr>
                <w:rFonts w:asciiTheme="minorHAnsi" w:hAnsiTheme="minorHAnsi" w:cs="Arial"/>
                <w:color w:val="000000"/>
                <w:sz w:val="20"/>
                <w:szCs w:val="20"/>
              </w:rPr>
              <w:t>Formación Integral</w:t>
            </w:r>
          </w:p>
        </w:tc>
      </w:tr>
      <w:tr w:rsidR="00475419" w:rsidRPr="00535E30" w:rsidTr="005678E7">
        <w:trPr>
          <w:jc w:val="center"/>
        </w:trPr>
        <w:tc>
          <w:tcPr>
            <w:tcW w:w="2597" w:type="dxa"/>
            <w:vMerge/>
            <w:shd w:val="clear" w:color="auto" w:fill="EAF1DD"/>
            <w:vAlign w:val="center"/>
          </w:tcPr>
          <w:p w:rsidR="00475419" w:rsidRPr="00535E30" w:rsidRDefault="00475419" w:rsidP="005678E7">
            <w:pPr>
              <w:pStyle w:val="NormalWeb"/>
              <w:spacing w:after="0" w:afterAutospacing="0" w:line="276" w:lineRule="auto"/>
              <w:jc w:val="center"/>
              <w:rPr>
                <w:rFonts w:asciiTheme="minorHAnsi" w:hAnsiTheme="minorHAnsi" w:cs="Arial"/>
                <w:color w:val="000000"/>
                <w:sz w:val="20"/>
                <w:szCs w:val="20"/>
                <w:lang w:val="es-CO"/>
              </w:rPr>
            </w:pPr>
          </w:p>
        </w:tc>
        <w:tc>
          <w:tcPr>
            <w:tcW w:w="6618" w:type="dxa"/>
            <w:shd w:val="clear" w:color="auto" w:fill="EAF1DD"/>
          </w:tcPr>
          <w:p w:rsidR="00475419" w:rsidRPr="00535E30" w:rsidRDefault="00475419" w:rsidP="005678E7">
            <w:pPr>
              <w:pStyle w:val="NormalWeb"/>
              <w:spacing w:after="0" w:afterAutospacing="0" w:line="276" w:lineRule="auto"/>
              <w:jc w:val="both"/>
              <w:rPr>
                <w:rFonts w:asciiTheme="minorHAnsi" w:hAnsiTheme="minorHAnsi" w:cs="Arial"/>
                <w:color w:val="000000"/>
                <w:sz w:val="20"/>
                <w:szCs w:val="20"/>
              </w:rPr>
            </w:pPr>
            <w:r w:rsidRPr="00535E30">
              <w:rPr>
                <w:rFonts w:asciiTheme="minorHAnsi" w:hAnsiTheme="minorHAnsi" w:cs="Arial"/>
                <w:color w:val="000000"/>
                <w:sz w:val="20"/>
                <w:szCs w:val="20"/>
              </w:rPr>
              <w:t>Atención integral y cultura democrática, participativa e incluyente</w:t>
            </w:r>
          </w:p>
        </w:tc>
      </w:tr>
      <w:tr w:rsidR="00475419" w:rsidRPr="00535E30" w:rsidTr="005678E7">
        <w:trPr>
          <w:jc w:val="center"/>
        </w:trPr>
        <w:tc>
          <w:tcPr>
            <w:tcW w:w="2597" w:type="dxa"/>
            <w:vMerge/>
            <w:shd w:val="clear" w:color="auto" w:fill="EAF1DD"/>
            <w:vAlign w:val="center"/>
          </w:tcPr>
          <w:p w:rsidR="00475419" w:rsidRPr="00535E30" w:rsidRDefault="00475419" w:rsidP="005678E7">
            <w:pPr>
              <w:pStyle w:val="NormalWeb"/>
              <w:spacing w:after="0" w:afterAutospacing="0" w:line="276" w:lineRule="auto"/>
              <w:jc w:val="center"/>
              <w:rPr>
                <w:rFonts w:asciiTheme="minorHAnsi" w:hAnsiTheme="minorHAnsi" w:cs="Arial"/>
                <w:color w:val="000000"/>
                <w:sz w:val="20"/>
                <w:szCs w:val="20"/>
                <w:lang w:val="es-CO"/>
              </w:rPr>
            </w:pPr>
          </w:p>
        </w:tc>
        <w:tc>
          <w:tcPr>
            <w:tcW w:w="6618" w:type="dxa"/>
            <w:shd w:val="clear" w:color="auto" w:fill="EAF1DD"/>
          </w:tcPr>
          <w:p w:rsidR="00475419" w:rsidRPr="00535E30" w:rsidRDefault="00475419" w:rsidP="005678E7">
            <w:pPr>
              <w:pStyle w:val="NormalWeb"/>
              <w:spacing w:after="0" w:afterAutospacing="0" w:line="276" w:lineRule="auto"/>
              <w:jc w:val="both"/>
              <w:rPr>
                <w:rFonts w:asciiTheme="minorHAnsi" w:hAnsiTheme="minorHAnsi" w:cs="Arial"/>
                <w:color w:val="000000"/>
                <w:sz w:val="20"/>
                <w:szCs w:val="20"/>
              </w:rPr>
            </w:pPr>
            <w:r w:rsidRPr="00535E30">
              <w:rPr>
                <w:rFonts w:asciiTheme="minorHAnsi" w:hAnsiTheme="minorHAnsi" w:cs="Arial"/>
                <w:color w:val="000000"/>
                <w:sz w:val="20"/>
                <w:szCs w:val="20"/>
              </w:rPr>
              <w:t>Salud Integral</w:t>
            </w:r>
          </w:p>
        </w:tc>
      </w:tr>
      <w:tr w:rsidR="00475419" w:rsidRPr="00535E30" w:rsidTr="005678E7">
        <w:trPr>
          <w:jc w:val="center"/>
        </w:trPr>
        <w:tc>
          <w:tcPr>
            <w:tcW w:w="2597" w:type="dxa"/>
            <w:vMerge/>
            <w:shd w:val="clear" w:color="auto" w:fill="EAF1DD"/>
            <w:vAlign w:val="center"/>
          </w:tcPr>
          <w:p w:rsidR="00475419" w:rsidRPr="00535E30" w:rsidRDefault="00475419" w:rsidP="005678E7">
            <w:pPr>
              <w:pStyle w:val="NormalWeb"/>
              <w:spacing w:after="0" w:afterAutospacing="0" w:line="276" w:lineRule="auto"/>
              <w:jc w:val="center"/>
              <w:rPr>
                <w:rFonts w:asciiTheme="minorHAnsi" w:hAnsiTheme="minorHAnsi" w:cs="Arial"/>
                <w:color w:val="000000"/>
                <w:sz w:val="20"/>
                <w:szCs w:val="20"/>
                <w:lang w:val="es-CO"/>
              </w:rPr>
            </w:pPr>
          </w:p>
        </w:tc>
        <w:tc>
          <w:tcPr>
            <w:tcW w:w="6618" w:type="dxa"/>
            <w:shd w:val="clear" w:color="auto" w:fill="EAF1DD"/>
          </w:tcPr>
          <w:p w:rsidR="00475419" w:rsidRPr="00535E30" w:rsidRDefault="00475419" w:rsidP="005678E7">
            <w:pPr>
              <w:pStyle w:val="NormalWeb"/>
              <w:spacing w:after="0" w:afterAutospacing="0" w:line="276" w:lineRule="auto"/>
              <w:jc w:val="both"/>
              <w:rPr>
                <w:rFonts w:asciiTheme="minorHAnsi" w:hAnsiTheme="minorHAnsi" w:cs="Arial"/>
                <w:color w:val="000000"/>
                <w:sz w:val="20"/>
                <w:szCs w:val="20"/>
              </w:rPr>
            </w:pPr>
            <w:r w:rsidRPr="00535E30">
              <w:rPr>
                <w:rFonts w:asciiTheme="minorHAnsi" w:hAnsiTheme="minorHAnsi" w:cs="Arial"/>
                <w:color w:val="000000"/>
                <w:sz w:val="20"/>
                <w:szCs w:val="20"/>
              </w:rPr>
              <w:t>Observatorio Social</w:t>
            </w:r>
          </w:p>
        </w:tc>
      </w:tr>
      <w:tr w:rsidR="00475419" w:rsidRPr="00535E30" w:rsidTr="005678E7">
        <w:trPr>
          <w:jc w:val="center"/>
        </w:trPr>
        <w:tc>
          <w:tcPr>
            <w:tcW w:w="2597" w:type="dxa"/>
            <w:vMerge/>
            <w:shd w:val="clear" w:color="auto" w:fill="EAF1DD"/>
            <w:vAlign w:val="center"/>
          </w:tcPr>
          <w:p w:rsidR="00475419" w:rsidRPr="00535E30" w:rsidRDefault="00475419" w:rsidP="005678E7">
            <w:pPr>
              <w:pStyle w:val="NormalWeb"/>
              <w:spacing w:after="0" w:afterAutospacing="0" w:line="276" w:lineRule="auto"/>
              <w:jc w:val="center"/>
              <w:rPr>
                <w:rFonts w:asciiTheme="minorHAnsi" w:hAnsiTheme="minorHAnsi" w:cs="Arial"/>
                <w:color w:val="000000"/>
                <w:sz w:val="20"/>
                <w:szCs w:val="20"/>
                <w:lang w:val="es-CO"/>
              </w:rPr>
            </w:pPr>
          </w:p>
        </w:tc>
        <w:tc>
          <w:tcPr>
            <w:tcW w:w="6618" w:type="dxa"/>
            <w:shd w:val="clear" w:color="auto" w:fill="EAF1DD"/>
          </w:tcPr>
          <w:p w:rsidR="00475419" w:rsidRPr="00535E30" w:rsidRDefault="00475419" w:rsidP="005678E7">
            <w:pPr>
              <w:pStyle w:val="NormalWeb"/>
              <w:spacing w:after="0" w:afterAutospacing="0" w:line="276" w:lineRule="auto"/>
              <w:jc w:val="both"/>
              <w:rPr>
                <w:rFonts w:asciiTheme="minorHAnsi" w:hAnsiTheme="minorHAnsi" w:cs="Arial"/>
                <w:color w:val="000000"/>
                <w:sz w:val="20"/>
                <w:szCs w:val="20"/>
              </w:rPr>
            </w:pPr>
            <w:r w:rsidRPr="00535E30">
              <w:rPr>
                <w:rFonts w:asciiTheme="minorHAnsi" w:hAnsiTheme="minorHAnsi" w:cs="Arial"/>
                <w:color w:val="000000"/>
                <w:sz w:val="20"/>
                <w:szCs w:val="20"/>
              </w:rPr>
              <w:t>Gestión estratégica</w:t>
            </w:r>
          </w:p>
        </w:tc>
      </w:tr>
      <w:tr w:rsidR="00475419" w:rsidRPr="00535E30" w:rsidTr="005678E7">
        <w:trPr>
          <w:jc w:val="center"/>
        </w:trPr>
        <w:tc>
          <w:tcPr>
            <w:tcW w:w="2597" w:type="dxa"/>
            <w:vMerge w:val="restart"/>
            <w:vAlign w:val="center"/>
          </w:tcPr>
          <w:p w:rsidR="00475419" w:rsidRPr="00535E30" w:rsidRDefault="00475419" w:rsidP="005678E7">
            <w:pPr>
              <w:spacing w:after="0" w:line="276" w:lineRule="auto"/>
              <w:jc w:val="center"/>
              <w:rPr>
                <w:rFonts w:asciiTheme="minorHAnsi" w:hAnsiTheme="minorHAnsi" w:cs="Arial"/>
                <w:sz w:val="20"/>
                <w:szCs w:val="20"/>
              </w:rPr>
            </w:pPr>
            <w:r w:rsidRPr="00535E30">
              <w:rPr>
                <w:rFonts w:asciiTheme="minorHAnsi" w:hAnsiTheme="minorHAnsi" w:cs="Arial"/>
                <w:b/>
                <w:sz w:val="20"/>
                <w:szCs w:val="20"/>
              </w:rPr>
              <w:t>4.</w:t>
            </w:r>
            <w:r w:rsidRPr="00535E30">
              <w:rPr>
                <w:rFonts w:asciiTheme="minorHAnsi" w:hAnsiTheme="minorHAnsi" w:cs="Arial"/>
                <w:sz w:val="20"/>
                <w:szCs w:val="20"/>
              </w:rPr>
              <w:t xml:space="preserve"> </w:t>
            </w:r>
            <w:r w:rsidRPr="00535E30">
              <w:rPr>
                <w:rFonts w:asciiTheme="minorHAnsi" w:eastAsia="Times New Roman" w:hAnsiTheme="minorHAnsi" w:cs="Arial"/>
                <w:color w:val="000000"/>
                <w:sz w:val="20"/>
                <w:szCs w:val="20"/>
                <w:lang w:eastAsia="es-ES"/>
              </w:rPr>
              <w:t>Investigaciones, innovación y extensión</w:t>
            </w:r>
          </w:p>
        </w:tc>
        <w:tc>
          <w:tcPr>
            <w:tcW w:w="6618" w:type="dxa"/>
          </w:tcPr>
          <w:p w:rsidR="00475419" w:rsidRPr="00535E30" w:rsidRDefault="00475419" w:rsidP="005678E7">
            <w:pPr>
              <w:pStyle w:val="NormalWeb"/>
              <w:spacing w:after="0" w:afterAutospacing="0" w:line="276" w:lineRule="auto"/>
              <w:jc w:val="both"/>
              <w:rPr>
                <w:rFonts w:asciiTheme="minorHAnsi" w:hAnsiTheme="minorHAnsi" w:cs="Arial"/>
                <w:color w:val="000000"/>
                <w:sz w:val="20"/>
                <w:szCs w:val="20"/>
              </w:rPr>
            </w:pPr>
            <w:r w:rsidRPr="00535E30">
              <w:rPr>
                <w:rFonts w:asciiTheme="minorHAnsi" w:hAnsiTheme="minorHAnsi" w:cs="Arial"/>
                <w:color w:val="000000"/>
                <w:sz w:val="20"/>
                <w:szCs w:val="20"/>
              </w:rPr>
              <w:t>Convocatorias internas y externas para financiación de proyectos</w:t>
            </w:r>
          </w:p>
        </w:tc>
      </w:tr>
      <w:tr w:rsidR="00475419" w:rsidRPr="00535E30" w:rsidTr="005678E7">
        <w:trPr>
          <w:jc w:val="center"/>
        </w:trPr>
        <w:tc>
          <w:tcPr>
            <w:tcW w:w="2597" w:type="dxa"/>
            <w:vMerge/>
            <w:vAlign w:val="center"/>
          </w:tcPr>
          <w:p w:rsidR="00475419" w:rsidRPr="00535E30" w:rsidRDefault="00475419" w:rsidP="005678E7">
            <w:pPr>
              <w:pStyle w:val="NormalWeb"/>
              <w:spacing w:after="0" w:afterAutospacing="0" w:line="276" w:lineRule="auto"/>
              <w:jc w:val="center"/>
              <w:rPr>
                <w:rFonts w:asciiTheme="minorHAnsi" w:hAnsiTheme="minorHAnsi" w:cs="Arial"/>
                <w:color w:val="000000"/>
                <w:sz w:val="20"/>
                <w:szCs w:val="20"/>
                <w:lang w:val="es-CO"/>
              </w:rPr>
            </w:pPr>
          </w:p>
        </w:tc>
        <w:tc>
          <w:tcPr>
            <w:tcW w:w="6618" w:type="dxa"/>
          </w:tcPr>
          <w:p w:rsidR="00475419" w:rsidRPr="00535E30" w:rsidRDefault="00475419" w:rsidP="005678E7">
            <w:pPr>
              <w:pStyle w:val="NormalWeb"/>
              <w:spacing w:after="0" w:afterAutospacing="0" w:line="276" w:lineRule="auto"/>
              <w:jc w:val="both"/>
              <w:rPr>
                <w:rFonts w:asciiTheme="minorHAnsi" w:hAnsiTheme="minorHAnsi" w:cs="Arial"/>
                <w:color w:val="000000"/>
                <w:sz w:val="20"/>
                <w:szCs w:val="20"/>
              </w:rPr>
            </w:pPr>
            <w:r w:rsidRPr="00535E30">
              <w:rPr>
                <w:rFonts w:asciiTheme="minorHAnsi" w:hAnsiTheme="minorHAnsi" w:cs="Arial"/>
                <w:color w:val="000000"/>
                <w:sz w:val="20"/>
                <w:szCs w:val="20"/>
              </w:rPr>
              <w:t>Relación Universidad - Empresa - Estado</w:t>
            </w:r>
          </w:p>
        </w:tc>
      </w:tr>
      <w:tr w:rsidR="00475419" w:rsidRPr="00535E30" w:rsidTr="005678E7">
        <w:trPr>
          <w:jc w:val="center"/>
        </w:trPr>
        <w:tc>
          <w:tcPr>
            <w:tcW w:w="2597" w:type="dxa"/>
            <w:vMerge/>
            <w:vAlign w:val="center"/>
          </w:tcPr>
          <w:p w:rsidR="00475419" w:rsidRPr="00535E30" w:rsidRDefault="00475419" w:rsidP="005678E7">
            <w:pPr>
              <w:pStyle w:val="NormalWeb"/>
              <w:spacing w:after="0" w:afterAutospacing="0" w:line="276" w:lineRule="auto"/>
              <w:jc w:val="center"/>
              <w:rPr>
                <w:rFonts w:asciiTheme="minorHAnsi" w:hAnsiTheme="minorHAnsi" w:cs="Arial"/>
                <w:color w:val="000000"/>
                <w:sz w:val="20"/>
                <w:szCs w:val="20"/>
                <w:lang w:val="es-CO"/>
              </w:rPr>
            </w:pPr>
          </w:p>
        </w:tc>
        <w:tc>
          <w:tcPr>
            <w:tcW w:w="6618" w:type="dxa"/>
          </w:tcPr>
          <w:p w:rsidR="00475419" w:rsidRPr="00535E30" w:rsidRDefault="00475419" w:rsidP="005678E7">
            <w:pPr>
              <w:pStyle w:val="NormalWeb"/>
              <w:spacing w:after="0" w:afterAutospacing="0" w:line="276" w:lineRule="auto"/>
              <w:jc w:val="both"/>
              <w:rPr>
                <w:rFonts w:asciiTheme="minorHAnsi" w:hAnsiTheme="minorHAnsi" w:cs="Arial"/>
                <w:color w:val="000000"/>
                <w:sz w:val="20"/>
                <w:szCs w:val="20"/>
              </w:rPr>
            </w:pPr>
            <w:r w:rsidRPr="00535E30">
              <w:rPr>
                <w:rFonts w:asciiTheme="minorHAnsi" w:hAnsiTheme="minorHAnsi" w:cs="Arial"/>
                <w:color w:val="000000"/>
                <w:sz w:val="20"/>
                <w:szCs w:val="20"/>
              </w:rPr>
              <w:t>Políticas de fomento a la investigación</w:t>
            </w:r>
          </w:p>
        </w:tc>
      </w:tr>
      <w:tr w:rsidR="00475419" w:rsidRPr="00535E30" w:rsidTr="005678E7">
        <w:trPr>
          <w:jc w:val="center"/>
        </w:trPr>
        <w:tc>
          <w:tcPr>
            <w:tcW w:w="2597" w:type="dxa"/>
            <w:vMerge w:val="restart"/>
            <w:shd w:val="clear" w:color="auto" w:fill="EAF1DD"/>
            <w:vAlign w:val="center"/>
          </w:tcPr>
          <w:p w:rsidR="00475419" w:rsidRPr="00535E30" w:rsidRDefault="00475419" w:rsidP="005678E7">
            <w:pPr>
              <w:spacing w:after="0" w:line="276" w:lineRule="auto"/>
              <w:jc w:val="center"/>
              <w:rPr>
                <w:rFonts w:asciiTheme="minorHAnsi" w:hAnsiTheme="minorHAnsi" w:cs="Arial"/>
                <w:color w:val="000000"/>
                <w:sz w:val="20"/>
                <w:szCs w:val="20"/>
                <w:lang w:val="es-CO"/>
              </w:rPr>
            </w:pPr>
            <w:r w:rsidRPr="00535E30">
              <w:rPr>
                <w:rFonts w:asciiTheme="minorHAnsi" w:hAnsiTheme="minorHAnsi" w:cs="Arial"/>
                <w:b/>
                <w:sz w:val="20"/>
                <w:szCs w:val="20"/>
              </w:rPr>
              <w:t>5.</w:t>
            </w:r>
            <w:r w:rsidRPr="00535E30">
              <w:rPr>
                <w:rFonts w:asciiTheme="minorHAnsi" w:hAnsiTheme="minorHAnsi" w:cs="Arial"/>
                <w:sz w:val="20"/>
                <w:szCs w:val="20"/>
              </w:rPr>
              <w:t xml:space="preserve"> </w:t>
            </w:r>
            <w:r w:rsidRPr="00535E30">
              <w:rPr>
                <w:rFonts w:asciiTheme="minorHAnsi" w:eastAsia="Times New Roman" w:hAnsiTheme="minorHAnsi" w:cs="Arial"/>
                <w:color w:val="000000"/>
                <w:sz w:val="20"/>
                <w:szCs w:val="20"/>
                <w:lang w:eastAsia="es-ES"/>
              </w:rPr>
              <w:t>Internacionalización</w:t>
            </w:r>
          </w:p>
        </w:tc>
        <w:tc>
          <w:tcPr>
            <w:tcW w:w="6618" w:type="dxa"/>
            <w:shd w:val="clear" w:color="auto" w:fill="EAF1DD"/>
          </w:tcPr>
          <w:p w:rsidR="00475419" w:rsidRPr="00535E30" w:rsidRDefault="00475419" w:rsidP="005678E7">
            <w:pPr>
              <w:pStyle w:val="NormalWeb"/>
              <w:spacing w:after="0" w:afterAutospacing="0" w:line="276" w:lineRule="auto"/>
              <w:jc w:val="both"/>
              <w:rPr>
                <w:rFonts w:asciiTheme="minorHAnsi" w:hAnsiTheme="minorHAnsi" w:cs="Arial"/>
                <w:color w:val="000000"/>
                <w:sz w:val="20"/>
                <w:szCs w:val="20"/>
              </w:rPr>
            </w:pPr>
            <w:r w:rsidRPr="00535E30">
              <w:rPr>
                <w:rFonts w:asciiTheme="minorHAnsi" w:hAnsiTheme="minorHAnsi" w:cs="Arial"/>
                <w:color w:val="000000"/>
                <w:sz w:val="20"/>
                <w:szCs w:val="20"/>
              </w:rPr>
              <w:t>Bilingüismo</w:t>
            </w:r>
          </w:p>
        </w:tc>
      </w:tr>
      <w:tr w:rsidR="00475419" w:rsidRPr="00535E30" w:rsidTr="005678E7">
        <w:trPr>
          <w:jc w:val="center"/>
        </w:trPr>
        <w:tc>
          <w:tcPr>
            <w:tcW w:w="2597" w:type="dxa"/>
            <w:vMerge/>
            <w:shd w:val="clear" w:color="auto" w:fill="EAF1DD"/>
            <w:vAlign w:val="center"/>
          </w:tcPr>
          <w:p w:rsidR="00475419" w:rsidRPr="00535E30" w:rsidRDefault="00475419" w:rsidP="005678E7">
            <w:pPr>
              <w:pStyle w:val="NormalWeb"/>
              <w:spacing w:after="0" w:afterAutospacing="0" w:line="276" w:lineRule="auto"/>
              <w:jc w:val="center"/>
              <w:rPr>
                <w:rFonts w:asciiTheme="minorHAnsi" w:hAnsiTheme="minorHAnsi" w:cs="Arial"/>
                <w:color w:val="000000"/>
                <w:sz w:val="20"/>
                <w:szCs w:val="20"/>
                <w:lang w:val="es-CO"/>
              </w:rPr>
            </w:pPr>
          </w:p>
        </w:tc>
        <w:tc>
          <w:tcPr>
            <w:tcW w:w="6618" w:type="dxa"/>
            <w:shd w:val="clear" w:color="auto" w:fill="EAF1DD"/>
          </w:tcPr>
          <w:p w:rsidR="00475419" w:rsidRPr="00535E30" w:rsidRDefault="00475419" w:rsidP="005678E7">
            <w:pPr>
              <w:pStyle w:val="NormalWeb"/>
              <w:spacing w:after="0" w:afterAutospacing="0" w:line="276" w:lineRule="auto"/>
              <w:jc w:val="both"/>
              <w:rPr>
                <w:rFonts w:asciiTheme="minorHAnsi" w:hAnsiTheme="minorHAnsi" w:cs="Arial"/>
                <w:color w:val="000000"/>
                <w:sz w:val="20"/>
                <w:szCs w:val="20"/>
              </w:rPr>
            </w:pPr>
            <w:r w:rsidRPr="00535E30">
              <w:rPr>
                <w:rFonts w:asciiTheme="minorHAnsi" w:hAnsiTheme="minorHAnsi" w:cs="Arial"/>
                <w:color w:val="000000"/>
                <w:sz w:val="20"/>
                <w:szCs w:val="20"/>
              </w:rPr>
              <w:t>Movilidad Estudiantil</w:t>
            </w:r>
          </w:p>
        </w:tc>
      </w:tr>
      <w:tr w:rsidR="00475419" w:rsidRPr="00535E30" w:rsidTr="005678E7">
        <w:trPr>
          <w:jc w:val="center"/>
        </w:trPr>
        <w:tc>
          <w:tcPr>
            <w:tcW w:w="2597" w:type="dxa"/>
            <w:vMerge/>
            <w:shd w:val="clear" w:color="auto" w:fill="EAF1DD"/>
            <w:vAlign w:val="center"/>
          </w:tcPr>
          <w:p w:rsidR="00475419" w:rsidRPr="00535E30" w:rsidRDefault="00475419" w:rsidP="005678E7">
            <w:pPr>
              <w:pStyle w:val="NormalWeb"/>
              <w:spacing w:after="0" w:afterAutospacing="0" w:line="276" w:lineRule="auto"/>
              <w:jc w:val="center"/>
              <w:rPr>
                <w:rFonts w:asciiTheme="minorHAnsi" w:hAnsiTheme="minorHAnsi" w:cs="Arial"/>
                <w:color w:val="000000"/>
                <w:sz w:val="20"/>
                <w:szCs w:val="20"/>
                <w:lang w:val="es-CO"/>
              </w:rPr>
            </w:pPr>
          </w:p>
        </w:tc>
        <w:tc>
          <w:tcPr>
            <w:tcW w:w="6618" w:type="dxa"/>
            <w:shd w:val="clear" w:color="auto" w:fill="EAF1DD"/>
          </w:tcPr>
          <w:p w:rsidR="00475419" w:rsidRPr="00535E30" w:rsidRDefault="00475419" w:rsidP="005678E7">
            <w:pPr>
              <w:pStyle w:val="NormalWeb"/>
              <w:spacing w:after="0" w:afterAutospacing="0" w:line="276" w:lineRule="auto"/>
              <w:jc w:val="both"/>
              <w:rPr>
                <w:rFonts w:asciiTheme="minorHAnsi" w:hAnsiTheme="minorHAnsi" w:cs="Arial"/>
                <w:color w:val="000000"/>
                <w:sz w:val="20"/>
                <w:szCs w:val="20"/>
              </w:rPr>
            </w:pPr>
            <w:r w:rsidRPr="00535E30">
              <w:rPr>
                <w:rFonts w:asciiTheme="minorHAnsi" w:hAnsiTheme="minorHAnsi" w:cs="Arial"/>
                <w:color w:val="000000"/>
                <w:sz w:val="20"/>
                <w:szCs w:val="20"/>
              </w:rPr>
              <w:t>Pares Académicos</w:t>
            </w:r>
          </w:p>
        </w:tc>
      </w:tr>
      <w:tr w:rsidR="00475419" w:rsidRPr="00535E30" w:rsidTr="005678E7">
        <w:trPr>
          <w:jc w:val="center"/>
        </w:trPr>
        <w:tc>
          <w:tcPr>
            <w:tcW w:w="2597" w:type="dxa"/>
            <w:vMerge w:val="restart"/>
            <w:vAlign w:val="center"/>
          </w:tcPr>
          <w:p w:rsidR="00475419" w:rsidRPr="00535E30" w:rsidRDefault="00475419" w:rsidP="005678E7">
            <w:pPr>
              <w:spacing w:after="0" w:line="276" w:lineRule="auto"/>
              <w:jc w:val="center"/>
              <w:rPr>
                <w:rFonts w:asciiTheme="minorHAnsi" w:hAnsiTheme="minorHAnsi" w:cs="Arial"/>
                <w:sz w:val="20"/>
                <w:szCs w:val="20"/>
              </w:rPr>
            </w:pPr>
            <w:r w:rsidRPr="00535E30">
              <w:rPr>
                <w:rFonts w:asciiTheme="minorHAnsi" w:hAnsiTheme="minorHAnsi" w:cs="Arial"/>
                <w:b/>
                <w:sz w:val="20"/>
                <w:szCs w:val="20"/>
              </w:rPr>
              <w:t>6.</w:t>
            </w:r>
            <w:r w:rsidRPr="00535E30">
              <w:rPr>
                <w:rFonts w:asciiTheme="minorHAnsi" w:hAnsiTheme="minorHAnsi" w:cs="Arial"/>
                <w:sz w:val="20"/>
                <w:szCs w:val="20"/>
              </w:rPr>
              <w:t xml:space="preserve"> </w:t>
            </w:r>
            <w:r w:rsidRPr="00535E30">
              <w:rPr>
                <w:rFonts w:asciiTheme="minorHAnsi" w:eastAsia="Times New Roman" w:hAnsiTheme="minorHAnsi" w:cs="Arial"/>
                <w:color w:val="000000"/>
                <w:sz w:val="20"/>
                <w:szCs w:val="20"/>
                <w:lang w:eastAsia="es-ES"/>
              </w:rPr>
              <w:t>Impacto Regional</w:t>
            </w:r>
          </w:p>
        </w:tc>
        <w:tc>
          <w:tcPr>
            <w:tcW w:w="6618" w:type="dxa"/>
          </w:tcPr>
          <w:p w:rsidR="00475419" w:rsidRPr="00535E30" w:rsidRDefault="00475419" w:rsidP="005678E7">
            <w:pPr>
              <w:pStyle w:val="NormalWeb"/>
              <w:spacing w:after="0" w:afterAutospacing="0" w:line="276" w:lineRule="auto"/>
              <w:jc w:val="both"/>
              <w:rPr>
                <w:rFonts w:asciiTheme="minorHAnsi" w:hAnsiTheme="minorHAnsi" w:cs="Arial"/>
                <w:color w:val="000000"/>
                <w:sz w:val="20"/>
                <w:szCs w:val="20"/>
              </w:rPr>
            </w:pPr>
            <w:r w:rsidRPr="00535E30">
              <w:rPr>
                <w:rFonts w:asciiTheme="minorHAnsi" w:hAnsiTheme="minorHAnsi" w:cs="Arial"/>
                <w:color w:val="000000"/>
                <w:sz w:val="20"/>
                <w:szCs w:val="20"/>
              </w:rPr>
              <w:t>Alianza Universidad – Empresa – Estado para la transferencia del conocimiento</w:t>
            </w:r>
          </w:p>
        </w:tc>
      </w:tr>
      <w:tr w:rsidR="00475419" w:rsidRPr="00535E30" w:rsidTr="005678E7">
        <w:trPr>
          <w:jc w:val="center"/>
        </w:trPr>
        <w:tc>
          <w:tcPr>
            <w:tcW w:w="2597" w:type="dxa"/>
            <w:vMerge/>
            <w:vAlign w:val="center"/>
          </w:tcPr>
          <w:p w:rsidR="00475419" w:rsidRPr="00535E30" w:rsidRDefault="00475419" w:rsidP="005678E7">
            <w:pPr>
              <w:pStyle w:val="NormalWeb"/>
              <w:spacing w:after="0" w:afterAutospacing="0" w:line="276" w:lineRule="auto"/>
              <w:jc w:val="center"/>
              <w:rPr>
                <w:rFonts w:asciiTheme="minorHAnsi" w:hAnsiTheme="minorHAnsi" w:cs="Arial"/>
                <w:color w:val="000000"/>
                <w:sz w:val="20"/>
                <w:szCs w:val="20"/>
                <w:lang w:val="es-CO"/>
              </w:rPr>
            </w:pPr>
          </w:p>
        </w:tc>
        <w:tc>
          <w:tcPr>
            <w:tcW w:w="6618" w:type="dxa"/>
          </w:tcPr>
          <w:p w:rsidR="00475419" w:rsidRPr="00535E30" w:rsidRDefault="00475419" w:rsidP="005678E7">
            <w:pPr>
              <w:pStyle w:val="NormalWeb"/>
              <w:spacing w:after="0" w:afterAutospacing="0" w:line="276" w:lineRule="auto"/>
              <w:jc w:val="both"/>
              <w:rPr>
                <w:rFonts w:asciiTheme="minorHAnsi" w:hAnsiTheme="minorHAnsi" w:cs="Arial"/>
                <w:color w:val="000000"/>
                <w:sz w:val="20"/>
                <w:szCs w:val="20"/>
              </w:rPr>
            </w:pPr>
            <w:r w:rsidRPr="00535E30">
              <w:rPr>
                <w:rFonts w:asciiTheme="minorHAnsi" w:hAnsiTheme="minorHAnsi" w:cs="Arial"/>
                <w:color w:val="000000"/>
                <w:sz w:val="20"/>
                <w:szCs w:val="20"/>
              </w:rPr>
              <w:t>Contribución a la consolidación de una red de observatorios para la Ecorregión</w:t>
            </w:r>
          </w:p>
        </w:tc>
      </w:tr>
      <w:tr w:rsidR="00475419" w:rsidRPr="00535E30" w:rsidTr="005678E7">
        <w:trPr>
          <w:jc w:val="center"/>
        </w:trPr>
        <w:tc>
          <w:tcPr>
            <w:tcW w:w="2597" w:type="dxa"/>
            <w:vMerge/>
            <w:vAlign w:val="center"/>
          </w:tcPr>
          <w:p w:rsidR="00475419" w:rsidRPr="00535E30" w:rsidRDefault="00475419" w:rsidP="005678E7">
            <w:pPr>
              <w:pStyle w:val="NormalWeb"/>
              <w:spacing w:after="0" w:afterAutospacing="0" w:line="276" w:lineRule="auto"/>
              <w:jc w:val="center"/>
              <w:rPr>
                <w:rFonts w:asciiTheme="minorHAnsi" w:hAnsiTheme="minorHAnsi" w:cs="Arial"/>
                <w:color w:val="000000"/>
                <w:sz w:val="20"/>
                <w:szCs w:val="20"/>
                <w:lang w:val="es-CO"/>
              </w:rPr>
            </w:pPr>
          </w:p>
        </w:tc>
        <w:tc>
          <w:tcPr>
            <w:tcW w:w="6618" w:type="dxa"/>
          </w:tcPr>
          <w:p w:rsidR="00475419" w:rsidRPr="00535E30" w:rsidRDefault="00475419" w:rsidP="005678E7">
            <w:pPr>
              <w:pStyle w:val="NormalWeb"/>
              <w:spacing w:after="0" w:afterAutospacing="0" w:line="276" w:lineRule="auto"/>
              <w:jc w:val="both"/>
              <w:rPr>
                <w:rFonts w:asciiTheme="minorHAnsi" w:hAnsiTheme="minorHAnsi" w:cs="Arial"/>
                <w:color w:val="000000"/>
                <w:sz w:val="20"/>
                <w:szCs w:val="20"/>
              </w:rPr>
            </w:pPr>
            <w:r w:rsidRPr="00535E30">
              <w:rPr>
                <w:rFonts w:asciiTheme="minorHAnsi" w:hAnsiTheme="minorHAnsi" w:cs="Arial"/>
                <w:color w:val="000000"/>
                <w:sz w:val="20"/>
                <w:szCs w:val="20"/>
              </w:rPr>
              <w:t>Integración académica</w:t>
            </w:r>
          </w:p>
        </w:tc>
      </w:tr>
      <w:tr w:rsidR="00475419" w:rsidRPr="00535E30" w:rsidTr="005678E7">
        <w:trPr>
          <w:jc w:val="center"/>
        </w:trPr>
        <w:tc>
          <w:tcPr>
            <w:tcW w:w="2597" w:type="dxa"/>
            <w:vMerge/>
            <w:vAlign w:val="center"/>
          </w:tcPr>
          <w:p w:rsidR="00475419" w:rsidRPr="00535E30" w:rsidRDefault="00475419" w:rsidP="005678E7">
            <w:pPr>
              <w:pStyle w:val="NormalWeb"/>
              <w:spacing w:after="0" w:afterAutospacing="0" w:line="276" w:lineRule="auto"/>
              <w:jc w:val="center"/>
              <w:rPr>
                <w:rFonts w:asciiTheme="minorHAnsi" w:hAnsiTheme="minorHAnsi" w:cs="Arial"/>
                <w:color w:val="000000"/>
                <w:sz w:val="20"/>
                <w:szCs w:val="20"/>
                <w:lang w:val="es-CO"/>
              </w:rPr>
            </w:pPr>
          </w:p>
        </w:tc>
        <w:tc>
          <w:tcPr>
            <w:tcW w:w="6618" w:type="dxa"/>
          </w:tcPr>
          <w:p w:rsidR="00475419" w:rsidRPr="00535E30" w:rsidRDefault="00475419" w:rsidP="005678E7">
            <w:pPr>
              <w:pStyle w:val="NormalWeb"/>
              <w:spacing w:after="0" w:afterAutospacing="0" w:line="276" w:lineRule="auto"/>
              <w:jc w:val="both"/>
              <w:rPr>
                <w:rFonts w:asciiTheme="minorHAnsi" w:hAnsiTheme="minorHAnsi" w:cs="Arial"/>
                <w:color w:val="000000"/>
                <w:sz w:val="20"/>
                <w:szCs w:val="20"/>
              </w:rPr>
            </w:pPr>
            <w:r w:rsidRPr="00535E30">
              <w:rPr>
                <w:rFonts w:asciiTheme="minorHAnsi" w:hAnsiTheme="minorHAnsi" w:cs="Arial"/>
                <w:color w:val="000000"/>
                <w:sz w:val="20"/>
                <w:szCs w:val="20"/>
              </w:rPr>
              <w:t>Sistema Universitario para la formulación y gestión de políticas públicas</w:t>
            </w:r>
          </w:p>
        </w:tc>
      </w:tr>
      <w:tr w:rsidR="00475419" w:rsidRPr="00535E30" w:rsidTr="005678E7">
        <w:trPr>
          <w:jc w:val="center"/>
        </w:trPr>
        <w:tc>
          <w:tcPr>
            <w:tcW w:w="2597" w:type="dxa"/>
            <w:vMerge/>
            <w:vAlign w:val="center"/>
          </w:tcPr>
          <w:p w:rsidR="00475419" w:rsidRPr="00535E30" w:rsidRDefault="00475419" w:rsidP="005678E7">
            <w:pPr>
              <w:pStyle w:val="NormalWeb"/>
              <w:spacing w:after="0" w:afterAutospacing="0" w:line="276" w:lineRule="auto"/>
              <w:jc w:val="center"/>
              <w:rPr>
                <w:rFonts w:asciiTheme="minorHAnsi" w:hAnsiTheme="minorHAnsi" w:cs="Arial"/>
                <w:color w:val="000000"/>
                <w:sz w:val="20"/>
                <w:szCs w:val="20"/>
                <w:lang w:val="es-CO"/>
              </w:rPr>
            </w:pPr>
          </w:p>
        </w:tc>
        <w:tc>
          <w:tcPr>
            <w:tcW w:w="6618" w:type="dxa"/>
          </w:tcPr>
          <w:p w:rsidR="00475419" w:rsidRPr="00535E30" w:rsidRDefault="00475419" w:rsidP="005678E7">
            <w:pPr>
              <w:pStyle w:val="NormalWeb"/>
              <w:spacing w:after="0" w:afterAutospacing="0" w:line="276" w:lineRule="auto"/>
              <w:jc w:val="both"/>
              <w:rPr>
                <w:rFonts w:asciiTheme="minorHAnsi" w:hAnsiTheme="minorHAnsi" w:cs="Arial"/>
                <w:color w:val="000000"/>
                <w:sz w:val="20"/>
                <w:szCs w:val="20"/>
              </w:rPr>
            </w:pPr>
            <w:r w:rsidRPr="00535E30">
              <w:rPr>
                <w:rFonts w:asciiTheme="minorHAnsi" w:hAnsiTheme="minorHAnsi" w:cs="Arial"/>
                <w:color w:val="000000"/>
                <w:sz w:val="20"/>
                <w:szCs w:val="20"/>
              </w:rPr>
              <w:t>Aporte de la UTP al proyecto Paisaje Cultural Cafetero</w:t>
            </w:r>
          </w:p>
        </w:tc>
      </w:tr>
      <w:tr w:rsidR="00475419" w:rsidRPr="00535E30" w:rsidTr="005678E7">
        <w:trPr>
          <w:jc w:val="center"/>
        </w:trPr>
        <w:tc>
          <w:tcPr>
            <w:tcW w:w="2597" w:type="dxa"/>
            <w:vMerge/>
            <w:vAlign w:val="center"/>
          </w:tcPr>
          <w:p w:rsidR="00475419" w:rsidRPr="00535E30" w:rsidRDefault="00475419" w:rsidP="005678E7">
            <w:pPr>
              <w:pStyle w:val="NormalWeb"/>
              <w:spacing w:after="0" w:afterAutospacing="0" w:line="276" w:lineRule="auto"/>
              <w:jc w:val="center"/>
              <w:rPr>
                <w:rFonts w:asciiTheme="minorHAnsi" w:hAnsiTheme="minorHAnsi" w:cs="Arial"/>
                <w:color w:val="000000"/>
                <w:sz w:val="20"/>
                <w:szCs w:val="20"/>
                <w:lang w:val="es-CO"/>
              </w:rPr>
            </w:pPr>
          </w:p>
        </w:tc>
        <w:tc>
          <w:tcPr>
            <w:tcW w:w="6618" w:type="dxa"/>
          </w:tcPr>
          <w:p w:rsidR="00475419" w:rsidRPr="00535E30" w:rsidRDefault="00475419" w:rsidP="005678E7">
            <w:pPr>
              <w:pStyle w:val="NormalWeb"/>
              <w:spacing w:after="0" w:afterAutospacing="0" w:line="276" w:lineRule="auto"/>
              <w:jc w:val="both"/>
              <w:rPr>
                <w:rFonts w:asciiTheme="minorHAnsi" w:hAnsiTheme="minorHAnsi" w:cs="Arial"/>
                <w:color w:val="000000"/>
                <w:sz w:val="20"/>
                <w:szCs w:val="20"/>
              </w:rPr>
            </w:pPr>
            <w:r w:rsidRPr="00535E30">
              <w:rPr>
                <w:rFonts w:asciiTheme="minorHAnsi" w:hAnsiTheme="minorHAnsi" w:cs="Arial"/>
                <w:color w:val="000000"/>
                <w:sz w:val="20"/>
                <w:szCs w:val="20"/>
              </w:rPr>
              <w:t>Plataforma Natural del Territorio como base para el desarrollo sostenible</w:t>
            </w:r>
          </w:p>
        </w:tc>
      </w:tr>
      <w:tr w:rsidR="00475419" w:rsidRPr="00535E30" w:rsidTr="005678E7">
        <w:trPr>
          <w:jc w:val="center"/>
        </w:trPr>
        <w:tc>
          <w:tcPr>
            <w:tcW w:w="2597" w:type="dxa"/>
            <w:vMerge w:val="restart"/>
            <w:shd w:val="clear" w:color="auto" w:fill="EAF1DD"/>
            <w:vAlign w:val="center"/>
          </w:tcPr>
          <w:p w:rsidR="00475419" w:rsidRPr="00535E30" w:rsidRDefault="00475419" w:rsidP="005678E7">
            <w:pPr>
              <w:pStyle w:val="NormalWeb"/>
              <w:spacing w:after="0" w:afterAutospacing="0" w:line="276" w:lineRule="auto"/>
              <w:jc w:val="center"/>
              <w:rPr>
                <w:rFonts w:asciiTheme="minorHAnsi" w:hAnsiTheme="minorHAnsi" w:cs="Arial"/>
                <w:color w:val="000000"/>
                <w:sz w:val="20"/>
                <w:szCs w:val="20"/>
                <w:lang w:val="es-CO"/>
              </w:rPr>
            </w:pPr>
            <w:r w:rsidRPr="00535E30">
              <w:rPr>
                <w:rFonts w:asciiTheme="minorHAnsi" w:hAnsiTheme="minorHAnsi" w:cs="Arial"/>
                <w:b/>
                <w:sz w:val="20"/>
                <w:szCs w:val="20"/>
              </w:rPr>
              <w:t>7.</w:t>
            </w:r>
            <w:r w:rsidRPr="00535E30">
              <w:rPr>
                <w:rFonts w:asciiTheme="minorHAnsi" w:hAnsiTheme="minorHAnsi" w:cs="Arial"/>
                <w:sz w:val="20"/>
                <w:szCs w:val="20"/>
              </w:rPr>
              <w:t xml:space="preserve"> </w:t>
            </w:r>
            <w:r w:rsidRPr="00535E30">
              <w:rPr>
                <w:rFonts w:asciiTheme="minorHAnsi" w:hAnsiTheme="minorHAnsi" w:cs="Arial"/>
                <w:color w:val="000000"/>
                <w:sz w:val="20"/>
                <w:szCs w:val="20"/>
              </w:rPr>
              <w:t>Alianzas estratégicas</w:t>
            </w:r>
          </w:p>
        </w:tc>
        <w:tc>
          <w:tcPr>
            <w:tcW w:w="6618" w:type="dxa"/>
            <w:shd w:val="clear" w:color="auto" w:fill="EAF1DD"/>
          </w:tcPr>
          <w:p w:rsidR="00475419" w:rsidRPr="00535E30" w:rsidRDefault="00475419" w:rsidP="005678E7">
            <w:pPr>
              <w:pStyle w:val="NormalWeb"/>
              <w:spacing w:after="0" w:afterAutospacing="0" w:line="276" w:lineRule="auto"/>
              <w:jc w:val="both"/>
              <w:rPr>
                <w:rFonts w:asciiTheme="minorHAnsi" w:hAnsiTheme="minorHAnsi" w:cs="Arial"/>
                <w:color w:val="000000"/>
                <w:sz w:val="20"/>
                <w:szCs w:val="20"/>
              </w:rPr>
            </w:pPr>
            <w:r w:rsidRPr="00535E30">
              <w:rPr>
                <w:rFonts w:asciiTheme="minorHAnsi" w:hAnsiTheme="minorHAnsi" w:cs="Arial"/>
                <w:color w:val="000000"/>
                <w:sz w:val="20"/>
                <w:szCs w:val="20"/>
              </w:rPr>
              <w:t>Vigilancia e inteligencia competitiva</w:t>
            </w:r>
          </w:p>
        </w:tc>
      </w:tr>
      <w:tr w:rsidR="00475419" w:rsidRPr="00535E30" w:rsidTr="005678E7">
        <w:trPr>
          <w:jc w:val="center"/>
        </w:trPr>
        <w:tc>
          <w:tcPr>
            <w:tcW w:w="2597" w:type="dxa"/>
            <w:vMerge/>
            <w:shd w:val="clear" w:color="auto" w:fill="EAF1DD"/>
          </w:tcPr>
          <w:p w:rsidR="00475419" w:rsidRPr="00535E30" w:rsidRDefault="00475419" w:rsidP="005678E7">
            <w:pPr>
              <w:pStyle w:val="NormalWeb"/>
              <w:spacing w:after="0" w:afterAutospacing="0" w:line="276" w:lineRule="auto"/>
              <w:jc w:val="both"/>
              <w:rPr>
                <w:rFonts w:asciiTheme="minorHAnsi" w:hAnsiTheme="minorHAnsi" w:cs="Arial"/>
                <w:color w:val="000000"/>
                <w:sz w:val="20"/>
                <w:szCs w:val="20"/>
                <w:lang w:val="es-CO"/>
              </w:rPr>
            </w:pPr>
          </w:p>
        </w:tc>
        <w:tc>
          <w:tcPr>
            <w:tcW w:w="6618" w:type="dxa"/>
            <w:shd w:val="clear" w:color="auto" w:fill="EAF1DD"/>
          </w:tcPr>
          <w:p w:rsidR="00475419" w:rsidRPr="00535E30" w:rsidRDefault="00475419" w:rsidP="005678E7">
            <w:pPr>
              <w:pStyle w:val="NormalWeb"/>
              <w:spacing w:after="0" w:afterAutospacing="0" w:line="276" w:lineRule="auto"/>
              <w:jc w:val="both"/>
              <w:rPr>
                <w:rFonts w:asciiTheme="minorHAnsi" w:hAnsiTheme="minorHAnsi" w:cs="Arial"/>
                <w:color w:val="000000"/>
                <w:sz w:val="20"/>
                <w:szCs w:val="20"/>
              </w:rPr>
            </w:pPr>
            <w:r w:rsidRPr="00535E30">
              <w:rPr>
                <w:rFonts w:asciiTheme="minorHAnsi" w:hAnsiTheme="minorHAnsi" w:cs="Arial"/>
                <w:color w:val="000000"/>
                <w:sz w:val="20"/>
                <w:szCs w:val="20"/>
              </w:rPr>
              <w:t>Movilización Social</w:t>
            </w:r>
          </w:p>
        </w:tc>
      </w:tr>
      <w:tr w:rsidR="00475419" w:rsidRPr="00535E30" w:rsidTr="005678E7">
        <w:trPr>
          <w:jc w:val="center"/>
        </w:trPr>
        <w:tc>
          <w:tcPr>
            <w:tcW w:w="2597" w:type="dxa"/>
            <w:vMerge/>
            <w:shd w:val="clear" w:color="auto" w:fill="EAF1DD"/>
          </w:tcPr>
          <w:p w:rsidR="00475419" w:rsidRPr="00535E30" w:rsidRDefault="00475419" w:rsidP="005678E7">
            <w:pPr>
              <w:pStyle w:val="NormalWeb"/>
              <w:spacing w:after="0" w:afterAutospacing="0" w:line="276" w:lineRule="auto"/>
              <w:jc w:val="both"/>
              <w:rPr>
                <w:rFonts w:asciiTheme="minorHAnsi" w:hAnsiTheme="minorHAnsi" w:cs="Arial"/>
                <w:color w:val="000000"/>
                <w:sz w:val="20"/>
                <w:szCs w:val="20"/>
                <w:lang w:val="es-CO"/>
              </w:rPr>
            </w:pPr>
          </w:p>
        </w:tc>
        <w:tc>
          <w:tcPr>
            <w:tcW w:w="6618" w:type="dxa"/>
            <w:shd w:val="clear" w:color="auto" w:fill="EAF1DD"/>
          </w:tcPr>
          <w:p w:rsidR="00475419" w:rsidRPr="00535E30" w:rsidRDefault="00475419" w:rsidP="005678E7">
            <w:pPr>
              <w:pStyle w:val="NormalWeb"/>
              <w:spacing w:after="0" w:afterAutospacing="0" w:line="276" w:lineRule="auto"/>
              <w:jc w:val="both"/>
              <w:rPr>
                <w:rFonts w:asciiTheme="minorHAnsi" w:hAnsiTheme="minorHAnsi" w:cs="Arial"/>
                <w:color w:val="000000"/>
                <w:sz w:val="20"/>
                <w:szCs w:val="20"/>
              </w:rPr>
            </w:pPr>
            <w:r w:rsidRPr="00535E30">
              <w:rPr>
                <w:rFonts w:asciiTheme="minorHAnsi" w:hAnsiTheme="minorHAnsi" w:cs="Arial"/>
                <w:color w:val="000000"/>
                <w:sz w:val="20"/>
                <w:szCs w:val="20"/>
              </w:rPr>
              <w:t>Aprestamiento Institucional</w:t>
            </w:r>
          </w:p>
        </w:tc>
      </w:tr>
    </w:tbl>
    <w:p w:rsidR="00475419" w:rsidRPr="00535E30" w:rsidRDefault="00475419" w:rsidP="00475419">
      <w:pPr>
        <w:tabs>
          <w:tab w:val="left" w:pos="2625"/>
        </w:tabs>
        <w:spacing w:line="276" w:lineRule="auto"/>
        <w:rPr>
          <w:rFonts w:asciiTheme="minorHAnsi" w:hAnsiTheme="minorHAnsi" w:cs="Arial"/>
        </w:rPr>
      </w:pPr>
    </w:p>
    <w:p w:rsidR="00475419" w:rsidRPr="00535E30" w:rsidRDefault="00475419" w:rsidP="00475419">
      <w:pPr>
        <w:spacing w:line="276" w:lineRule="auto"/>
        <w:rPr>
          <w:rFonts w:asciiTheme="minorHAnsi" w:hAnsiTheme="minorHAnsi" w:cs="Arial"/>
        </w:rPr>
      </w:pPr>
      <w:r w:rsidRPr="00535E30">
        <w:rPr>
          <w:rFonts w:asciiTheme="minorHAnsi" w:hAnsiTheme="minorHAnsi" w:cs="Arial"/>
        </w:rPr>
        <w:lastRenderedPageBreak/>
        <w:t xml:space="preserve">Los proyectos institucionales se miden mediante el grado de ejecución de cada uno de sus planes operativos, es decir, su nivel de ejecución se obtiene como resultado del promedio aritmético del cumplimiento de las metas de sus planes operativos, siendo el 100% una ejecución completa del proyecto de acuerdo con las metas que se propongan en cada vigencia. </w:t>
      </w:r>
    </w:p>
    <w:p w:rsidR="00475419" w:rsidRDefault="00475419" w:rsidP="00475419">
      <w:pPr>
        <w:spacing w:line="276" w:lineRule="auto"/>
        <w:rPr>
          <w:rFonts w:asciiTheme="minorHAnsi" w:hAnsiTheme="minorHAnsi" w:cs="Arial"/>
        </w:rPr>
      </w:pPr>
      <w:r w:rsidRPr="00535E30">
        <w:rPr>
          <w:rFonts w:asciiTheme="minorHAnsi" w:hAnsiTheme="minorHAnsi" w:cs="Arial"/>
        </w:rPr>
        <w:t>Se explica a continuación la nomenclatura de nivel de ejecución de los proyectos institucionales:</w:t>
      </w:r>
    </w:p>
    <w:p w:rsidR="00475419" w:rsidRPr="00535E30" w:rsidRDefault="00475419" w:rsidP="00475419">
      <w:pPr>
        <w:spacing w:line="276" w:lineRule="auto"/>
        <w:rPr>
          <w:rFonts w:asciiTheme="minorHAnsi" w:hAnsiTheme="minorHAnsi" w:cs="Arial"/>
        </w:rPr>
      </w:pPr>
    </w:p>
    <w:tbl>
      <w:tblPr>
        <w:tblW w:w="5660" w:type="dxa"/>
        <w:jc w:val="center"/>
        <w:tblInd w:w="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780"/>
        <w:gridCol w:w="3880"/>
      </w:tblGrid>
      <w:tr w:rsidR="00475419" w:rsidRPr="00535E30" w:rsidTr="005678E7">
        <w:trPr>
          <w:trHeight w:val="57"/>
          <w:jc w:val="center"/>
        </w:trPr>
        <w:tc>
          <w:tcPr>
            <w:tcW w:w="1780" w:type="dxa"/>
            <w:shd w:val="clear" w:color="000000" w:fill="D8D8D8"/>
            <w:noWrap/>
            <w:vAlign w:val="bottom"/>
            <w:hideMark/>
          </w:tcPr>
          <w:p w:rsidR="00475419" w:rsidRPr="00535E30" w:rsidRDefault="00475419" w:rsidP="005678E7">
            <w:pPr>
              <w:spacing w:after="0" w:line="276" w:lineRule="auto"/>
              <w:jc w:val="center"/>
              <w:rPr>
                <w:rFonts w:asciiTheme="minorHAnsi" w:eastAsia="Times New Roman" w:hAnsiTheme="minorHAnsi" w:cs="Arial"/>
                <w:b/>
                <w:bCs/>
                <w:sz w:val="20"/>
                <w:szCs w:val="20"/>
                <w:lang w:eastAsia="es-ES"/>
              </w:rPr>
            </w:pPr>
            <w:r w:rsidRPr="00535E30">
              <w:rPr>
                <w:rFonts w:asciiTheme="minorHAnsi" w:eastAsia="Times New Roman" w:hAnsiTheme="minorHAnsi" w:cs="Arial"/>
                <w:b/>
                <w:bCs/>
                <w:sz w:val="20"/>
                <w:szCs w:val="20"/>
                <w:lang w:eastAsia="es-ES"/>
              </w:rPr>
              <w:t>Convención</w:t>
            </w:r>
          </w:p>
        </w:tc>
        <w:tc>
          <w:tcPr>
            <w:tcW w:w="3880" w:type="dxa"/>
            <w:shd w:val="clear" w:color="000000" w:fill="D8D8D8"/>
            <w:noWrap/>
            <w:vAlign w:val="bottom"/>
            <w:hideMark/>
          </w:tcPr>
          <w:p w:rsidR="00475419" w:rsidRPr="00535E30" w:rsidRDefault="00475419" w:rsidP="005678E7">
            <w:pPr>
              <w:spacing w:after="0" w:line="276" w:lineRule="auto"/>
              <w:jc w:val="center"/>
              <w:rPr>
                <w:rFonts w:asciiTheme="minorHAnsi" w:eastAsia="Times New Roman" w:hAnsiTheme="minorHAnsi" w:cs="Arial"/>
                <w:b/>
                <w:bCs/>
                <w:sz w:val="20"/>
                <w:szCs w:val="20"/>
                <w:lang w:eastAsia="es-ES"/>
              </w:rPr>
            </w:pPr>
            <w:r w:rsidRPr="00535E30">
              <w:rPr>
                <w:rFonts w:asciiTheme="minorHAnsi" w:eastAsia="Times New Roman" w:hAnsiTheme="minorHAnsi" w:cs="Arial"/>
                <w:b/>
                <w:bCs/>
                <w:sz w:val="20"/>
                <w:szCs w:val="20"/>
                <w:lang w:eastAsia="es-ES"/>
              </w:rPr>
              <w:t>Descripción</w:t>
            </w:r>
          </w:p>
        </w:tc>
      </w:tr>
      <w:tr w:rsidR="00475419" w:rsidRPr="00535E30" w:rsidTr="005678E7">
        <w:trPr>
          <w:trHeight w:val="57"/>
          <w:jc w:val="center"/>
        </w:trPr>
        <w:tc>
          <w:tcPr>
            <w:tcW w:w="1780" w:type="dxa"/>
            <w:shd w:val="clear" w:color="auto" w:fill="C2D69B" w:themeFill="accent3" w:themeFillTint="99"/>
            <w:noWrap/>
            <w:vAlign w:val="bottom"/>
            <w:hideMark/>
          </w:tcPr>
          <w:p w:rsidR="00475419" w:rsidRPr="00535E30" w:rsidRDefault="00475419" w:rsidP="005678E7">
            <w:pPr>
              <w:spacing w:after="0" w:line="276" w:lineRule="auto"/>
              <w:rPr>
                <w:rFonts w:asciiTheme="minorHAnsi" w:eastAsia="Times New Roman" w:hAnsiTheme="minorHAnsi" w:cs="Arial"/>
                <w:b/>
                <w:bCs/>
                <w:sz w:val="20"/>
                <w:szCs w:val="20"/>
                <w:lang w:eastAsia="es-ES"/>
              </w:rPr>
            </w:pPr>
            <w:r w:rsidRPr="00535E30">
              <w:rPr>
                <w:rFonts w:asciiTheme="minorHAnsi" w:eastAsia="Times New Roman" w:hAnsiTheme="minorHAnsi" w:cs="Arial"/>
                <w:b/>
                <w:bCs/>
                <w:sz w:val="20"/>
                <w:szCs w:val="20"/>
                <w:lang w:eastAsia="es-ES"/>
              </w:rPr>
              <w:t> </w:t>
            </w:r>
          </w:p>
        </w:tc>
        <w:tc>
          <w:tcPr>
            <w:tcW w:w="3880" w:type="dxa"/>
            <w:shd w:val="clear" w:color="auto" w:fill="auto"/>
            <w:vAlign w:val="bottom"/>
            <w:hideMark/>
          </w:tcPr>
          <w:p w:rsidR="00475419" w:rsidRPr="00535E30" w:rsidRDefault="00475419" w:rsidP="005678E7">
            <w:pPr>
              <w:spacing w:after="0" w:line="276" w:lineRule="auto"/>
              <w:rPr>
                <w:rFonts w:asciiTheme="minorHAnsi" w:eastAsia="Times New Roman" w:hAnsiTheme="minorHAnsi" w:cs="Arial"/>
                <w:sz w:val="20"/>
                <w:szCs w:val="20"/>
                <w:lang w:eastAsia="es-ES"/>
              </w:rPr>
            </w:pPr>
            <w:r w:rsidRPr="00535E30">
              <w:rPr>
                <w:rFonts w:asciiTheme="minorHAnsi" w:eastAsia="Times New Roman" w:hAnsiTheme="minorHAnsi" w:cs="Arial"/>
                <w:sz w:val="20"/>
                <w:szCs w:val="20"/>
                <w:lang w:eastAsia="es-ES"/>
              </w:rPr>
              <w:t>Entre el 80% y el 100% de cumplimiento</w:t>
            </w:r>
          </w:p>
        </w:tc>
      </w:tr>
      <w:tr w:rsidR="00475419" w:rsidRPr="00535E30" w:rsidTr="005678E7">
        <w:trPr>
          <w:trHeight w:val="57"/>
          <w:jc w:val="center"/>
        </w:trPr>
        <w:tc>
          <w:tcPr>
            <w:tcW w:w="1780" w:type="dxa"/>
            <w:shd w:val="clear" w:color="auto" w:fill="D99594" w:themeFill="accent2" w:themeFillTint="99"/>
            <w:noWrap/>
            <w:vAlign w:val="bottom"/>
            <w:hideMark/>
          </w:tcPr>
          <w:p w:rsidR="00475419" w:rsidRPr="00535E30" w:rsidRDefault="00475419" w:rsidP="005678E7">
            <w:pPr>
              <w:spacing w:after="0" w:line="276" w:lineRule="auto"/>
              <w:rPr>
                <w:rFonts w:asciiTheme="minorHAnsi" w:eastAsia="Times New Roman" w:hAnsiTheme="minorHAnsi" w:cs="Arial"/>
                <w:b/>
                <w:bCs/>
                <w:sz w:val="20"/>
                <w:szCs w:val="20"/>
                <w:lang w:eastAsia="es-ES"/>
              </w:rPr>
            </w:pPr>
            <w:r w:rsidRPr="00535E30">
              <w:rPr>
                <w:rFonts w:asciiTheme="minorHAnsi" w:eastAsia="Times New Roman" w:hAnsiTheme="minorHAnsi" w:cs="Arial"/>
                <w:b/>
                <w:bCs/>
                <w:sz w:val="20"/>
                <w:szCs w:val="20"/>
                <w:lang w:eastAsia="es-ES"/>
              </w:rPr>
              <w:t> </w:t>
            </w:r>
          </w:p>
        </w:tc>
        <w:tc>
          <w:tcPr>
            <w:tcW w:w="3880" w:type="dxa"/>
            <w:shd w:val="clear" w:color="auto" w:fill="auto"/>
            <w:vAlign w:val="bottom"/>
            <w:hideMark/>
          </w:tcPr>
          <w:p w:rsidR="00475419" w:rsidRPr="00535E30" w:rsidRDefault="00475419" w:rsidP="005678E7">
            <w:pPr>
              <w:spacing w:after="0" w:line="276" w:lineRule="auto"/>
              <w:rPr>
                <w:rFonts w:asciiTheme="minorHAnsi" w:eastAsia="Times New Roman" w:hAnsiTheme="minorHAnsi" w:cs="Arial"/>
                <w:sz w:val="20"/>
                <w:szCs w:val="20"/>
                <w:lang w:eastAsia="es-ES"/>
              </w:rPr>
            </w:pPr>
            <w:r w:rsidRPr="00535E30">
              <w:rPr>
                <w:rFonts w:asciiTheme="minorHAnsi" w:eastAsia="Times New Roman" w:hAnsiTheme="minorHAnsi" w:cs="Arial"/>
                <w:sz w:val="20"/>
                <w:szCs w:val="20"/>
                <w:lang w:eastAsia="es-ES"/>
              </w:rPr>
              <w:t>Hasta el 79% de cumplimiento</w:t>
            </w:r>
          </w:p>
        </w:tc>
      </w:tr>
    </w:tbl>
    <w:p w:rsidR="00475419" w:rsidRPr="00535E30" w:rsidRDefault="00475419" w:rsidP="00475419">
      <w:pPr>
        <w:spacing w:line="276" w:lineRule="auto"/>
        <w:rPr>
          <w:rFonts w:asciiTheme="minorHAnsi" w:hAnsiTheme="minorHAnsi" w:cs="Arial"/>
          <w:b/>
        </w:rPr>
      </w:pPr>
    </w:p>
    <w:p w:rsidR="00475419" w:rsidRPr="00535E30" w:rsidRDefault="00475419" w:rsidP="00475419">
      <w:pPr>
        <w:spacing w:line="276" w:lineRule="auto"/>
        <w:rPr>
          <w:rFonts w:asciiTheme="minorHAnsi" w:hAnsiTheme="minorHAnsi" w:cs="Arial"/>
        </w:rPr>
      </w:pPr>
      <w:r w:rsidRPr="00535E30">
        <w:rPr>
          <w:rFonts w:asciiTheme="minorHAnsi" w:hAnsiTheme="minorHAnsi" w:cs="Arial"/>
        </w:rPr>
        <w:t xml:space="preserve">Vale aclarar que </w:t>
      </w:r>
      <w:r w:rsidRPr="00932AE7">
        <w:rPr>
          <w:rFonts w:asciiTheme="minorHAnsi" w:hAnsiTheme="minorHAnsi" w:cs="Arial"/>
          <w:b/>
        </w:rPr>
        <w:t>27</w:t>
      </w:r>
      <w:r w:rsidRPr="00535E30">
        <w:rPr>
          <w:rFonts w:asciiTheme="minorHAnsi" w:hAnsiTheme="minorHAnsi" w:cs="Arial"/>
        </w:rPr>
        <w:t xml:space="preserve"> planes operativos superaron el cumplimiento por encima del </w:t>
      </w:r>
      <w:r w:rsidRPr="00932AE7">
        <w:rPr>
          <w:rFonts w:asciiTheme="minorHAnsi" w:hAnsiTheme="minorHAnsi" w:cs="Arial"/>
          <w:b/>
        </w:rPr>
        <w:t>100%</w:t>
      </w:r>
      <w:r w:rsidRPr="00535E30">
        <w:rPr>
          <w:rFonts w:asciiTheme="minorHAnsi" w:hAnsiTheme="minorHAnsi" w:cs="Arial"/>
        </w:rPr>
        <w:t xml:space="preserve">, sin embargo se presentan los resultados haciendo el ajuste de estas metas al cumplimiento máximo del </w:t>
      </w:r>
      <w:r w:rsidRPr="00932AE7">
        <w:rPr>
          <w:rFonts w:asciiTheme="minorHAnsi" w:hAnsiTheme="minorHAnsi" w:cs="Arial"/>
          <w:b/>
        </w:rPr>
        <w:t>100%</w:t>
      </w:r>
      <w:r w:rsidRPr="00535E30">
        <w:rPr>
          <w:rFonts w:asciiTheme="minorHAnsi" w:hAnsiTheme="minorHAnsi" w:cs="Arial"/>
        </w:rPr>
        <w:t xml:space="preserve"> y evitar distorsiones. Al final de este informe se presentarán los planes operativos que superaron el </w:t>
      </w:r>
      <w:r w:rsidRPr="00932AE7">
        <w:rPr>
          <w:rFonts w:asciiTheme="minorHAnsi" w:hAnsiTheme="minorHAnsi" w:cs="Arial"/>
          <w:b/>
        </w:rPr>
        <w:t>100%</w:t>
      </w:r>
      <w:r w:rsidRPr="00535E30">
        <w:rPr>
          <w:rFonts w:asciiTheme="minorHAnsi" w:hAnsiTheme="minorHAnsi" w:cs="Arial"/>
        </w:rPr>
        <w:t xml:space="preserve"> de cumplimiento con su respectiva justificación.</w:t>
      </w:r>
    </w:p>
    <w:p w:rsidR="00475419" w:rsidRPr="00535E30" w:rsidRDefault="00475419" w:rsidP="00475419">
      <w:pPr>
        <w:spacing w:line="276" w:lineRule="auto"/>
        <w:rPr>
          <w:rFonts w:asciiTheme="minorHAnsi" w:eastAsiaTheme="majorEastAsia" w:hAnsiTheme="minorHAnsi" w:cstheme="majorBidi"/>
          <w:b/>
          <w:bCs/>
          <w:caps/>
          <w:sz w:val="28"/>
          <w:szCs w:val="26"/>
        </w:rPr>
      </w:pPr>
    </w:p>
    <w:p w:rsidR="00475419" w:rsidRPr="00475419" w:rsidRDefault="00475419" w:rsidP="00475419">
      <w:pPr>
        <w:spacing w:line="276" w:lineRule="auto"/>
        <w:outlineLvl w:val="1"/>
        <w:rPr>
          <w:rFonts w:eastAsiaTheme="majorEastAsia" w:cstheme="majorBidi"/>
          <w:b/>
          <w:bCs/>
          <w:caps/>
          <w:sz w:val="28"/>
          <w:szCs w:val="26"/>
        </w:rPr>
      </w:pPr>
      <w:bookmarkStart w:id="202" w:name="_Toc350957794"/>
      <w:bookmarkStart w:id="203" w:name="_Toc354671387"/>
      <w:r w:rsidRPr="00475419">
        <w:rPr>
          <w:rFonts w:eastAsiaTheme="majorEastAsia" w:cstheme="majorBidi"/>
          <w:b/>
          <w:bCs/>
          <w:caps/>
          <w:sz w:val="28"/>
          <w:szCs w:val="26"/>
        </w:rPr>
        <w:t>CUMPLIMIENTO GENERAL A NIVEL DE PROYECTOS</w:t>
      </w:r>
      <w:bookmarkEnd w:id="202"/>
      <w:bookmarkEnd w:id="203"/>
    </w:p>
    <w:p w:rsidR="00475419" w:rsidRPr="00535E30" w:rsidRDefault="00475419" w:rsidP="00475419">
      <w:pPr>
        <w:spacing w:line="276" w:lineRule="auto"/>
        <w:rPr>
          <w:rFonts w:asciiTheme="minorHAnsi" w:hAnsiTheme="minorHAnsi" w:cs="Arial"/>
        </w:rPr>
      </w:pPr>
    </w:p>
    <w:p w:rsidR="00475419" w:rsidRPr="00535E30" w:rsidRDefault="00475419" w:rsidP="00475419">
      <w:pPr>
        <w:spacing w:line="276" w:lineRule="auto"/>
        <w:rPr>
          <w:rFonts w:asciiTheme="minorHAnsi" w:hAnsiTheme="minorHAnsi" w:cs="Arial"/>
        </w:rPr>
      </w:pPr>
      <w:r w:rsidRPr="00535E30">
        <w:rPr>
          <w:rFonts w:asciiTheme="minorHAnsi" w:hAnsiTheme="minorHAnsi" w:cs="Arial"/>
        </w:rPr>
        <w:t xml:space="preserve">El nivel de cumplimiento final del Plan de Desarrollo  a nivel de proyectos para la vigencia </w:t>
      </w:r>
      <w:r w:rsidRPr="00932AE7">
        <w:rPr>
          <w:rFonts w:asciiTheme="minorHAnsi" w:hAnsiTheme="minorHAnsi" w:cs="Arial"/>
          <w:b/>
        </w:rPr>
        <w:t>2012</w:t>
      </w:r>
      <w:r w:rsidRPr="00535E30">
        <w:rPr>
          <w:rFonts w:asciiTheme="minorHAnsi" w:hAnsiTheme="minorHAnsi" w:cs="Arial"/>
        </w:rPr>
        <w:t xml:space="preserve"> fue del </w:t>
      </w:r>
      <w:r w:rsidRPr="00932AE7">
        <w:rPr>
          <w:rFonts w:asciiTheme="minorHAnsi" w:hAnsiTheme="minorHAnsi" w:cs="Arial"/>
          <w:b/>
        </w:rPr>
        <w:t>94,74%</w:t>
      </w:r>
      <w:r w:rsidRPr="00535E30">
        <w:rPr>
          <w:rFonts w:asciiTheme="minorHAnsi" w:hAnsiTheme="minorHAnsi" w:cs="Arial"/>
        </w:rPr>
        <w:t>, siendo éste un nivel satisfactorio de ejecución.</w:t>
      </w:r>
    </w:p>
    <w:p w:rsidR="00475419" w:rsidRPr="00535E30" w:rsidRDefault="00475419" w:rsidP="00475419">
      <w:pPr>
        <w:spacing w:line="276" w:lineRule="auto"/>
        <w:rPr>
          <w:rFonts w:asciiTheme="minorHAnsi" w:hAnsiTheme="minorHAnsi" w:cs="Arial"/>
        </w:rPr>
      </w:pPr>
      <w:r w:rsidRPr="00535E30">
        <w:rPr>
          <w:rFonts w:asciiTheme="minorHAnsi" w:hAnsiTheme="minorHAnsi" w:cs="Arial"/>
        </w:rPr>
        <w:t>Observando el avance por objetivo institucional, todos presentaron un nivel de cumplimiento por encima del nivel satisfactorio (igual o mayor al 80%). El siguiente cuadro muestra el nivel de ejecución consolidado de los proyectos del PDI y por objetivo:</w:t>
      </w:r>
    </w:p>
    <w:p w:rsidR="00475419" w:rsidRDefault="00475419" w:rsidP="00475419">
      <w:pPr>
        <w:spacing w:line="276" w:lineRule="auto"/>
        <w:rPr>
          <w:rFonts w:asciiTheme="minorHAnsi" w:hAnsiTheme="minorHAnsi" w:cs="Arial"/>
        </w:rPr>
      </w:pPr>
    </w:p>
    <w:tbl>
      <w:tblPr>
        <w:tblW w:w="8680" w:type="dxa"/>
        <w:tblInd w:w="55" w:type="dxa"/>
        <w:tblCellMar>
          <w:left w:w="70" w:type="dxa"/>
          <w:right w:w="70" w:type="dxa"/>
        </w:tblCellMar>
        <w:tblLook w:val="04A0" w:firstRow="1" w:lastRow="0" w:firstColumn="1" w:lastColumn="0" w:noHBand="0" w:noVBand="1"/>
      </w:tblPr>
      <w:tblGrid>
        <w:gridCol w:w="4120"/>
        <w:gridCol w:w="1420"/>
        <w:gridCol w:w="1420"/>
        <w:gridCol w:w="1720"/>
      </w:tblGrid>
      <w:tr w:rsidR="00475419" w:rsidRPr="00932AE7" w:rsidTr="005678E7">
        <w:trPr>
          <w:trHeight w:val="145"/>
        </w:trPr>
        <w:tc>
          <w:tcPr>
            <w:tcW w:w="4120" w:type="dxa"/>
            <w:tcBorders>
              <w:top w:val="single" w:sz="8" w:space="0" w:color="auto"/>
              <w:left w:val="single" w:sz="8" w:space="0" w:color="auto"/>
              <w:bottom w:val="single" w:sz="4" w:space="0" w:color="auto"/>
              <w:right w:val="single" w:sz="4" w:space="0" w:color="auto"/>
            </w:tcBorders>
            <w:shd w:val="clear" w:color="000000" w:fill="B8CCE4"/>
            <w:vAlign w:val="center"/>
            <w:hideMark/>
          </w:tcPr>
          <w:p w:rsidR="00475419" w:rsidRPr="00932AE7" w:rsidRDefault="00475419" w:rsidP="005678E7">
            <w:pPr>
              <w:spacing w:after="0"/>
              <w:jc w:val="center"/>
              <w:rPr>
                <w:rFonts w:eastAsia="Times New Roman" w:cs="Arial"/>
                <w:b/>
                <w:bCs/>
                <w:color w:val="000000"/>
                <w:lang w:val="es-CO" w:eastAsia="es-CO"/>
              </w:rPr>
            </w:pPr>
            <w:r w:rsidRPr="00932AE7">
              <w:rPr>
                <w:rFonts w:eastAsia="Times New Roman" w:cs="Arial"/>
                <w:b/>
                <w:bCs/>
                <w:color w:val="000000"/>
                <w:lang w:val="es-CO" w:eastAsia="es-CO"/>
              </w:rPr>
              <w:t>Objetivo Institucional</w:t>
            </w:r>
          </w:p>
        </w:tc>
        <w:tc>
          <w:tcPr>
            <w:tcW w:w="1420" w:type="dxa"/>
            <w:tcBorders>
              <w:top w:val="single" w:sz="8" w:space="0" w:color="auto"/>
              <w:left w:val="nil"/>
              <w:bottom w:val="single" w:sz="4" w:space="0" w:color="auto"/>
              <w:right w:val="single" w:sz="4" w:space="0" w:color="auto"/>
            </w:tcBorders>
            <w:shd w:val="clear" w:color="000000" w:fill="B8CCE4"/>
            <w:vAlign w:val="center"/>
            <w:hideMark/>
          </w:tcPr>
          <w:p w:rsidR="00475419" w:rsidRPr="00932AE7" w:rsidRDefault="00475419" w:rsidP="005678E7">
            <w:pPr>
              <w:spacing w:after="0"/>
              <w:jc w:val="center"/>
              <w:rPr>
                <w:rFonts w:eastAsia="Times New Roman" w:cs="Arial"/>
                <w:b/>
                <w:bCs/>
                <w:color w:val="000000"/>
                <w:lang w:val="es-CO" w:eastAsia="es-CO"/>
              </w:rPr>
            </w:pPr>
            <w:r w:rsidRPr="00932AE7">
              <w:rPr>
                <w:rFonts w:eastAsia="Times New Roman" w:cs="Arial"/>
                <w:b/>
                <w:bCs/>
                <w:color w:val="000000"/>
                <w:lang w:val="es-CO" w:eastAsia="es-CO"/>
              </w:rPr>
              <w:t xml:space="preserve">Resultado indicadores </w:t>
            </w:r>
            <w:r>
              <w:rPr>
                <w:rFonts w:eastAsia="Times New Roman" w:cs="Arial"/>
                <w:b/>
                <w:bCs/>
                <w:color w:val="000000"/>
                <w:lang w:val="es-CO" w:eastAsia="es-CO"/>
              </w:rPr>
              <w:t>Proyecto</w:t>
            </w:r>
            <w:r w:rsidRPr="00932AE7">
              <w:rPr>
                <w:rFonts w:eastAsia="Times New Roman" w:cs="Arial"/>
                <w:b/>
                <w:bCs/>
                <w:color w:val="000000"/>
                <w:lang w:val="es-CO" w:eastAsia="es-CO"/>
              </w:rPr>
              <w:t>s</w:t>
            </w:r>
          </w:p>
        </w:tc>
        <w:tc>
          <w:tcPr>
            <w:tcW w:w="1420" w:type="dxa"/>
            <w:tcBorders>
              <w:top w:val="single" w:sz="8" w:space="0" w:color="auto"/>
              <w:left w:val="nil"/>
              <w:bottom w:val="single" w:sz="4" w:space="0" w:color="auto"/>
              <w:right w:val="single" w:sz="4" w:space="0" w:color="auto"/>
            </w:tcBorders>
            <w:shd w:val="clear" w:color="000000" w:fill="B8CCE4"/>
            <w:vAlign w:val="center"/>
            <w:hideMark/>
          </w:tcPr>
          <w:p w:rsidR="00475419" w:rsidRPr="00932AE7" w:rsidRDefault="00475419" w:rsidP="005678E7">
            <w:pPr>
              <w:spacing w:after="0"/>
              <w:jc w:val="center"/>
              <w:rPr>
                <w:rFonts w:eastAsia="Times New Roman" w:cs="Arial"/>
                <w:b/>
                <w:bCs/>
                <w:color w:val="000000"/>
                <w:lang w:val="es-CO" w:eastAsia="es-CO"/>
              </w:rPr>
            </w:pPr>
            <w:r w:rsidRPr="00932AE7">
              <w:rPr>
                <w:rFonts w:eastAsia="Times New Roman" w:cs="Arial"/>
                <w:b/>
                <w:bCs/>
                <w:color w:val="000000"/>
                <w:lang w:val="es-CO" w:eastAsia="es-CO"/>
              </w:rPr>
              <w:t>Ponderador de objetivo</w:t>
            </w:r>
          </w:p>
        </w:tc>
        <w:tc>
          <w:tcPr>
            <w:tcW w:w="1720" w:type="dxa"/>
            <w:tcBorders>
              <w:top w:val="single" w:sz="8" w:space="0" w:color="auto"/>
              <w:left w:val="nil"/>
              <w:bottom w:val="single" w:sz="4" w:space="0" w:color="auto"/>
              <w:right w:val="single" w:sz="8" w:space="0" w:color="auto"/>
            </w:tcBorders>
            <w:shd w:val="clear" w:color="000000" w:fill="B8CCE4"/>
            <w:vAlign w:val="center"/>
            <w:hideMark/>
          </w:tcPr>
          <w:p w:rsidR="00475419" w:rsidRPr="00932AE7" w:rsidRDefault="00475419" w:rsidP="005678E7">
            <w:pPr>
              <w:spacing w:after="0"/>
              <w:jc w:val="center"/>
              <w:rPr>
                <w:rFonts w:eastAsia="Times New Roman" w:cs="Arial"/>
                <w:b/>
                <w:bCs/>
                <w:color w:val="000000"/>
                <w:lang w:val="es-CO" w:eastAsia="es-CO"/>
              </w:rPr>
            </w:pPr>
            <w:r w:rsidRPr="00932AE7">
              <w:rPr>
                <w:rFonts w:eastAsia="Times New Roman" w:cs="Arial"/>
                <w:b/>
                <w:bCs/>
                <w:color w:val="000000"/>
                <w:lang w:val="es-CO" w:eastAsia="es-CO"/>
              </w:rPr>
              <w:t>Resultado Ponderado</w:t>
            </w:r>
          </w:p>
        </w:tc>
      </w:tr>
      <w:tr w:rsidR="00475419" w:rsidRPr="00932AE7" w:rsidTr="005678E7">
        <w:trPr>
          <w:trHeight w:val="300"/>
        </w:trPr>
        <w:tc>
          <w:tcPr>
            <w:tcW w:w="4120" w:type="dxa"/>
            <w:tcBorders>
              <w:top w:val="nil"/>
              <w:left w:val="single" w:sz="8" w:space="0" w:color="auto"/>
              <w:bottom w:val="single" w:sz="4" w:space="0" w:color="auto"/>
              <w:right w:val="single" w:sz="4" w:space="0" w:color="auto"/>
            </w:tcBorders>
            <w:shd w:val="clear" w:color="auto" w:fill="auto"/>
            <w:vAlign w:val="center"/>
            <w:hideMark/>
          </w:tcPr>
          <w:p w:rsidR="00475419" w:rsidRPr="00932AE7" w:rsidRDefault="00475419" w:rsidP="005678E7">
            <w:pPr>
              <w:spacing w:after="0"/>
              <w:jc w:val="left"/>
              <w:rPr>
                <w:rFonts w:eastAsia="Times New Roman" w:cs="Arial"/>
                <w:color w:val="000000"/>
                <w:lang w:val="es-CO" w:eastAsia="es-CO"/>
              </w:rPr>
            </w:pPr>
            <w:r w:rsidRPr="00932AE7">
              <w:rPr>
                <w:rFonts w:eastAsia="Times New Roman" w:cs="Arial"/>
                <w:color w:val="000000"/>
                <w:lang w:val="es-CO" w:eastAsia="es-CO"/>
              </w:rPr>
              <w:t>Desarrollo institucional</w:t>
            </w:r>
          </w:p>
        </w:tc>
        <w:tc>
          <w:tcPr>
            <w:tcW w:w="1420" w:type="dxa"/>
            <w:tcBorders>
              <w:top w:val="nil"/>
              <w:left w:val="nil"/>
              <w:bottom w:val="single" w:sz="4" w:space="0" w:color="auto"/>
              <w:right w:val="single" w:sz="4" w:space="0" w:color="auto"/>
            </w:tcBorders>
            <w:shd w:val="clear" w:color="auto" w:fill="auto"/>
            <w:vAlign w:val="center"/>
            <w:hideMark/>
          </w:tcPr>
          <w:p w:rsidR="00475419" w:rsidRPr="00932AE7" w:rsidRDefault="00475419" w:rsidP="005678E7">
            <w:pPr>
              <w:spacing w:after="0"/>
              <w:jc w:val="center"/>
              <w:rPr>
                <w:rFonts w:eastAsia="Times New Roman" w:cs="Arial"/>
                <w:color w:val="000000"/>
                <w:lang w:val="es-CO" w:eastAsia="es-CO"/>
              </w:rPr>
            </w:pPr>
            <w:r w:rsidRPr="00932AE7">
              <w:rPr>
                <w:rFonts w:eastAsia="Times New Roman" w:cs="Arial"/>
                <w:color w:val="000000"/>
                <w:lang w:val="es-CO" w:eastAsia="es-CO"/>
              </w:rPr>
              <w:t>92,20%</w:t>
            </w:r>
          </w:p>
        </w:tc>
        <w:tc>
          <w:tcPr>
            <w:tcW w:w="1420" w:type="dxa"/>
            <w:tcBorders>
              <w:top w:val="nil"/>
              <w:left w:val="nil"/>
              <w:bottom w:val="single" w:sz="4" w:space="0" w:color="auto"/>
              <w:right w:val="single" w:sz="4" w:space="0" w:color="auto"/>
            </w:tcBorders>
            <w:shd w:val="clear" w:color="auto" w:fill="auto"/>
            <w:noWrap/>
            <w:vAlign w:val="center"/>
            <w:hideMark/>
          </w:tcPr>
          <w:p w:rsidR="00475419" w:rsidRPr="00932AE7" w:rsidRDefault="00475419" w:rsidP="005678E7">
            <w:pPr>
              <w:spacing w:after="0"/>
              <w:jc w:val="center"/>
              <w:rPr>
                <w:rFonts w:eastAsia="Times New Roman" w:cs="Arial"/>
                <w:color w:val="000000"/>
                <w:lang w:val="es-CO" w:eastAsia="es-CO"/>
              </w:rPr>
            </w:pPr>
            <w:r w:rsidRPr="00932AE7">
              <w:rPr>
                <w:rFonts w:eastAsia="Times New Roman" w:cs="Arial"/>
                <w:color w:val="000000"/>
                <w:lang w:val="es-CO" w:eastAsia="es-CO"/>
              </w:rPr>
              <w:t>12,10%</w:t>
            </w:r>
          </w:p>
        </w:tc>
        <w:tc>
          <w:tcPr>
            <w:tcW w:w="1720" w:type="dxa"/>
            <w:tcBorders>
              <w:top w:val="nil"/>
              <w:left w:val="nil"/>
              <w:bottom w:val="single" w:sz="4" w:space="0" w:color="auto"/>
              <w:right w:val="single" w:sz="8" w:space="0" w:color="auto"/>
            </w:tcBorders>
            <w:shd w:val="clear" w:color="000000" w:fill="DCE6F1"/>
            <w:vAlign w:val="center"/>
            <w:hideMark/>
          </w:tcPr>
          <w:p w:rsidR="00475419" w:rsidRPr="00932AE7" w:rsidRDefault="00475419" w:rsidP="005678E7">
            <w:pPr>
              <w:spacing w:after="0"/>
              <w:jc w:val="center"/>
              <w:rPr>
                <w:rFonts w:eastAsia="Times New Roman" w:cs="Arial"/>
                <w:color w:val="000000"/>
                <w:lang w:val="es-CO" w:eastAsia="es-CO"/>
              </w:rPr>
            </w:pPr>
            <w:r w:rsidRPr="00932AE7">
              <w:rPr>
                <w:rFonts w:eastAsia="Times New Roman" w:cs="Arial"/>
                <w:color w:val="000000"/>
                <w:lang w:val="es-CO" w:eastAsia="es-CO"/>
              </w:rPr>
              <w:t>11,16%</w:t>
            </w:r>
          </w:p>
        </w:tc>
      </w:tr>
      <w:tr w:rsidR="00475419" w:rsidRPr="00932AE7" w:rsidTr="005678E7">
        <w:trPr>
          <w:trHeight w:val="300"/>
        </w:trPr>
        <w:tc>
          <w:tcPr>
            <w:tcW w:w="4120" w:type="dxa"/>
            <w:tcBorders>
              <w:top w:val="nil"/>
              <w:left w:val="single" w:sz="8" w:space="0" w:color="auto"/>
              <w:bottom w:val="single" w:sz="4" w:space="0" w:color="auto"/>
              <w:right w:val="single" w:sz="4" w:space="0" w:color="auto"/>
            </w:tcBorders>
            <w:shd w:val="clear" w:color="auto" w:fill="auto"/>
            <w:vAlign w:val="center"/>
            <w:hideMark/>
          </w:tcPr>
          <w:p w:rsidR="00475419" w:rsidRPr="00932AE7" w:rsidRDefault="00475419" w:rsidP="005678E7">
            <w:pPr>
              <w:spacing w:after="0"/>
              <w:jc w:val="left"/>
              <w:rPr>
                <w:rFonts w:eastAsia="Times New Roman" w:cs="Arial"/>
                <w:color w:val="000000"/>
                <w:lang w:val="es-CO" w:eastAsia="es-CO"/>
              </w:rPr>
            </w:pPr>
            <w:r w:rsidRPr="00932AE7">
              <w:rPr>
                <w:rFonts w:eastAsia="Times New Roman" w:cs="Arial"/>
                <w:color w:val="000000"/>
                <w:lang w:val="es-CO" w:eastAsia="es-CO"/>
              </w:rPr>
              <w:t>Cobertura con calidad</w:t>
            </w:r>
          </w:p>
        </w:tc>
        <w:tc>
          <w:tcPr>
            <w:tcW w:w="1420" w:type="dxa"/>
            <w:tcBorders>
              <w:top w:val="nil"/>
              <w:left w:val="nil"/>
              <w:bottom w:val="single" w:sz="4" w:space="0" w:color="auto"/>
              <w:right w:val="single" w:sz="4" w:space="0" w:color="auto"/>
            </w:tcBorders>
            <w:shd w:val="clear" w:color="auto" w:fill="auto"/>
            <w:vAlign w:val="center"/>
            <w:hideMark/>
          </w:tcPr>
          <w:p w:rsidR="00475419" w:rsidRPr="00932AE7" w:rsidRDefault="00475419" w:rsidP="005678E7">
            <w:pPr>
              <w:spacing w:after="0"/>
              <w:jc w:val="center"/>
              <w:rPr>
                <w:rFonts w:eastAsia="Times New Roman" w:cs="Arial"/>
                <w:color w:val="000000"/>
                <w:lang w:val="es-CO" w:eastAsia="es-CO"/>
              </w:rPr>
            </w:pPr>
            <w:r w:rsidRPr="00932AE7">
              <w:rPr>
                <w:rFonts w:eastAsia="Times New Roman" w:cs="Arial"/>
                <w:color w:val="000000"/>
                <w:lang w:val="es-CO" w:eastAsia="es-CO"/>
              </w:rPr>
              <w:t>96,84%</w:t>
            </w:r>
          </w:p>
        </w:tc>
        <w:tc>
          <w:tcPr>
            <w:tcW w:w="1420" w:type="dxa"/>
            <w:tcBorders>
              <w:top w:val="nil"/>
              <w:left w:val="nil"/>
              <w:bottom w:val="single" w:sz="4" w:space="0" w:color="auto"/>
              <w:right w:val="single" w:sz="4" w:space="0" w:color="auto"/>
            </w:tcBorders>
            <w:shd w:val="clear" w:color="auto" w:fill="auto"/>
            <w:vAlign w:val="center"/>
            <w:hideMark/>
          </w:tcPr>
          <w:p w:rsidR="00475419" w:rsidRPr="00932AE7" w:rsidRDefault="00475419" w:rsidP="005678E7">
            <w:pPr>
              <w:spacing w:after="0"/>
              <w:jc w:val="center"/>
              <w:rPr>
                <w:rFonts w:eastAsia="Times New Roman" w:cs="Arial"/>
                <w:color w:val="000000"/>
                <w:lang w:val="es-CO" w:eastAsia="es-CO"/>
              </w:rPr>
            </w:pPr>
            <w:r w:rsidRPr="00932AE7">
              <w:rPr>
                <w:rFonts w:eastAsia="Times New Roman" w:cs="Arial"/>
                <w:color w:val="000000"/>
                <w:lang w:val="es-CO" w:eastAsia="es-CO"/>
              </w:rPr>
              <w:t>20,50%</w:t>
            </w:r>
          </w:p>
        </w:tc>
        <w:tc>
          <w:tcPr>
            <w:tcW w:w="1720" w:type="dxa"/>
            <w:tcBorders>
              <w:top w:val="nil"/>
              <w:left w:val="nil"/>
              <w:bottom w:val="single" w:sz="4" w:space="0" w:color="auto"/>
              <w:right w:val="single" w:sz="8" w:space="0" w:color="auto"/>
            </w:tcBorders>
            <w:shd w:val="clear" w:color="000000" w:fill="DCE6F1"/>
            <w:vAlign w:val="center"/>
            <w:hideMark/>
          </w:tcPr>
          <w:p w:rsidR="00475419" w:rsidRPr="00932AE7" w:rsidRDefault="00475419" w:rsidP="005678E7">
            <w:pPr>
              <w:spacing w:after="0"/>
              <w:jc w:val="center"/>
              <w:rPr>
                <w:rFonts w:eastAsia="Times New Roman" w:cs="Arial"/>
                <w:color w:val="000000"/>
                <w:lang w:val="es-CO" w:eastAsia="es-CO"/>
              </w:rPr>
            </w:pPr>
            <w:r w:rsidRPr="00932AE7">
              <w:rPr>
                <w:rFonts w:eastAsia="Times New Roman" w:cs="Arial"/>
                <w:color w:val="000000"/>
                <w:lang w:val="es-CO" w:eastAsia="es-CO"/>
              </w:rPr>
              <w:t>19,85%</w:t>
            </w:r>
          </w:p>
        </w:tc>
      </w:tr>
      <w:tr w:rsidR="00475419" w:rsidRPr="00932AE7" w:rsidTr="005678E7">
        <w:trPr>
          <w:trHeight w:val="300"/>
        </w:trPr>
        <w:tc>
          <w:tcPr>
            <w:tcW w:w="4120" w:type="dxa"/>
            <w:tcBorders>
              <w:top w:val="nil"/>
              <w:left w:val="single" w:sz="8" w:space="0" w:color="auto"/>
              <w:bottom w:val="single" w:sz="4" w:space="0" w:color="auto"/>
              <w:right w:val="single" w:sz="4" w:space="0" w:color="auto"/>
            </w:tcBorders>
            <w:shd w:val="clear" w:color="auto" w:fill="auto"/>
            <w:vAlign w:val="center"/>
            <w:hideMark/>
          </w:tcPr>
          <w:p w:rsidR="00475419" w:rsidRPr="00932AE7" w:rsidRDefault="00475419" w:rsidP="005678E7">
            <w:pPr>
              <w:spacing w:after="0"/>
              <w:jc w:val="left"/>
              <w:rPr>
                <w:rFonts w:eastAsia="Times New Roman" w:cs="Arial"/>
                <w:color w:val="000000"/>
                <w:lang w:val="es-CO" w:eastAsia="es-CO"/>
              </w:rPr>
            </w:pPr>
            <w:r w:rsidRPr="00932AE7">
              <w:rPr>
                <w:rFonts w:eastAsia="Times New Roman" w:cs="Arial"/>
                <w:color w:val="000000"/>
                <w:lang w:val="es-CO" w:eastAsia="es-CO"/>
              </w:rPr>
              <w:t>Bienestar institucional</w:t>
            </w:r>
          </w:p>
        </w:tc>
        <w:tc>
          <w:tcPr>
            <w:tcW w:w="1420" w:type="dxa"/>
            <w:tcBorders>
              <w:top w:val="nil"/>
              <w:left w:val="nil"/>
              <w:bottom w:val="single" w:sz="4" w:space="0" w:color="auto"/>
              <w:right w:val="single" w:sz="4" w:space="0" w:color="auto"/>
            </w:tcBorders>
            <w:shd w:val="clear" w:color="auto" w:fill="auto"/>
            <w:vAlign w:val="center"/>
            <w:hideMark/>
          </w:tcPr>
          <w:p w:rsidR="00475419" w:rsidRPr="00932AE7" w:rsidRDefault="00475419" w:rsidP="005678E7">
            <w:pPr>
              <w:spacing w:after="0"/>
              <w:jc w:val="center"/>
              <w:rPr>
                <w:rFonts w:eastAsia="Times New Roman" w:cs="Arial"/>
                <w:color w:val="000000"/>
                <w:lang w:val="es-CO" w:eastAsia="es-CO"/>
              </w:rPr>
            </w:pPr>
            <w:r w:rsidRPr="00932AE7">
              <w:rPr>
                <w:rFonts w:eastAsia="Times New Roman" w:cs="Arial"/>
                <w:color w:val="000000"/>
                <w:lang w:val="es-CO" w:eastAsia="es-CO"/>
              </w:rPr>
              <w:t>93,46%</w:t>
            </w:r>
          </w:p>
        </w:tc>
        <w:tc>
          <w:tcPr>
            <w:tcW w:w="1420" w:type="dxa"/>
            <w:tcBorders>
              <w:top w:val="nil"/>
              <w:left w:val="nil"/>
              <w:bottom w:val="single" w:sz="4" w:space="0" w:color="auto"/>
              <w:right w:val="single" w:sz="4" w:space="0" w:color="auto"/>
            </w:tcBorders>
            <w:shd w:val="clear" w:color="auto" w:fill="auto"/>
            <w:vAlign w:val="center"/>
            <w:hideMark/>
          </w:tcPr>
          <w:p w:rsidR="00475419" w:rsidRPr="00932AE7" w:rsidRDefault="00475419" w:rsidP="005678E7">
            <w:pPr>
              <w:spacing w:after="0"/>
              <w:jc w:val="center"/>
              <w:rPr>
                <w:rFonts w:eastAsia="Times New Roman" w:cs="Arial"/>
                <w:color w:val="000000"/>
                <w:lang w:val="es-CO" w:eastAsia="es-CO"/>
              </w:rPr>
            </w:pPr>
            <w:r w:rsidRPr="00932AE7">
              <w:rPr>
                <w:rFonts w:eastAsia="Times New Roman" w:cs="Arial"/>
                <w:color w:val="000000"/>
                <w:lang w:val="es-CO" w:eastAsia="es-CO"/>
              </w:rPr>
              <w:t>11,90%</w:t>
            </w:r>
          </w:p>
        </w:tc>
        <w:tc>
          <w:tcPr>
            <w:tcW w:w="1720" w:type="dxa"/>
            <w:tcBorders>
              <w:top w:val="nil"/>
              <w:left w:val="nil"/>
              <w:bottom w:val="single" w:sz="4" w:space="0" w:color="auto"/>
              <w:right w:val="single" w:sz="8" w:space="0" w:color="auto"/>
            </w:tcBorders>
            <w:shd w:val="clear" w:color="000000" w:fill="DCE6F1"/>
            <w:vAlign w:val="center"/>
            <w:hideMark/>
          </w:tcPr>
          <w:p w:rsidR="00475419" w:rsidRPr="00932AE7" w:rsidRDefault="00475419" w:rsidP="005678E7">
            <w:pPr>
              <w:spacing w:after="0"/>
              <w:jc w:val="center"/>
              <w:rPr>
                <w:rFonts w:eastAsia="Times New Roman" w:cs="Arial"/>
                <w:color w:val="000000"/>
                <w:lang w:val="es-CO" w:eastAsia="es-CO"/>
              </w:rPr>
            </w:pPr>
            <w:r w:rsidRPr="00932AE7">
              <w:rPr>
                <w:rFonts w:eastAsia="Times New Roman" w:cs="Arial"/>
                <w:color w:val="000000"/>
                <w:lang w:val="es-CO" w:eastAsia="es-CO"/>
              </w:rPr>
              <w:t>11,12%</w:t>
            </w:r>
          </w:p>
        </w:tc>
      </w:tr>
      <w:tr w:rsidR="00475419" w:rsidRPr="00932AE7" w:rsidTr="005678E7">
        <w:trPr>
          <w:trHeight w:val="300"/>
        </w:trPr>
        <w:tc>
          <w:tcPr>
            <w:tcW w:w="4120" w:type="dxa"/>
            <w:tcBorders>
              <w:top w:val="nil"/>
              <w:left w:val="single" w:sz="8" w:space="0" w:color="auto"/>
              <w:bottom w:val="single" w:sz="4" w:space="0" w:color="auto"/>
              <w:right w:val="single" w:sz="4" w:space="0" w:color="auto"/>
            </w:tcBorders>
            <w:shd w:val="clear" w:color="auto" w:fill="auto"/>
            <w:vAlign w:val="center"/>
            <w:hideMark/>
          </w:tcPr>
          <w:p w:rsidR="00475419" w:rsidRPr="00932AE7" w:rsidRDefault="00475419" w:rsidP="005678E7">
            <w:pPr>
              <w:spacing w:after="0"/>
              <w:jc w:val="left"/>
              <w:rPr>
                <w:rFonts w:eastAsia="Times New Roman" w:cs="Arial"/>
                <w:color w:val="000000"/>
                <w:lang w:val="es-CO" w:eastAsia="es-CO"/>
              </w:rPr>
            </w:pPr>
            <w:r w:rsidRPr="00932AE7">
              <w:rPr>
                <w:rFonts w:eastAsia="Times New Roman" w:cs="Arial"/>
                <w:color w:val="000000"/>
                <w:lang w:val="es-CO" w:eastAsia="es-CO"/>
              </w:rPr>
              <w:t>Investigación, innovación y extensión</w:t>
            </w:r>
          </w:p>
        </w:tc>
        <w:tc>
          <w:tcPr>
            <w:tcW w:w="1420" w:type="dxa"/>
            <w:tcBorders>
              <w:top w:val="nil"/>
              <w:left w:val="nil"/>
              <w:bottom w:val="single" w:sz="4" w:space="0" w:color="auto"/>
              <w:right w:val="single" w:sz="4" w:space="0" w:color="auto"/>
            </w:tcBorders>
            <w:shd w:val="clear" w:color="auto" w:fill="auto"/>
            <w:vAlign w:val="center"/>
            <w:hideMark/>
          </w:tcPr>
          <w:p w:rsidR="00475419" w:rsidRPr="00932AE7" w:rsidRDefault="00475419" w:rsidP="005678E7">
            <w:pPr>
              <w:spacing w:after="0"/>
              <w:jc w:val="center"/>
              <w:rPr>
                <w:rFonts w:eastAsia="Times New Roman" w:cs="Arial"/>
                <w:color w:val="000000"/>
                <w:lang w:val="es-CO" w:eastAsia="es-CO"/>
              </w:rPr>
            </w:pPr>
            <w:r w:rsidRPr="00932AE7">
              <w:rPr>
                <w:rFonts w:eastAsia="Times New Roman" w:cs="Arial"/>
                <w:color w:val="000000"/>
                <w:lang w:val="es-CO" w:eastAsia="es-CO"/>
              </w:rPr>
              <w:t>88,83%</w:t>
            </w:r>
          </w:p>
        </w:tc>
        <w:tc>
          <w:tcPr>
            <w:tcW w:w="1420" w:type="dxa"/>
            <w:tcBorders>
              <w:top w:val="nil"/>
              <w:left w:val="nil"/>
              <w:bottom w:val="single" w:sz="4" w:space="0" w:color="auto"/>
              <w:right w:val="single" w:sz="4" w:space="0" w:color="auto"/>
            </w:tcBorders>
            <w:shd w:val="clear" w:color="auto" w:fill="auto"/>
            <w:vAlign w:val="center"/>
            <w:hideMark/>
          </w:tcPr>
          <w:p w:rsidR="00475419" w:rsidRPr="00932AE7" w:rsidRDefault="00475419" w:rsidP="005678E7">
            <w:pPr>
              <w:spacing w:after="0"/>
              <w:jc w:val="center"/>
              <w:rPr>
                <w:rFonts w:eastAsia="Times New Roman" w:cs="Arial"/>
                <w:color w:val="000000"/>
                <w:lang w:val="es-CO" w:eastAsia="es-CO"/>
              </w:rPr>
            </w:pPr>
            <w:r w:rsidRPr="00932AE7">
              <w:rPr>
                <w:rFonts w:eastAsia="Times New Roman" w:cs="Arial"/>
                <w:color w:val="000000"/>
                <w:lang w:val="es-CO" w:eastAsia="es-CO"/>
              </w:rPr>
              <w:t>23,30%</w:t>
            </w:r>
          </w:p>
        </w:tc>
        <w:tc>
          <w:tcPr>
            <w:tcW w:w="1720" w:type="dxa"/>
            <w:tcBorders>
              <w:top w:val="nil"/>
              <w:left w:val="nil"/>
              <w:bottom w:val="single" w:sz="4" w:space="0" w:color="auto"/>
              <w:right w:val="single" w:sz="8" w:space="0" w:color="auto"/>
            </w:tcBorders>
            <w:shd w:val="clear" w:color="000000" w:fill="DCE6F1"/>
            <w:vAlign w:val="center"/>
            <w:hideMark/>
          </w:tcPr>
          <w:p w:rsidR="00475419" w:rsidRPr="00932AE7" w:rsidRDefault="00475419" w:rsidP="005678E7">
            <w:pPr>
              <w:spacing w:after="0"/>
              <w:jc w:val="center"/>
              <w:rPr>
                <w:rFonts w:eastAsia="Times New Roman" w:cs="Arial"/>
                <w:color w:val="000000"/>
                <w:lang w:val="es-CO" w:eastAsia="es-CO"/>
              </w:rPr>
            </w:pPr>
            <w:r w:rsidRPr="00932AE7">
              <w:rPr>
                <w:rFonts w:eastAsia="Times New Roman" w:cs="Arial"/>
                <w:color w:val="000000"/>
                <w:lang w:val="es-CO" w:eastAsia="es-CO"/>
              </w:rPr>
              <w:t>20,70%</w:t>
            </w:r>
          </w:p>
        </w:tc>
      </w:tr>
      <w:tr w:rsidR="00475419" w:rsidRPr="00932AE7" w:rsidTr="005678E7">
        <w:trPr>
          <w:trHeight w:val="300"/>
        </w:trPr>
        <w:tc>
          <w:tcPr>
            <w:tcW w:w="4120" w:type="dxa"/>
            <w:tcBorders>
              <w:top w:val="nil"/>
              <w:left w:val="single" w:sz="8" w:space="0" w:color="auto"/>
              <w:bottom w:val="single" w:sz="4" w:space="0" w:color="auto"/>
              <w:right w:val="single" w:sz="4" w:space="0" w:color="auto"/>
            </w:tcBorders>
            <w:shd w:val="clear" w:color="auto" w:fill="auto"/>
            <w:vAlign w:val="center"/>
            <w:hideMark/>
          </w:tcPr>
          <w:p w:rsidR="00475419" w:rsidRPr="00932AE7" w:rsidRDefault="00475419" w:rsidP="005678E7">
            <w:pPr>
              <w:spacing w:after="0"/>
              <w:jc w:val="left"/>
              <w:rPr>
                <w:rFonts w:eastAsia="Times New Roman" w:cs="Arial"/>
                <w:color w:val="000000"/>
                <w:lang w:val="es-CO" w:eastAsia="es-CO"/>
              </w:rPr>
            </w:pPr>
            <w:r w:rsidRPr="00932AE7">
              <w:rPr>
                <w:rFonts w:eastAsia="Times New Roman" w:cs="Arial"/>
                <w:color w:val="000000"/>
                <w:lang w:val="es-CO" w:eastAsia="es-CO"/>
              </w:rPr>
              <w:t>Internacionalización</w:t>
            </w:r>
          </w:p>
        </w:tc>
        <w:tc>
          <w:tcPr>
            <w:tcW w:w="1420" w:type="dxa"/>
            <w:tcBorders>
              <w:top w:val="nil"/>
              <w:left w:val="nil"/>
              <w:bottom w:val="single" w:sz="4" w:space="0" w:color="auto"/>
              <w:right w:val="single" w:sz="4" w:space="0" w:color="auto"/>
            </w:tcBorders>
            <w:shd w:val="clear" w:color="auto" w:fill="auto"/>
            <w:vAlign w:val="center"/>
            <w:hideMark/>
          </w:tcPr>
          <w:p w:rsidR="00475419" w:rsidRPr="00932AE7" w:rsidRDefault="00475419" w:rsidP="005678E7">
            <w:pPr>
              <w:spacing w:after="0"/>
              <w:jc w:val="center"/>
              <w:rPr>
                <w:rFonts w:eastAsia="Times New Roman" w:cs="Arial"/>
                <w:color w:val="000000"/>
                <w:lang w:val="es-CO" w:eastAsia="es-CO"/>
              </w:rPr>
            </w:pPr>
            <w:r w:rsidRPr="00932AE7">
              <w:rPr>
                <w:rFonts w:eastAsia="Times New Roman" w:cs="Arial"/>
                <w:color w:val="000000"/>
                <w:lang w:val="es-CO" w:eastAsia="es-CO"/>
              </w:rPr>
              <w:t>99,94%</w:t>
            </w:r>
          </w:p>
        </w:tc>
        <w:tc>
          <w:tcPr>
            <w:tcW w:w="1420" w:type="dxa"/>
            <w:tcBorders>
              <w:top w:val="nil"/>
              <w:left w:val="nil"/>
              <w:bottom w:val="single" w:sz="4" w:space="0" w:color="auto"/>
              <w:right w:val="single" w:sz="4" w:space="0" w:color="auto"/>
            </w:tcBorders>
            <w:shd w:val="clear" w:color="auto" w:fill="auto"/>
            <w:vAlign w:val="center"/>
            <w:hideMark/>
          </w:tcPr>
          <w:p w:rsidR="00475419" w:rsidRPr="00932AE7" w:rsidRDefault="00475419" w:rsidP="005678E7">
            <w:pPr>
              <w:spacing w:after="0"/>
              <w:jc w:val="center"/>
              <w:rPr>
                <w:rFonts w:eastAsia="Times New Roman" w:cs="Arial"/>
                <w:color w:val="000000"/>
                <w:lang w:val="es-CO" w:eastAsia="es-CO"/>
              </w:rPr>
            </w:pPr>
            <w:r w:rsidRPr="00932AE7">
              <w:rPr>
                <w:rFonts w:eastAsia="Times New Roman" w:cs="Arial"/>
                <w:color w:val="000000"/>
                <w:lang w:val="es-CO" w:eastAsia="es-CO"/>
              </w:rPr>
              <w:t>10,60%</w:t>
            </w:r>
          </w:p>
        </w:tc>
        <w:tc>
          <w:tcPr>
            <w:tcW w:w="1720" w:type="dxa"/>
            <w:tcBorders>
              <w:top w:val="nil"/>
              <w:left w:val="nil"/>
              <w:bottom w:val="single" w:sz="4" w:space="0" w:color="auto"/>
              <w:right w:val="single" w:sz="8" w:space="0" w:color="auto"/>
            </w:tcBorders>
            <w:shd w:val="clear" w:color="000000" w:fill="DCE6F1"/>
            <w:vAlign w:val="center"/>
            <w:hideMark/>
          </w:tcPr>
          <w:p w:rsidR="00475419" w:rsidRPr="00932AE7" w:rsidRDefault="00475419" w:rsidP="005678E7">
            <w:pPr>
              <w:spacing w:after="0"/>
              <w:jc w:val="center"/>
              <w:rPr>
                <w:rFonts w:eastAsia="Times New Roman" w:cs="Arial"/>
                <w:color w:val="000000"/>
                <w:lang w:val="es-CO" w:eastAsia="es-CO"/>
              </w:rPr>
            </w:pPr>
            <w:r w:rsidRPr="00932AE7">
              <w:rPr>
                <w:rFonts w:eastAsia="Times New Roman" w:cs="Arial"/>
                <w:color w:val="000000"/>
                <w:lang w:val="es-CO" w:eastAsia="es-CO"/>
              </w:rPr>
              <w:t>10,59%</w:t>
            </w:r>
          </w:p>
        </w:tc>
      </w:tr>
      <w:tr w:rsidR="00475419" w:rsidRPr="00932AE7" w:rsidTr="005678E7">
        <w:trPr>
          <w:trHeight w:val="300"/>
        </w:trPr>
        <w:tc>
          <w:tcPr>
            <w:tcW w:w="4120" w:type="dxa"/>
            <w:tcBorders>
              <w:top w:val="nil"/>
              <w:left w:val="single" w:sz="8" w:space="0" w:color="auto"/>
              <w:bottom w:val="single" w:sz="4" w:space="0" w:color="auto"/>
              <w:right w:val="single" w:sz="4" w:space="0" w:color="auto"/>
            </w:tcBorders>
            <w:shd w:val="clear" w:color="auto" w:fill="auto"/>
            <w:vAlign w:val="center"/>
            <w:hideMark/>
          </w:tcPr>
          <w:p w:rsidR="00475419" w:rsidRPr="00932AE7" w:rsidRDefault="00475419" w:rsidP="005678E7">
            <w:pPr>
              <w:spacing w:after="0"/>
              <w:jc w:val="left"/>
              <w:rPr>
                <w:rFonts w:eastAsia="Times New Roman" w:cs="Arial"/>
                <w:color w:val="000000"/>
                <w:lang w:val="es-CO" w:eastAsia="es-CO"/>
              </w:rPr>
            </w:pPr>
            <w:r w:rsidRPr="00932AE7">
              <w:rPr>
                <w:rFonts w:eastAsia="Times New Roman" w:cs="Arial"/>
                <w:color w:val="000000"/>
                <w:lang w:val="es-CO" w:eastAsia="es-CO"/>
              </w:rPr>
              <w:t>Impacto regional</w:t>
            </w:r>
          </w:p>
        </w:tc>
        <w:tc>
          <w:tcPr>
            <w:tcW w:w="1420" w:type="dxa"/>
            <w:tcBorders>
              <w:top w:val="nil"/>
              <w:left w:val="nil"/>
              <w:bottom w:val="single" w:sz="4" w:space="0" w:color="auto"/>
              <w:right w:val="single" w:sz="4" w:space="0" w:color="auto"/>
            </w:tcBorders>
            <w:shd w:val="clear" w:color="auto" w:fill="auto"/>
            <w:vAlign w:val="center"/>
            <w:hideMark/>
          </w:tcPr>
          <w:p w:rsidR="00475419" w:rsidRPr="00932AE7" w:rsidRDefault="00475419" w:rsidP="005678E7">
            <w:pPr>
              <w:spacing w:after="0"/>
              <w:jc w:val="center"/>
              <w:rPr>
                <w:rFonts w:eastAsia="Times New Roman" w:cs="Arial"/>
                <w:color w:val="000000"/>
                <w:lang w:val="es-CO" w:eastAsia="es-CO"/>
              </w:rPr>
            </w:pPr>
            <w:r w:rsidRPr="00932AE7">
              <w:rPr>
                <w:rFonts w:eastAsia="Times New Roman" w:cs="Arial"/>
                <w:color w:val="000000"/>
                <w:lang w:val="es-CO" w:eastAsia="es-CO"/>
              </w:rPr>
              <w:t>98,48%</w:t>
            </w:r>
          </w:p>
        </w:tc>
        <w:tc>
          <w:tcPr>
            <w:tcW w:w="1420" w:type="dxa"/>
            <w:tcBorders>
              <w:top w:val="nil"/>
              <w:left w:val="nil"/>
              <w:bottom w:val="single" w:sz="4" w:space="0" w:color="auto"/>
              <w:right w:val="single" w:sz="4" w:space="0" w:color="auto"/>
            </w:tcBorders>
            <w:shd w:val="clear" w:color="auto" w:fill="auto"/>
            <w:vAlign w:val="center"/>
            <w:hideMark/>
          </w:tcPr>
          <w:p w:rsidR="00475419" w:rsidRPr="00932AE7" w:rsidRDefault="00475419" w:rsidP="005678E7">
            <w:pPr>
              <w:spacing w:after="0"/>
              <w:jc w:val="center"/>
              <w:rPr>
                <w:rFonts w:eastAsia="Times New Roman" w:cs="Arial"/>
                <w:color w:val="000000"/>
                <w:lang w:val="es-CO" w:eastAsia="es-CO"/>
              </w:rPr>
            </w:pPr>
            <w:r w:rsidRPr="00932AE7">
              <w:rPr>
                <w:rFonts w:eastAsia="Times New Roman" w:cs="Arial"/>
                <w:color w:val="000000"/>
                <w:lang w:val="es-CO" w:eastAsia="es-CO"/>
              </w:rPr>
              <w:t>11,30%</w:t>
            </w:r>
          </w:p>
        </w:tc>
        <w:tc>
          <w:tcPr>
            <w:tcW w:w="1720" w:type="dxa"/>
            <w:tcBorders>
              <w:top w:val="nil"/>
              <w:left w:val="nil"/>
              <w:bottom w:val="single" w:sz="4" w:space="0" w:color="auto"/>
              <w:right w:val="single" w:sz="8" w:space="0" w:color="auto"/>
            </w:tcBorders>
            <w:shd w:val="clear" w:color="000000" w:fill="DCE6F1"/>
            <w:vAlign w:val="center"/>
            <w:hideMark/>
          </w:tcPr>
          <w:p w:rsidR="00475419" w:rsidRPr="00932AE7" w:rsidRDefault="00475419" w:rsidP="005678E7">
            <w:pPr>
              <w:spacing w:after="0"/>
              <w:jc w:val="center"/>
              <w:rPr>
                <w:rFonts w:eastAsia="Times New Roman" w:cs="Arial"/>
                <w:color w:val="000000"/>
                <w:lang w:val="es-CO" w:eastAsia="es-CO"/>
              </w:rPr>
            </w:pPr>
            <w:r w:rsidRPr="00932AE7">
              <w:rPr>
                <w:rFonts w:eastAsia="Times New Roman" w:cs="Arial"/>
                <w:color w:val="000000"/>
                <w:lang w:val="es-CO" w:eastAsia="es-CO"/>
              </w:rPr>
              <w:t>11,13%</w:t>
            </w:r>
          </w:p>
        </w:tc>
      </w:tr>
      <w:tr w:rsidR="00475419" w:rsidRPr="00932AE7" w:rsidTr="005678E7">
        <w:trPr>
          <w:trHeight w:val="300"/>
        </w:trPr>
        <w:tc>
          <w:tcPr>
            <w:tcW w:w="4120" w:type="dxa"/>
            <w:tcBorders>
              <w:top w:val="nil"/>
              <w:left w:val="single" w:sz="8" w:space="0" w:color="auto"/>
              <w:bottom w:val="single" w:sz="4" w:space="0" w:color="auto"/>
              <w:right w:val="single" w:sz="4" w:space="0" w:color="auto"/>
            </w:tcBorders>
            <w:shd w:val="clear" w:color="auto" w:fill="auto"/>
            <w:vAlign w:val="center"/>
            <w:hideMark/>
          </w:tcPr>
          <w:p w:rsidR="00475419" w:rsidRPr="00932AE7" w:rsidRDefault="00475419" w:rsidP="005678E7">
            <w:pPr>
              <w:spacing w:after="0"/>
              <w:jc w:val="left"/>
              <w:rPr>
                <w:rFonts w:eastAsia="Times New Roman" w:cs="Arial"/>
                <w:color w:val="000000"/>
                <w:lang w:val="es-CO" w:eastAsia="es-CO"/>
              </w:rPr>
            </w:pPr>
            <w:r w:rsidRPr="00932AE7">
              <w:rPr>
                <w:rFonts w:eastAsia="Times New Roman" w:cs="Arial"/>
                <w:color w:val="000000"/>
                <w:lang w:val="es-CO" w:eastAsia="es-CO"/>
              </w:rPr>
              <w:t>Alianzas estratégicas</w:t>
            </w:r>
          </w:p>
        </w:tc>
        <w:tc>
          <w:tcPr>
            <w:tcW w:w="1420" w:type="dxa"/>
            <w:tcBorders>
              <w:top w:val="nil"/>
              <w:left w:val="nil"/>
              <w:bottom w:val="single" w:sz="4" w:space="0" w:color="auto"/>
              <w:right w:val="single" w:sz="4" w:space="0" w:color="auto"/>
            </w:tcBorders>
            <w:shd w:val="clear" w:color="auto" w:fill="auto"/>
            <w:vAlign w:val="center"/>
            <w:hideMark/>
          </w:tcPr>
          <w:p w:rsidR="00475419" w:rsidRPr="00932AE7" w:rsidRDefault="00475419" w:rsidP="005678E7">
            <w:pPr>
              <w:spacing w:after="0"/>
              <w:jc w:val="center"/>
              <w:rPr>
                <w:rFonts w:eastAsia="Times New Roman" w:cs="Arial"/>
                <w:color w:val="000000"/>
                <w:lang w:val="es-CO" w:eastAsia="es-CO"/>
              </w:rPr>
            </w:pPr>
            <w:r w:rsidRPr="00932AE7">
              <w:rPr>
                <w:rFonts w:eastAsia="Times New Roman" w:cs="Arial"/>
                <w:color w:val="000000"/>
                <w:lang w:val="es-CO" w:eastAsia="es-CO"/>
              </w:rPr>
              <w:t>98,98%</w:t>
            </w:r>
          </w:p>
        </w:tc>
        <w:tc>
          <w:tcPr>
            <w:tcW w:w="1420" w:type="dxa"/>
            <w:tcBorders>
              <w:top w:val="nil"/>
              <w:left w:val="nil"/>
              <w:bottom w:val="single" w:sz="4" w:space="0" w:color="auto"/>
              <w:right w:val="single" w:sz="4" w:space="0" w:color="auto"/>
            </w:tcBorders>
            <w:shd w:val="clear" w:color="auto" w:fill="auto"/>
            <w:vAlign w:val="center"/>
            <w:hideMark/>
          </w:tcPr>
          <w:p w:rsidR="00475419" w:rsidRPr="00932AE7" w:rsidRDefault="00475419" w:rsidP="005678E7">
            <w:pPr>
              <w:spacing w:after="0"/>
              <w:jc w:val="center"/>
              <w:rPr>
                <w:rFonts w:eastAsia="Times New Roman" w:cs="Arial"/>
                <w:color w:val="000000"/>
                <w:lang w:val="es-CO" w:eastAsia="es-CO"/>
              </w:rPr>
            </w:pPr>
            <w:r w:rsidRPr="00932AE7">
              <w:rPr>
                <w:rFonts w:eastAsia="Times New Roman" w:cs="Arial"/>
                <w:color w:val="000000"/>
                <w:lang w:val="es-CO" w:eastAsia="es-CO"/>
              </w:rPr>
              <w:t>10,30%</w:t>
            </w:r>
          </w:p>
        </w:tc>
        <w:tc>
          <w:tcPr>
            <w:tcW w:w="1720" w:type="dxa"/>
            <w:tcBorders>
              <w:top w:val="nil"/>
              <w:left w:val="nil"/>
              <w:bottom w:val="single" w:sz="4" w:space="0" w:color="auto"/>
              <w:right w:val="single" w:sz="8" w:space="0" w:color="auto"/>
            </w:tcBorders>
            <w:shd w:val="clear" w:color="000000" w:fill="DCE6F1"/>
            <w:vAlign w:val="center"/>
            <w:hideMark/>
          </w:tcPr>
          <w:p w:rsidR="00475419" w:rsidRPr="00932AE7" w:rsidRDefault="00475419" w:rsidP="005678E7">
            <w:pPr>
              <w:spacing w:after="0"/>
              <w:jc w:val="center"/>
              <w:rPr>
                <w:rFonts w:eastAsia="Times New Roman" w:cs="Arial"/>
                <w:color w:val="000000"/>
                <w:lang w:val="es-CO" w:eastAsia="es-CO"/>
              </w:rPr>
            </w:pPr>
            <w:r w:rsidRPr="00932AE7">
              <w:rPr>
                <w:rFonts w:eastAsia="Times New Roman" w:cs="Arial"/>
                <w:color w:val="000000"/>
                <w:lang w:val="es-CO" w:eastAsia="es-CO"/>
              </w:rPr>
              <w:t>10,20%</w:t>
            </w:r>
          </w:p>
        </w:tc>
      </w:tr>
      <w:tr w:rsidR="00475419" w:rsidRPr="00932AE7" w:rsidTr="005678E7">
        <w:trPr>
          <w:trHeight w:val="315"/>
        </w:trPr>
        <w:tc>
          <w:tcPr>
            <w:tcW w:w="6960" w:type="dxa"/>
            <w:gridSpan w:val="3"/>
            <w:tcBorders>
              <w:top w:val="single" w:sz="4" w:space="0" w:color="auto"/>
              <w:left w:val="single" w:sz="8" w:space="0" w:color="auto"/>
              <w:bottom w:val="single" w:sz="8" w:space="0" w:color="auto"/>
              <w:right w:val="single" w:sz="4" w:space="0" w:color="auto"/>
            </w:tcBorders>
            <w:shd w:val="clear" w:color="000000" w:fill="B8CCE4"/>
            <w:vAlign w:val="center"/>
            <w:hideMark/>
          </w:tcPr>
          <w:p w:rsidR="00475419" w:rsidRPr="00932AE7" w:rsidRDefault="00475419" w:rsidP="005678E7">
            <w:pPr>
              <w:spacing w:after="0"/>
              <w:jc w:val="center"/>
              <w:rPr>
                <w:rFonts w:eastAsia="Times New Roman" w:cs="Arial"/>
                <w:b/>
                <w:bCs/>
                <w:color w:val="000000"/>
                <w:lang w:val="es-CO" w:eastAsia="es-CO"/>
              </w:rPr>
            </w:pPr>
            <w:r w:rsidRPr="00932AE7">
              <w:rPr>
                <w:rFonts w:eastAsia="Times New Roman" w:cs="Arial"/>
                <w:b/>
                <w:bCs/>
                <w:color w:val="000000"/>
                <w:lang w:val="es-CO" w:eastAsia="es-CO"/>
              </w:rPr>
              <w:t xml:space="preserve">Resultados a nivel de </w:t>
            </w:r>
            <w:r>
              <w:rPr>
                <w:rFonts w:eastAsia="Times New Roman" w:cs="Arial"/>
                <w:b/>
                <w:bCs/>
                <w:color w:val="000000"/>
                <w:lang w:val="es-CO" w:eastAsia="es-CO"/>
              </w:rPr>
              <w:t>Proyectos</w:t>
            </w:r>
          </w:p>
        </w:tc>
        <w:tc>
          <w:tcPr>
            <w:tcW w:w="1720" w:type="dxa"/>
            <w:tcBorders>
              <w:top w:val="nil"/>
              <w:left w:val="nil"/>
              <w:bottom w:val="single" w:sz="8" w:space="0" w:color="auto"/>
              <w:right w:val="single" w:sz="8" w:space="0" w:color="auto"/>
            </w:tcBorders>
            <w:shd w:val="clear" w:color="000000" w:fill="B8CCE4"/>
            <w:vAlign w:val="center"/>
            <w:hideMark/>
          </w:tcPr>
          <w:p w:rsidR="00475419" w:rsidRPr="00932AE7" w:rsidRDefault="00475419" w:rsidP="005678E7">
            <w:pPr>
              <w:spacing w:after="0"/>
              <w:jc w:val="center"/>
              <w:rPr>
                <w:rFonts w:eastAsia="Times New Roman" w:cs="Arial"/>
                <w:b/>
                <w:bCs/>
                <w:color w:val="000000"/>
                <w:lang w:val="es-CO" w:eastAsia="es-CO"/>
              </w:rPr>
            </w:pPr>
            <w:r w:rsidRPr="00932AE7">
              <w:rPr>
                <w:rFonts w:eastAsia="Times New Roman" w:cs="Arial"/>
                <w:b/>
                <w:bCs/>
                <w:color w:val="000000"/>
                <w:lang w:val="es-CO" w:eastAsia="es-CO"/>
              </w:rPr>
              <w:t>94,74%</w:t>
            </w:r>
          </w:p>
        </w:tc>
      </w:tr>
    </w:tbl>
    <w:p w:rsidR="00475419" w:rsidRPr="00932AE7" w:rsidRDefault="00475419" w:rsidP="00475419">
      <w:pPr>
        <w:spacing w:line="276" w:lineRule="auto"/>
        <w:jc w:val="center"/>
        <w:rPr>
          <w:rFonts w:asciiTheme="minorHAnsi" w:hAnsiTheme="minorHAnsi" w:cs="Arial"/>
          <w:b/>
        </w:rPr>
      </w:pPr>
      <w:r w:rsidRPr="00932AE7">
        <w:rPr>
          <w:rFonts w:asciiTheme="minorHAnsi" w:hAnsiTheme="minorHAnsi" w:cs="Arial"/>
          <w:b/>
        </w:rPr>
        <w:t>Fuente: SIGOB</w:t>
      </w:r>
    </w:p>
    <w:p w:rsidR="00475419" w:rsidRPr="00535E30" w:rsidRDefault="00475419" w:rsidP="00475419">
      <w:pPr>
        <w:spacing w:line="276" w:lineRule="auto"/>
        <w:rPr>
          <w:rFonts w:asciiTheme="minorHAnsi" w:hAnsiTheme="minorHAnsi" w:cs="Arial"/>
        </w:rPr>
      </w:pPr>
      <w:r>
        <w:rPr>
          <w:noProof/>
          <w:lang w:val="es-CO" w:eastAsia="es-CO"/>
        </w:rPr>
        <w:lastRenderedPageBreak/>
        <w:drawing>
          <wp:inline distT="0" distB="0" distL="0" distR="0">
            <wp:extent cx="4572000" cy="3176588"/>
            <wp:effectExtent l="0" t="0" r="0" b="5080"/>
            <wp:docPr id="28" name="Gráfico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102"/>
              </a:graphicData>
            </a:graphic>
          </wp:inline>
        </w:drawing>
      </w:r>
    </w:p>
    <w:p w:rsidR="00475419" w:rsidRPr="00535E30" w:rsidRDefault="00475419" w:rsidP="00475419">
      <w:pPr>
        <w:spacing w:line="276" w:lineRule="auto"/>
        <w:rPr>
          <w:rFonts w:asciiTheme="minorHAnsi" w:hAnsiTheme="minorHAnsi" w:cs="Arial"/>
          <w:b/>
        </w:rPr>
      </w:pPr>
    </w:p>
    <w:p w:rsidR="00475419" w:rsidRPr="00535E30" w:rsidRDefault="00475419" w:rsidP="00475419">
      <w:pPr>
        <w:pStyle w:val="Ttulo2"/>
        <w:spacing w:line="276" w:lineRule="auto"/>
      </w:pPr>
      <w:bookmarkStart w:id="204" w:name="_Toc347392859"/>
      <w:bookmarkStart w:id="205" w:name="_Toc350957795"/>
      <w:bookmarkStart w:id="206" w:name="_Toc354671388"/>
      <w:r w:rsidRPr="00535E30">
        <w:rPr>
          <w:caps w:val="0"/>
        </w:rPr>
        <w:t>PROYECTOS DESARROLLO INSTITUCIONAL</w:t>
      </w:r>
      <w:bookmarkEnd w:id="204"/>
      <w:bookmarkEnd w:id="205"/>
      <w:bookmarkEnd w:id="206"/>
    </w:p>
    <w:p w:rsidR="00475419" w:rsidRPr="00535E30" w:rsidRDefault="00475419" w:rsidP="00475419">
      <w:pPr>
        <w:spacing w:line="276" w:lineRule="auto"/>
        <w:rPr>
          <w:rFonts w:asciiTheme="minorHAnsi" w:hAnsiTheme="minorHAnsi"/>
        </w:rPr>
      </w:pPr>
    </w:p>
    <w:p w:rsidR="00475419" w:rsidRPr="00535E30" w:rsidRDefault="00475419" w:rsidP="00475419">
      <w:pPr>
        <w:spacing w:line="276" w:lineRule="auto"/>
        <w:rPr>
          <w:rFonts w:asciiTheme="minorHAnsi" w:hAnsiTheme="minorHAnsi" w:cs="Arial"/>
        </w:rPr>
      </w:pPr>
      <w:r w:rsidRPr="00535E30">
        <w:rPr>
          <w:rFonts w:asciiTheme="minorHAnsi" w:hAnsiTheme="minorHAnsi" w:cs="Arial"/>
        </w:rPr>
        <w:t xml:space="preserve">Dicho objetivo se encuentra estructurado por cuatro proyectos institucionales: desarrollo físico sostenible, desarrollo informático y de comunicaciones, desarrollo humano y organizacional y desarrollo financiero. </w:t>
      </w:r>
    </w:p>
    <w:p w:rsidR="00475419" w:rsidRPr="00535E30" w:rsidRDefault="00475419" w:rsidP="00475419">
      <w:pPr>
        <w:spacing w:line="276" w:lineRule="auto"/>
        <w:rPr>
          <w:rFonts w:asciiTheme="minorHAnsi" w:hAnsiTheme="minorHAnsi" w:cs="Arial"/>
        </w:rPr>
      </w:pPr>
      <w:r w:rsidRPr="00535E30">
        <w:rPr>
          <w:rFonts w:asciiTheme="minorHAnsi" w:hAnsiTheme="minorHAnsi" w:cs="Arial"/>
          <w:i/>
          <w:u w:val="single"/>
        </w:rPr>
        <w:t>El desarrollo físico sostenible</w:t>
      </w:r>
      <w:r w:rsidRPr="00535E30">
        <w:rPr>
          <w:rFonts w:asciiTheme="minorHAnsi" w:hAnsiTheme="minorHAnsi" w:cs="Arial"/>
        </w:rPr>
        <w:t xml:space="preserve"> está enmarcado en la planeación e intervención del campus universitario, su planta física y sus sedes alternas, con la definición y construcción de proyectos que eleven el índice de construcción, la cobertura de los equipamientos y la atención a solicitudes.</w:t>
      </w:r>
    </w:p>
    <w:p w:rsidR="00475419" w:rsidRPr="00535E30" w:rsidRDefault="00475419" w:rsidP="00475419">
      <w:pPr>
        <w:spacing w:line="276" w:lineRule="auto"/>
        <w:rPr>
          <w:rFonts w:asciiTheme="minorHAnsi" w:hAnsiTheme="minorHAnsi" w:cs="Arial"/>
        </w:rPr>
      </w:pPr>
      <w:r w:rsidRPr="00535E30">
        <w:rPr>
          <w:rFonts w:asciiTheme="minorHAnsi" w:hAnsiTheme="minorHAnsi" w:cs="Arial"/>
          <w:i/>
          <w:u w:val="single"/>
        </w:rPr>
        <w:t>El desarrollo informático y de comunicaciones</w:t>
      </w:r>
      <w:r w:rsidRPr="00535E30">
        <w:rPr>
          <w:rFonts w:asciiTheme="minorHAnsi" w:hAnsiTheme="minorHAnsi" w:cs="Arial"/>
        </w:rPr>
        <w:t xml:space="preserve"> le permite a la Universidad fortalecer su plataforma tecnológica mediante la implementación e integración de los sistemas de comunicación e información, la sostenibilidad de hardware y software  y la automatización de los recursos físicos para el mejoramiento de los procesos.</w:t>
      </w:r>
    </w:p>
    <w:p w:rsidR="00475419" w:rsidRPr="00535E30" w:rsidRDefault="00475419" w:rsidP="00475419">
      <w:pPr>
        <w:spacing w:line="276" w:lineRule="auto"/>
        <w:rPr>
          <w:rFonts w:asciiTheme="minorHAnsi" w:hAnsiTheme="minorHAnsi" w:cs="Arial"/>
        </w:rPr>
      </w:pPr>
      <w:r w:rsidRPr="00535E30">
        <w:rPr>
          <w:rFonts w:asciiTheme="minorHAnsi" w:hAnsiTheme="minorHAnsi" w:cs="Arial"/>
          <w:i/>
          <w:u w:val="single"/>
        </w:rPr>
        <w:t>El Desarrollo humano y organizacional</w:t>
      </w:r>
      <w:r w:rsidRPr="00535E30">
        <w:rPr>
          <w:rFonts w:asciiTheme="minorHAnsi" w:hAnsiTheme="minorHAnsi" w:cs="Arial"/>
        </w:rPr>
        <w:t>, promueve estrategias relacionadas con la gestión del talento humano a través del fomento a la cultura organizacional, la implementación de procesos de gestión humana, la estructura organizacional y la gestión de la calidad.</w:t>
      </w:r>
    </w:p>
    <w:p w:rsidR="00475419" w:rsidRPr="00535E30" w:rsidRDefault="00475419" w:rsidP="00475419">
      <w:pPr>
        <w:spacing w:line="276" w:lineRule="auto"/>
        <w:rPr>
          <w:rFonts w:asciiTheme="minorHAnsi" w:hAnsiTheme="minorHAnsi" w:cs="Arial"/>
        </w:rPr>
      </w:pPr>
      <w:r w:rsidRPr="00535E30">
        <w:rPr>
          <w:rFonts w:asciiTheme="minorHAnsi" w:hAnsiTheme="minorHAnsi" w:cs="Arial"/>
          <w:i/>
          <w:u w:val="single"/>
        </w:rPr>
        <w:t>El desarrollo financiero</w:t>
      </w:r>
      <w:r w:rsidRPr="00535E30">
        <w:rPr>
          <w:rFonts w:asciiTheme="minorHAnsi" w:hAnsiTheme="minorHAnsi" w:cs="Arial"/>
        </w:rPr>
        <w:t>, realiza acciones para optimizar los recursos propios y de la Nación, incrementar los ingresos de la Institución a través de nuevas líneas de financiamiento y adoptar de políticas, procedimientos, simplificación de trámites que permitan la racionalización de los recursos</w:t>
      </w:r>
    </w:p>
    <w:p w:rsidR="00475419" w:rsidRPr="00535E30" w:rsidRDefault="00475419" w:rsidP="00475419">
      <w:pPr>
        <w:spacing w:line="276" w:lineRule="auto"/>
        <w:rPr>
          <w:rFonts w:asciiTheme="minorHAnsi" w:hAnsiTheme="minorHAnsi" w:cs="Arial"/>
        </w:rPr>
      </w:pPr>
    </w:p>
    <w:p w:rsidR="00475419" w:rsidRPr="00535E30" w:rsidRDefault="00475419" w:rsidP="00475419">
      <w:pPr>
        <w:spacing w:line="276" w:lineRule="auto"/>
        <w:rPr>
          <w:rFonts w:asciiTheme="minorHAnsi" w:hAnsiTheme="minorHAnsi" w:cs="Arial"/>
        </w:rPr>
      </w:pPr>
      <w:r w:rsidRPr="00535E30">
        <w:rPr>
          <w:rFonts w:asciiTheme="minorHAnsi" w:hAnsiTheme="minorHAnsi" w:cs="Arial"/>
        </w:rPr>
        <w:t xml:space="preserve">El resultado de avance general del objetivo institucional a nivel de proyectos fue del 92,20%. Los cuatro proyectos institucionales también presentaron un nivel de avance por encima del 80%. A continuación se presentan los avances: </w:t>
      </w:r>
    </w:p>
    <w:p w:rsidR="00475419" w:rsidRPr="00535E30" w:rsidRDefault="00475419" w:rsidP="00475419">
      <w:pPr>
        <w:spacing w:line="276" w:lineRule="auto"/>
        <w:rPr>
          <w:rFonts w:asciiTheme="minorHAnsi" w:hAnsiTheme="minorHAnsi" w:cs="Arial"/>
        </w:rPr>
      </w:pPr>
    </w:p>
    <w:tbl>
      <w:tblPr>
        <w:tblW w:w="4502" w:type="pct"/>
        <w:jc w:val="center"/>
        <w:tblCellMar>
          <w:left w:w="0" w:type="dxa"/>
          <w:right w:w="0" w:type="dxa"/>
        </w:tblCellMar>
        <w:tblLook w:val="04A0" w:firstRow="1" w:lastRow="0" w:firstColumn="1" w:lastColumn="0" w:noHBand="0" w:noVBand="1"/>
      </w:tblPr>
      <w:tblGrid>
        <w:gridCol w:w="1329"/>
        <w:gridCol w:w="3451"/>
        <w:gridCol w:w="1691"/>
        <w:gridCol w:w="1514"/>
      </w:tblGrid>
      <w:tr w:rsidR="00475419" w:rsidRPr="00535E30" w:rsidTr="005678E7">
        <w:trPr>
          <w:trHeight w:val="57"/>
          <w:tblHeader/>
          <w:jc w:val="center"/>
        </w:trPr>
        <w:tc>
          <w:tcPr>
            <w:tcW w:w="832"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20"/>
                <w:szCs w:val="20"/>
              </w:rPr>
            </w:pPr>
            <w:r w:rsidRPr="00535E30">
              <w:rPr>
                <w:rFonts w:asciiTheme="minorHAnsi" w:hAnsiTheme="minorHAnsi" w:cs="Arial"/>
                <w:b/>
                <w:bCs/>
                <w:sz w:val="20"/>
                <w:szCs w:val="20"/>
                <w:lang w:val="es-CO"/>
              </w:rPr>
              <w:t>Objetivo</w:t>
            </w:r>
          </w:p>
        </w:tc>
        <w:tc>
          <w:tcPr>
            <w:tcW w:w="2161"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20"/>
                <w:szCs w:val="20"/>
              </w:rPr>
            </w:pPr>
            <w:r w:rsidRPr="00535E30">
              <w:rPr>
                <w:rFonts w:asciiTheme="minorHAnsi" w:hAnsiTheme="minorHAnsi" w:cs="Arial"/>
                <w:b/>
                <w:bCs/>
                <w:sz w:val="20"/>
                <w:szCs w:val="20"/>
                <w:lang w:val="es-CO"/>
              </w:rPr>
              <w:t>Proyecto</w:t>
            </w:r>
          </w:p>
        </w:tc>
        <w:tc>
          <w:tcPr>
            <w:tcW w:w="1059"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20"/>
                <w:szCs w:val="20"/>
              </w:rPr>
            </w:pPr>
            <w:r w:rsidRPr="00535E30">
              <w:rPr>
                <w:rFonts w:asciiTheme="minorHAnsi" w:hAnsiTheme="minorHAnsi" w:cs="Arial"/>
                <w:b/>
                <w:bCs/>
                <w:sz w:val="20"/>
                <w:szCs w:val="20"/>
                <w:lang w:val="es-CO"/>
              </w:rPr>
              <w:t>Avance indicadores de Proyecto</w:t>
            </w:r>
          </w:p>
        </w:tc>
        <w:tc>
          <w:tcPr>
            <w:tcW w:w="948"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20"/>
                <w:szCs w:val="20"/>
              </w:rPr>
            </w:pPr>
            <w:r w:rsidRPr="00535E30">
              <w:rPr>
                <w:rFonts w:asciiTheme="minorHAnsi" w:hAnsiTheme="minorHAnsi" w:cs="Arial"/>
                <w:b/>
                <w:bCs/>
                <w:sz w:val="20"/>
                <w:szCs w:val="20"/>
                <w:lang w:val="es-CO"/>
              </w:rPr>
              <w:t>Total Promediado por Objetivo</w:t>
            </w:r>
          </w:p>
        </w:tc>
      </w:tr>
      <w:tr w:rsidR="00475419" w:rsidRPr="00535E30" w:rsidTr="005678E7">
        <w:trPr>
          <w:trHeight w:val="57"/>
          <w:jc w:val="center"/>
        </w:trPr>
        <w:tc>
          <w:tcPr>
            <w:tcW w:w="832" w:type="pct"/>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20"/>
                <w:szCs w:val="20"/>
              </w:rPr>
            </w:pPr>
            <w:r w:rsidRPr="00535E30">
              <w:rPr>
                <w:rFonts w:asciiTheme="minorHAnsi" w:hAnsiTheme="minorHAnsi" w:cs="Arial"/>
                <w:sz w:val="20"/>
                <w:szCs w:val="20"/>
                <w:lang w:val="es-CO"/>
              </w:rPr>
              <w:t>Desarrollo institucional</w:t>
            </w:r>
          </w:p>
        </w:tc>
        <w:tc>
          <w:tcPr>
            <w:tcW w:w="216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475419" w:rsidRPr="00535E30" w:rsidRDefault="00475419" w:rsidP="005678E7">
            <w:pPr>
              <w:spacing w:after="0" w:line="276" w:lineRule="auto"/>
              <w:rPr>
                <w:rFonts w:asciiTheme="minorHAnsi" w:hAnsiTheme="minorHAnsi" w:cs="Arial"/>
                <w:sz w:val="20"/>
                <w:szCs w:val="20"/>
              </w:rPr>
            </w:pPr>
            <w:r w:rsidRPr="00535E30">
              <w:rPr>
                <w:rFonts w:asciiTheme="minorHAnsi" w:hAnsiTheme="minorHAnsi" w:cs="Arial"/>
                <w:sz w:val="20"/>
                <w:szCs w:val="20"/>
                <w:lang w:val="es-CO"/>
              </w:rPr>
              <w:t>Desarrollo Físico Sostenible</w:t>
            </w:r>
          </w:p>
        </w:tc>
        <w:tc>
          <w:tcPr>
            <w:tcW w:w="1059" w:type="pct"/>
            <w:tcBorders>
              <w:top w:val="single" w:sz="4" w:space="0" w:color="000000"/>
              <w:left w:val="single" w:sz="4" w:space="0" w:color="000000"/>
              <w:bottom w:val="single" w:sz="4" w:space="0" w:color="000000"/>
              <w:right w:val="single" w:sz="4" w:space="0" w:color="000000"/>
            </w:tcBorders>
            <w:shd w:val="clear" w:color="auto" w:fill="D6E3BC"/>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20"/>
                <w:szCs w:val="20"/>
              </w:rPr>
            </w:pPr>
            <w:r w:rsidRPr="00535E30">
              <w:rPr>
                <w:rFonts w:asciiTheme="minorHAnsi" w:hAnsiTheme="minorHAnsi" w:cs="Arial"/>
                <w:sz w:val="20"/>
                <w:szCs w:val="20"/>
              </w:rPr>
              <w:t>92.33%</w:t>
            </w:r>
          </w:p>
        </w:tc>
        <w:tc>
          <w:tcPr>
            <w:tcW w:w="948" w:type="pct"/>
            <w:vMerge w:val="restart"/>
            <w:tcBorders>
              <w:top w:val="single" w:sz="4" w:space="0" w:color="000000"/>
              <w:left w:val="single" w:sz="4" w:space="0" w:color="000000"/>
              <w:bottom w:val="single" w:sz="4" w:space="0" w:color="000000"/>
              <w:right w:val="single" w:sz="4" w:space="0" w:color="000000"/>
            </w:tcBorders>
            <w:shd w:val="clear" w:color="auto" w:fill="D6E3BC"/>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b/>
                <w:sz w:val="24"/>
                <w:szCs w:val="24"/>
              </w:rPr>
            </w:pPr>
            <w:r w:rsidRPr="00535E30">
              <w:rPr>
                <w:rFonts w:asciiTheme="minorHAnsi" w:hAnsiTheme="minorHAnsi" w:cs="Arial"/>
                <w:b/>
                <w:sz w:val="24"/>
                <w:szCs w:val="24"/>
              </w:rPr>
              <w:t>92,20%</w:t>
            </w:r>
          </w:p>
        </w:tc>
      </w:tr>
      <w:tr w:rsidR="00475419" w:rsidRPr="00535E30" w:rsidTr="005678E7">
        <w:trPr>
          <w:trHeight w:val="57"/>
          <w:jc w:val="center"/>
        </w:trPr>
        <w:tc>
          <w:tcPr>
            <w:tcW w:w="832" w:type="pct"/>
            <w:vMerge/>
            <w:tcBorders>
              <w:top w:val="single" w:sz="4" w:space="0" w:color="000000"/>
              <w:left w:val="single" w:sz="4" w:space="0" w:color="000000"/>
              <w:bottom w:val="single" w:sz="4" w:space="0" w:color="000000"/>
              <w:right w:val="single" w:sz="4" w:space="0" w:color="000000"/>
            </w:tcBorders>
            <w:vAlign w:val="center"/>
            <w:hideMark/>
          </w:tcPr>
          <w:p w:rsidR="00475419" w:rsidRPr="00535E30" w:rsidRDefault="00475419" w:rsidP="005678E7">
            <w:pPr>
              <w:spacing w:after="0" w:line="276" w:lineRule="auto"/>
              <w:rPr>
                <w:rFonts w:asciiTheme="minorHAnsi" w:hAnsiTheme="minorHAnsi" w:cs="Arial"/>
                <w:sz w:val="20"/>
                <w:szCs w:val="20"/>
              </w:rPr>
            </w:pPr>
          </w:p>
        </w:tc>
        <w:tc>
          <w:tcPr>
            <w:tcW w:w="216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475419" w:rsidRPr="00535E30" w:rsidRDefault="00475419" w:rsidP="005678E7">
            <w:pPr>
              <w:spacing w:after="0" w:line="276" w:lineRule="auto"/>
              <w:rPr>
                <w:rFonts w:asciiTheme="minorHAnsi" w:hAnsiTheme="minorHAnsi" w:cs="Arial"/>
                <w:sz w:val="20"/>
                <w:szCs w:val="20"/>
              </w:rPr>
            </w:pPr>
            <w:r w:rsidRPr="00535E30">
              <w:rPr>
                <w:rFonts w:asciiTheme="minorHAnsi" w:hAnsiTheme="minorHAnsi" w:cs="Arial"/>
                <w:sz w:val="20"/>
                <w:szCs w:val="20"/>
                <w:lang w:val="es-CO"/>
              </w:rPr>
              <w:t>Desarrollo Informático y de comunicaciones</w:t>
            </w:r>
          </w:p>
        </w:tc>
        <w:tc>
          <w:tcPr>
            <w:tcW w:w="1059" w:type="pct"/>
            <w:tcBorders>
              <w:top w:val="single" w:sz="4" w:space="0" w:color="000000"/>
              <w:left w:val="single" w:sz="4" w:space="0" w:color="000000"/>
              <w:bottom w:val="single" w:sz="4" w:space="0" w:color="000000"/>
              <w:right w:val="single" w:sz="4" w:space="0" w:color="000000"/>
            </w:tcBorders>
            <w:shd w:val="clear" w:color="auto" w:fill="D6E3BC" w:themeFill="accent3" w:themeFillTint="66"/>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20"/>
                <w:szCs w:val="20"/>
                <w:highlight w:val="yellow"/>
              </w:rPr>
            </w:pPr>
            <w:r w:rsidRPr="00535E30">
              <w:rPr>
                <w:rFonts w:asciiTheme="minorHAnsi" w:hAnsiTheme="minorHAnsi" w:cs="Arial"/>
                <w:sz w:val="20"/>
                <w:szCs w:val="20"/>
              </w:rPr>
              <w:t>91,43%</w:t>
            </w:r>
          </w:p>
        </w:tc>
        <w:tc>
          <w:tcPr>
            <w:tcW w:w="948" w:type="pct"/>
            <w:vMerge/>
            <w:tcBorders>
              <w:top w:val="single" w:sz="4" w:space="0" w:color="000000"/>
              <w:left w:val="single" w:sz="4" w:space="0" w:color="000000"/>
              <w:bottom w:val="single" w:sz="4" w:space="0" w:color="000000"/>
              <w:right w:val="single" w:sz="4" w:space="0" w:color="000000"/>
            </w:tcBorders>
            <w:shd w:val="clear" w:color="auto" w:fill="D6E3BC"/>
            <w:vAlign w:val="center"/>
            <w:hideMark/>
          </w:tcPr>
          <w:p w:rsidR="00475419" w:rsidRPr="00535E30" w:rsidRDefault="00475419" w:rsidP="005678E7">
            <w:pPr>
              <w:spacing w:after="0" w:line="276" w:lineRule="auto"/>
              <w:jc w:val="center"/>
              <w:rPr>
                <w:rFonts w:asciiTheme="minorHAnsi" w:hAnsiTheme="minorHAnsi" w:cs="Arial"/>
                <w:sz w:val="20"/>
                <w:szCs w:val="20"/>
              </w:rPr>
            </w:pPr>
          </w:p>
        </w:tc>
      </w:tr>
      <w:tr w:rsidR="00475419" w:rsidRPr="00535E30" w:rsidTr="005678E7">
        <w:trPr>
          <w:trHeight w:val="57"/>
          <w:jc w:val="center"/>
        </w:trPr>
        <w:tc>
          <w:tcPr>
            <w:tcW w:w="832" w:type="pct"/>
            <w:vMerge/>
            <w:tcBorders>
              <w:top w:val="single" w:sz="4" w:space="0" w:color="000000"/>
              <w:left w:val="single" w:sz="4" w:space="0" w:color="000000"/>
              <w:bottom w:val="single" w:sz="4" w:space="0" w:color="000000"/>
              <w:right w:val="single" w:sz="4" w:space="0" w:color="000000"/>
            </w:tcBorders>
            <w:vAlign w:val="center"/>
            <w:hideMark/>
          </w:tcPr>
          <w:p w:rsidR="00475419" w:rsidRPr="00535E30" w:rsidRDefault="00475419" w:rsidP="005678E7">
            <w:pPr>
              <w:spacing w:after="0" w:line="276" w:lineRule="auto"/>
              <w:rPr>
                <w:rFonts w:asciiTheme="minorHAnsi" w:hAnsiTheme="minorHAnsi" w:cs="Arial"/>
                <w:sz w:val="20"/>
                <w:szCs w:val="20"/>
              </w:rPr>
            </w:pPr>
          </w:p>
        </w:tc>
        <w:tc>
          <w:tcPr>
            <w:tcW w:w="216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475419" w:rsidRPr="00535E30" w:rsidRDefault="00475419" w:rsidP="005678E7">
            <w:pPr>
              <w:spacing w:after="0" w:line="276" w:lineRule="auto"/>
              <w:rPr>
                <w:rFonts w:asciiTheme="minorHAnsi" w:hAnsiTheme="minorHAnsi" w:cs="Arial"/>
                <w:sz w:val="20"/>
                <w:szCs w:val="20"/>
              </w:rPr>
            </w:pPr>
            <w:r w:rsidRPr="00535E30">
              <w:rPr>
                <w:rFonts w:asciiTheme="minorHAnsi" w:hAnsiTheme="minorHAnsi" w:cs="Arial"/>
                <w:sz w:val="20"/>
                <w:szCs w:val="20"/>
                <w:lang w:val="es-CO"/>
              </w:rPr>
              <w:t>Desarrollo humano y organizacional</w:t>
            </w:r>
          </w:p>
        </w:tc>
        <w:tc>
          <w:tcPr>
            <w:tcW w:w="1059" w:type="pct"/>
            <w:tcBorders>
              <w:top w:val="single" w:sz="4" w:space="0" w:color="000000"/>
              <w:left w:val="single" w:sz="4" w:space="0" w:color="000000"/>
              <w:bottom w:val="single" w:sz="4" w:space="0" w:color="000000"/>
              <w:right w:val="single" w:sz="4" w:space="0" w:color="000000"/>
            </w:tcBorders>
            <w:shd w:val="clear" w:color="auto" w:fill="D6E3BC" w:themeFill="accent3" w:themeFillTint="66"/>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20"/>
                <w:szCs w:val="20"/>
                <w:highlight w:val="yellow"/>
              </w:rPr>
            </w:pPr>
            <w:r w:rsidRPr="00535E30">
              <w:rPr>
                <w:rFonts w:asciiTheme="minorHAnsi" w:hAnsiTheme="minorHAnsi" w:cs="Arial"/>
                <w:sz w:val="20"/>
                <w:szCs w:val="20"/>
              </w:rPr>
              <w:t>92,53%</w:t>
            </w:r>
          </w:p>
        </w:tc>
        <w:tc>
          <w:tcPr>
            <w:tcW w:w="948" w:type="pct"/>
            <w:vMerge/>
            <w:tcBorders>
              <w:top w:val="single" w:sz="4" w:space="0" w:color="000000"/>
              <w:left w:val="single" w:sz="4" w:space="0" w:color="000000"/>
              <w:bottom w:val="single" w:sz="4" w:space="0" w:color="000000"/>
              <w:right w:val="single" w:sz="4" w:space="0" w:color="000000"/>
            </w:tcBorders>
            <w:shd w:val="clear" w:color="auto" w:fill="D6E3BC"/>
            <w:vAlign w:val="center"/>
            <w:hideMark/>
          </w:tcPr>
          <w:p w:rsidR="00475419" w:rsidRPr="00535E30" w:rsidRDefault="00475419" w:rsidP="005678E7">
            <w:pPr>
              <w:spacing w:after="0" w:line="276" w:lineRule="auto"/>
              <w:jc w:val="center"/>
              <w:rPr>
                <w:rFonts w:asciiTheme="minorHAnsi" w:hAnsiTheme="minorHAnsi" w:cs="Arial"/>
                <w:sz w:val="20"/>
                <w:szCs w:val="20"/>
              </w:rPr>
            </w:pPr>
          </w:p>
        </w:tc>
      </w:tr>
      <w:tr w:rsidR="00475419" w:rsidRPr="00535E30" w:rsidTr="005678E7">
        <w:trPr>
          <w:trHeight w:val="57"/>
          <w:jc w:val="center"/>
        </w:trPr>
        <w:tc>
          <w:tcPr>
            <w:tcW w:w="832" w:type="pct"/>
            <w:vMerge/>
            <w:tcBorders>
              <w:top w:val="single" w:sz="4" w:space="0" w:color="000000"/>
              <w:left w:val="single" w:sz="4" w:space="0" w:color="000000"/>
              <w:bottom w:val="single" w:sz="4" w:space="0" w:color="000000"/>
              <w:right w:val="single" w:sz="4" w:space="0" w:color="000000"/>
            </w:tcBorders>
            <w:vAlign w:val="center"/>
            <w:hideMark/>
          </w:tcPr>
          <w:p w:rsidR="00475419" w:rsidRPr="00535E30" w:rsidRDefault="00475419" w:rsidP="005678E7">
            <w:pPr>
              <w:spacing w:after="0" w:line="276" w:lineRule="auto"/>
              <w:rPr>
                <w:rFonts w:asciiTheme="minorHAnsi" w:hAnsiTheme="minorHAnsi" w:cs="Arial"/>
                <w:sz w:val="20"/>
                <w:szCs w:val="20"/>
              </w:rPr>
            </w:pPr>
          </w:p>
        </w:tc>
        <w:tc>
          <w:tcPr>
            <w:tcW w:w="216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475419" w:rsidRPr="00535E30" w:rsidRDefault="00475419" w:rsidP="005678E7">
            <w:pPr>
              <w:spacing w:after="0" w:line="276" w:lineRule="auto"/>
              <w:rPr>
                <w:rFonts w:asciiTheme="minorHAnsi" w:hAnsiTheme="minorHAnsi" w:cs="Arial"/>
                <w:sz w:val="20"/>
                <w:szCs w:val="20"/>
              </w:rPr>
            </w:pPr>
            <w:r w:rsidRPr="00535E30">
              <w:rPr>
                <w:rFonts w:asciiTheme="minorHAnsi" w:hAnsiTheme="minorHAnsi" w:cs="Arial"/>
                <w:sz w:val="20"/>
                <w:szCs w:val="20"/>
                <w:lang w:val="es-CO"/>
              </w:rPr>
              <w:t>Desarrollo financiero</w:t>
            </w:r>
          </w:p>
        </w:tc>
        <w:tc>
          <w:tcPr>
            <w:tcW w:w="1059" w:type="pct"/>
            <w:tcBorders>
              <w:top w:val="single" w:sz="4" w:space="0" w:color="000000"/>
              <w:left w:val="single" w:sz="4" w:space="0" w:color="000000"/>
              <w:bottom w:val="single" w:sz="4" w:space="0" w:color="000000"/>
              <w:right w:val="single" w:sz="4" w:space="0" w:color="000000"/>
            </w:tcBorders>
            <w:shd w:val="clear" w:color="auto" w:fill="D6E3BC"/>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20"/>
                <w:szCs w:val="20"/>
              </w:rPr>
            </w:pPr>
            <w:r w:rsidRPr="00535E30">
              <w:rPr>
                <w:rFonts w:asciiTheme="minorHAnsi" w:hAnsiTheme="minorHAnsi" w:cs="Arial"/>
                <w:sz w:val="20"/>
                <w:szCs w:val="20"/>
              </w:rPr>
              <w:t>92,50%</w:t>
            </w:r>
          </w:p>
        </w:tc>
        <w:tc>
          <w:tcPr>
            <w:tcW w:w="948" w:type="pct"/>
            <w:vMerge/>
            <w:tcBorders>
              <w:top w:val="single" w:sz="4" w:space="0" w:color="000000"/>
              <w:left w:val="single" w:sz="4" w:space="0" w:color="000000"/>
              <w:bottom w:val="single" w:sz="4" w:space="0" w:color="000000"/>
              <w:right w:val="single" w:sz="4" w:space="0" w:color="000000"/>
            </w:tcBorders>
            <w:shd w:val="clear" w:color="auto" w:fill="D6E3BC"/>
            <w:vAlign w:val="center"/>
            <w:hideMark/>
          </w:tcPr>
          <w:p w:rsidR="00475419" w:rsidRPr="00535E30" w:rsidRDefault="00475419" w:rsidP="005678E7">
            <w:pPr>
              <w:spacing w:after="0" w:line="276" w:lineRule="auto"/>
              <w:jc w:val="center"/>
              <w:rPr>
                <w:rFonts w:asciiTheme="minorHAnsi" w:hAnsiTheme="minorHAnsi" w:cs="Arial"/>
                <w:sz w:val="20"/>
                <w:szCs w:val="20"/>
              </w:rPr>
            </w:pPr>
          </w:p>
        </w:tc>
      </w:tr>
    </w:tbl>
    <w:p w:rsidR="00475419" w:rsidRDefault="00475419" w:rsidP="00475419">
      <w:pPr>
        <w:spacing w:after="0" w:line="276" w:lineRule="auto"/>
        <w:rPr>
          <w:rFonts w:asciiTheme="minorHAnsi" w:hAnsiTheme="minorHAnsi" w:cs="Arial"/>
        </w:rPr>
      </w:pPr>
    </w:p>
    <w:p w:rsidR="00475419" w:rsidRPr="00535E30" w:rsidRDefault="00475419" w:rsidP="00475419">
      <w:pPr>
        <w:spacing w:after="0" w:line="276" w:lineRule="auto"/>
        <w:rPr>
          <w:rFonts w:asciiTheme="minorHAnsi" w:hAnsiTheme="minorHAnsi" w:cs="Arial"/>
        </w:rPr>
      </w:pPr>
      <w:r w:rsidRPr="00535E30">
        <w:rPr>
          <w:rFonts w:asciiTheme="minorHAnsi" w:hAnsiTheme="minorHAnsi" w:cs="Arial"/>
        </w:rPr>
        <w:t>Igualmente, se presenta el nivel de desempeño a nivel de planes operativos:</w:t>
      </w:r>
    </w:p>
    <w:p w:rsidR="00475419" w:rsidRPr="00535E30" w:rsidRDefault="00475419" w:rsidP="00475419">
      <w:pPr>
        <w:spacing w:after="0" w:line="276" w:lineRule="auto"/>
        <w:rPr>
          <w:rFonts w:asciiTheme="minorHAnsi" w:hAnsiTheme="minorHAnsi" w:cs="Arial"/>
        </w:rPr>
      </w:pPr>
    </w:p>
    <w:tbl>
      <w:tblPr>
        <w:tblW w:w="4855" w:type="pct"/>
        <w:jc w:val="center"/>
        <w:tblCellMar>
          <w:left w:w="70" w:type="dxa"/>
          <w:right w:w="70" w:type="dxa"/>
        </w:tblCellMar>
        <w:tblLook w:val="04A0" w:firstRow="1" w:lastRow="0" w:firstColumn="1" w:lastColumn="0" w:noHBand="0" w:noVBand="1"/>
      </w:tblPr>
      <w:tblGrid>
        <w:gridCol w:w="1344"/>
        <w:gridCol w:w="1561"/>
        <w:gridCol w:w="3261"/>
        <w:gridCol w:w="567"/>
        <w:gridCol w:w="804"/>
        <w:gridCol w:w="1181"/>
      </w:tblGrid>
      <w:tr w:rsidR="00475419" w:rsidRPr="00535E30" w:rsidTr="005678E7">
        <w:trPr>
          <w:trHeight w:val="391"/>
          <w:tblHeader/>
          <w:jc w:val="center"/>
        </w:trPr>
        <w:tc>
          <w:tcPr>
            <w:tcW w:w="771" w:type="pct"/>
            <w:tcBorders>
              <w:top w:val="single" w:sz="4" w:space="0" w:color="auto"/>
              <w:left w:val="single" w:sz="4" w:space="0" w:color="auto"/>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Arial"/>
                <w:b/>
                <w:bCs/>
                <w:color w:val="000000"/>
                <w:sz w:val="18"/>
                <w:szCs w:val="18"/>
                <w:lang w:val="es-CO" w:eastAsia="es-CO"/>
              </w:rPr>
            </w:pPr>
            <w:r w:rsidRPr="00535E30">
              <w:rPr>
                <w:rFonts w:asciiTheme="minorHAnsi" w:eastAsia="Times New Roman" w:hAnsiTheme="minorHAnsi" w:cs="Arial"/>
                <w:b/>
                <w:bCs/>
                <w:color w:val="000000"/>
                <w:sz w:val="18"/>
                <w:szCs w:val="18"/>
                <w:lang w:val="es-CO" w:eastAsia="es-CO"/>
              </w:rPr>
              <w:t>Proyecto</w:t>
            </w:r>
          </w:p>
        </w:tc>
        <w:tc>
          <w:tcPr>
            <w:tcW w:w="895" w:type="pct"/>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Arial"/>
                <w:b/>
                <w:bCs/>
                <w:color w:val="000000"/>
                <w:sz w:val="18"/>
                <w:szCs w:val="18"/>
                <w:lang w:val="es-CO" w:eastAsia="es-CO"/>
              </w:rPr>
            </w:pPr>
            <w:r w:rsidRPr="00535E30">
              <w:rPr>
                <w:rFonts w:asciiTheme="minorHAnsi" w:eastAsia="Times New Roman" w:hAnsiTheme="minorHAnsi" w:cs="Arial"/>
                <w:b/>
                <w:bCs/>
                <w:color w:val="000000"/>
                <w:sz w:val="18"/>
                <w:szCs w:val="18"/>
                <w:lang w:val="es-CO" w:eastAsia="es-CO"/>
              </w:rPr>
              <w:t>Plan Operativo</w:t>
            </w:r>
          </w:p>
        </w:tc>
        <w:tc>
          <w:tcPr>
            <w:tcW w:w="1870" w:type="pct"/>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Arial"/>
                <w:b/>
                <w:bCs/>
                <w:color w:val="000000"/>
                <w:sz w:val="18"/>
                <w:szCs w:val="18"/>
                <w:lang w:val="es-CO" w:eastAsia="es-CO"/>
              </w:rPr>
            </w:pPr>
            <w:r w:rsidRPr="00535E30">
              <w:rPr>
                <w:rFonts w:asciiTheme="minorHAnsi" w:eastAsia="Times New Roman" w:hAnsiTheme="minorHAnsi" w:cs="Arial"/>
                <w:b/>
                <w:bCs/>
                <w:color w:val="000000"/>
                <w:sz w:val="18"/>
                <w:szCs w:val="18"/>
                <w:lang w:val="es-CO" w:eastAsia="es-CO"/>
              </w:rPr>
              <w:t>Indicadores</w:t>
            </w:r>
          </w:p>
        </w:tc>
        <w:tc>
          <w:tcPr>
            <w:tcW w:w="325" w:type="pct"/>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Arial"/>
                <w:b/>
                <w:bCs/>
                <w:color w:val="000000"/>
                <w:sz w:val="18"/>
                <w:szCs w:val="18"/>
                <w:lang w:val="es-CO" w:eastAsia="es-CO"/>
              </w:rPr>
            </w:pPr>
            <w:r w:rsidRPr="00535E30">
              <w:rPr>
                <w:rFonts w:asciiTheme="minorHAnsi" w:eastAsia="Times New Roman" w:hAnsiTheme="minorHAnsi" w:cs="Arial"/>
                <w:b/>
                <w:bCs/>
                <w:color w:val="000000"/>
                <w:sz w:val="18"/>
                <w:szCs w:val="18"/>
                <w:lang w:val="es-CO" w:eastAsia="es-CO"/>
              </w:rPr>
              <w:t>Meta</w:t>
            </w:r>
          </w:p>
        </w:tc>
        <w:tc>
          <w:tcPr>
            <w:tcW w:w="461" w:type="pct"/>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Arial"/>
                <w:b/>
                <w:bCs/>
                <w:color w:val="000000"/>
                <w:sz w:val="18"/>
                <w:szCs w:val="18"/>
                <w:lang w:val="es-CO" w:eastAsia="es-CO"/>
              </w:rPr>
            </w:pPr>
            <w:r w:rsidRPr="00535E30">
              <w:rPr>
                <w:rFonts w:asciiTheme="minorHAnsi" w:eastAsia="Times New Roman" w:hAnsiTheme="minorHAnsi" w:cs="Arial"/>
                <w:b/>
                <w:bCs/>
                <w:color w:val="000000"/>
                <w:sz w:val="18"/>
                <w:szCs w:val="18"/>
                <w:lang w:val="es-CO" w:eastAsia="es-CO"/>
              </w:rPr>
              <w:t>Avance</w:t>
            </w:r>
          </w:p>
        </w:tc>
        <w:tc>
          <w:tcPr>
            <w:tcW w:w="677" w:type="pct"/>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Arial"/>
                <w:b/>
                <w:bCs/>
                <w:color w:val="000000"/>
                <w:sz w:val="18"/>
                <w:szCs w:val="18"/>
                <w:lang w:val="es-CO" w:eastAsia="es-CO"/>
              </w:rPr>
            </w:pPr>
            <w:r w:rsidRPr="00535E30">
              <w:rPr>
                <w:rFonts w:asciiTheme="minorHAnsi" w:eastAsia="Times New Roman" w:hAnsiTheme="minorHAnsi" w:cs="Arial"/>
                <w:b/>
                <w:bCs/>
                <w:color w:val="000000"/>
                <w:sz w:val="18"/>
                <w:szCs w:val="18"/>
                <w:lang w:val="es-CO" w:eastAsia="es-CO"/>
              </w:rPr>
              <w:t>% cumplimiento</w:t>
            </w:r>
          </w:p>
        </w:tc>
      </w:tr>
      <w:tr w:rsidR="00475419" w:rsidRPr="00535E30" w:rsidTr="005678E7">
        <w:trPr>
          <w:trHeight w:val="166"/>
          <w:jc w:val="center"/>
        </w:trPr>
        <w:tc>
          <w:tcPr>
            <w:tcW w:w="771" w:type="pct"/>
            <w:vMerge w:val="restart"/>
            <w:tcBorders>
              <w:top w:val="nil"/>
              <w:left w:val="single" w:sz="4" w:space="0" w:color="auto"/>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Desarrollo Físico Sostenible</w:t>
            </w:r>
          </w:p>
        </w:tc>
        <w:tc>
          <w:tcPr>
            <w:tcW w:w="89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Gestión y Sostenibilidad Ambiental</w:t>
            </w:r>
          </w:p>
        </w:tc>
        <w:tc>
          <w:tcPr>
            <w:tcW w:w="1870"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Avance en la ejecución del plan operativo (Gestión y sostenibilidad ambiental)</w:t>
            </w:r>
          </w:p>
        </w:tc>
        <w:tc>
          <w:tcPr>
            <w:tcW w:w="32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w:t>
            </w:r>
          </w:p>
        </w:tc>
        <w:tc>
          <w:tcPr>
            <w:tcW w:w="46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89,33</w:t>
            </w:r>
          </w:p>
        </w:tc>
        <w:tc>
          <w:tcPr>
            <w:tcW w:w="677" w:type="pct"/>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89,33%</w:t>
            </w:r>
          </w:p>
        </w:tc>
      </w:tr>
      <w:tr w:rsidR="00475419" w:rsidRPr="00535E30" w:rsidTr="005678E7">
        <w:trPr>
          <w:trHeight w:val="256"/>
          <w:jc w:val="center"/>
        </w:trPr>
        <w:tc>
          <w:tcPr>
            <w:tcW w:w="771"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89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Gestión de sedes alternas</w:t>
            </w:r>
          </w:p>
        </w:tc>
        <w:tc>
          <w:tcPr>
            <w:tcW w:w="1870"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Avance en la ejecución del plan operativo (Gestión de sedes alternas)</w:t>
            </w:r>
          </w:p>
        </w:tc>
        <w:tc>
          <w:tcPr>
            <w:tcW w:w="32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w:t>
            </w:r>
          </w:p>
        </w:tc>
        <w:tc>
          <w:tcPr>
            <w:tcW w:w="46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w:t>
            </w:r>
          </w:p>
        </w:tc>
        <w:tc>
          <w:tcPr>
            <w:tcW w:w="677" w:type="pct"/>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100,00%</w:t>
            </w:r>
          </w:p>
        </w:tc>
      </w:tr>
      <w:tr w:rsidR="00475419" w:rsidRPr="00535E30" w:rsidTr="005678E7">
        <w:trPr>
          <w:trHeight w:val="310"/>
          <w:jc w:val="center"/>
        </w:trPr>
        <w:tc>
          <w:tcPr>
            <w:tcW w:w="771"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89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Sostenibilidad de la Infraestructura Física</w:t>
            </w:r>
          </w:p>
        </w:tc>
        <w:tc>
          <w:tcPr>
            <w:tcW w:w="1870"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Avance en la ejecución del plan operativo (Sostenibilidad de la infraestructura física)</w:t>
            </w:r>
          </w:p>
        </w:tc>
        <w:tc>
          <w:tcPr>
            <w:tcW w:w="32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w:t>
            </w:r>
          </w:p>
        </w:tc>
        <w:tc>
          <w:tcPr>
            <w:tcW w:w="46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88</w:t>
            </w:r>
          </w:p>
        </w:tc>
        <w:tc>
          <w:tcPr>
            <w:tcW w:w="677" w:type="pct"/>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88,00%</w:t>
            </w:r>
          </w:p>
        </w:tc>
      </w:tr>
      <w:tr w:rsidR="00475419" w:rsidRPr="00535E30" w:rsidTr="005678E7">
        <w:trPr>
          <w:trHeight w:val="70"/>
          <w:jc w:val="center"/>
        </w:trPr>
        <w:tc>
          <w:tcPr>
            <w:tcW w:w="771"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89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Gestión estratégica  del campus</w:t>
            </w:r>
          </w:p>
        </w:tc>
        <w:tc>
          <w:tcPr>
            <w:tcW w:w="1870"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Avance en la ejecución del plan operativo (Gestión estratégica del campus)</w:t>
            </w:r>
          </w:p>
        </w:tc>
        <w:tc>
          <w:tcPr>
            <w:tcW w:w="32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w:t>
            </w:r>
          </w:p>
        </w:tc>
        <w:tc>
          <w:tcPr>
            <w:tcW w:w="46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92</w:t>
            </w:r>
          </w:p>
        </w:tc>
        <w:tc>
          <w:tcPr>
            <w:tcW w:w="677" w:type="pct"/>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92,00%</w:t>
            </w:r>
          </w:p>
        </w:tc>
      </w:tr>
      <w:tr w:rsidR="00475419" w:rsidRPr="00535E30" w:rsidTr="005678E7">
        <w:trPr>
          <w:trHeight w:val="70"/>
          <w:jc w:val="center"/>
        </w:trPr>
        <w:tc>
          <w:tcPr>
            <w:tcW w:w="771" w:type="pct"/>
            <w:vMerge w:val="restart"/>
            <w:tcBorders>
              <w:top w:val="nil"/>
              <w:left w:val="single" w:sz="4" w:space="0" w:color="auto"/>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Desarrollo Informático y de comunicaciones</w:t>
            </w:r>
          </w:p>
        </w:tc>
        <w:tc>
          <w:tcPr>
            <w:tcW w:w="89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Sistemas de Información</w:t>
            </w:r>
          </w:p>
        </w:tc>
        <w:tc>
          <w:tcPr>
            <w:tcW w:w="1870"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Avance en la ejecución del plan operativo (Sistemas de Información)</w:t>
            </w:r>
          </w:p>
        </w:tc>
        <w:tc>
          <w:tcPr>
            <w:tcW w:w="325" w:type="pct"/>
            <w:tcBorders>
              <w:top w:val="nil"/>
              <w:left w:val="nil"/>
              <w:bottom w:val="nil"/>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w:t>
            </w:r>
          </w:p>
        </w:tc>
        <w:tc>
          <w:tcPr>
            <w:tcW w:w="461" w:type="pct"/>
            <w:tcBorders>
              <w:top w:val="nil"/>
              <w:left w:val="nil"/>
              <w:bottom w:val="nil"/>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81,7</w:t>
            </w:r>
          </w:p>
        </w:tc>
        <w:tc>
          <w:tcPr>
            <w:tcW w:w="677" w:type="pct"/>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81,70%</w:t>
            </w:r>
          </w:p>
        </w:tc>
      </w:tr>
      <w:tr w:rsidR="00475419" w:rsidRPr="00535E30" w:rsidTr="005678E7">
        <w:trPr>
          <w:trHeight w:val="70"/>
          <w:jc w:val="center"/>
        </w:trPr>
        <w:tc>
          <w:tcPr>
            <w:tcW w:w="771"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89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Automatización de recursos  Físicos</w:t>
            </w:r>
          </w:p>
        </w:tc>
        <w:tc>
          <w:tcPr>
            <w:tcW w:w="1870"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Avance en la ejecución del plan operativo (Automatización de recursos  Físicos)</w:t>
            </w:r>
          </w:p>
        </w:tc>
        <w:tc>
          <w:tcPr>
            <w:tcW w:w="325" w:type="pct"/>
            <w:tcBorders>
              <w:top w:val="single" w:sz="4" w:space="0" w:color="auto"/>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w:t>
            </w:r>
          </w:p>
        </w:tc>
        <w:tc>
          <w:tcPr>
            <w:tcW w:w="461" w:type="pct"/>
            <w:tcBorders>
              <w:top w:val="single" w:sz="4" w:space="0" w:color="auto"/>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90</w:t>
            </w:r>
          </w:p>
        </w:tc>
        <w:tc>
          <w:tcPr>
            <w:tcW w:w="677" w:type="pct"/>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90,00%</w:t>
            </w:r>
          </w:p>
        </w:tc>
      </w:tr>
      <w:tr w:rsidR="00475419" w:rsidRPr="00535E30" w:rsidTr="005678E7">
        <w:trPr>
          <w:trHeight w:val="510"/>
          <w:jc w:val="center"/>
        </w:trPr>
        <w:tc>
          <w:tcPr>
            <w:tcW w:w="771"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89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Sostenibilidad de Hardware y Software</w:t>
            </w:r>
          </w:p>
        </w:tc>
        <w:tc>
          <w:tcPr>
            <w:tcW w:w="1870"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Avance en la ejecución del plan operativo (Sostenibilidad de Hardware y Software)</w:t>
            </w:r>
          </w:p>
        </w:tc>
        <w:tc>
          <w:tcPr>
            <w:tcW w:w="32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w:t>
            </w:r>
          </w:p>
        </w:tc>
        <w:tc>
          <w:tcPr>
            <w:tcW w:w="46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99</w:t>
            </w:r>
          </w:p>
        </w:tc>
        <w:tc>
          <w:tcPr>
            <w:tcW w:w="677" w:type="pct"/>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99,00%</w:t>
            </w:r>
          </w:p>
        </w:tc>
      </w:tr>
      <w:tr w:rsidR="00475419" w:rsidRPr="00535E30" w:rsidTr="005678E7">
        <w:trPr>
          <w:trHeight w:val="510"/>
          <w:jc w:val="center"/>
        </w:trPr>
        <w:tc>
          <w:tcPr>
            <w:tcW w:w="771"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89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Sistema de Comunicaciones</w:t>
            </w:r>
          </w:p>
        </w:tc>
        <w:tc>
          <w:tcPr>
            <w:tcW w:w="1870"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Avance en la ejecución del plan operativo (Sistema de Comunicaciones)</w:t>
            </w:r>
          </w:p>
        </w:tc>
        <w:tc>
          <w:tcPr>
            <w:tcW w:w="32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w:t>
            </w:r>
          </w:p>
        </w:tc>
        <w:tc>
          <w:tcPr>
            <w:tcW w:w="46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95</w:t>
            </w:r>
          </w:p>
        </w:tc>
        <w:tc>
          <w:tcPr>
            <w:tcW w:w="677" w:type="pct"/>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95,00%</w:t>
            </w:r>
          </w:p>
        </w:tc>
      </w:tr>
      <w:tr w:rsidR="00475419" w:rsidRPr="00535E30" w:rsidTr="005678E7">
        <w:trPr>
          <w:trHeight w:val="70"/>
          <w:jc w:val="center"/>
        </w:trPr>
        <w:tc>
          <w:tcPr>
            <w:tcW w:w="771" w:type="pct"/>
            <w:vMerge w:val="restart"/>
            <w:tcBorders>
              <w:top w:val="nil"/>
              <w:left w:val="single" w:sz="4" w:space="0" w:color="auto"/>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Desarrollo humano y organizacional</w:t>
            </w:r>
          </w:p>
        </w:tc>
        <w:tc>
          <w:tcPr>
            <w:tcW w:w="89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Procesos de gestión humana</w:t>
            </w:r>
          </w:p>
        </w:tc>
        <w:tc>
          <w:tcPr>
            <w:tcW w:w="1870"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Avance en la ejecución del plan operativo (Procesos de gestión de humana)</w:t>
            </w:r>
          </w:p>
        </w:tc>
        <w:tc>
          <w:tcPr>
            <w:tcW w:w="32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20</w:t>
            </w:r>
          </w:p>
        </w:tc>
        <w:tc>
          <w:tcPr>
            <w:tcW w:w="46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18,66</w:t>
            </w:r>
          </w:p>
        </w:tc>
        <w:tc>
          <w:tcPr>
            <w:tcW w:w="677" w:type="pct"/>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93,30%</w:t>
            </w:r>
          </w:p>
        </w:tc>
      </w:tr>
      <w:tr w:rsidR="00475419" w:rsidRPr="00535E30" w:rsidTr="005678E7">
        <w:trPr>
          <w:trHeight w:val="510"/>
          <w:jc w:val="center"/>
        </w:trPr>
        <w:tc>
          <w:tcPr>
            <w:tcW w:w="771"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89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Cultura organizacional</w:t>
            </w:r>
          </w:p>
        </w:tc>
        <w:tc>
          <w:tcPr>
            <w:tcW w:w="1870"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Avance en la ejecución del plan operativo (Cultura organizacional)</w:t>
            </w:r>
          </w:p>
        </w:tc>
        <w:tc>
          <w:tcPr>
            <w:tcW w:w="32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25</w:t>
            </w:r>
          </w:p>
        </w:tc>
        <w:tc>
          <w:tcPr>
            <w:tcW w:w="46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25</w:t>
            </w:r>
          </w:p>
        </w:tc>
        <w:tc>
          <w:tcPr>
            <w:tcW w:w="677" w:type="pct"/>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100,00%</w:t>
            </w:r>
          </w:p>
        </w:tc>
      </w:tr>
      <w:tr w:rsidR="00475419" w:rsidRPr="00535E30" w:rsidTr="005678E7">
        <w:trPr>
          <w:trHeight w:val="151"/>
          <w:jc w:val="center"/>
        </w:trPr>
        <w:tc>
          <w:tcPr>
            <w:tcW w:w="771"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89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Estructura organizacional</w:t>
            </w:r>
          </w:p>
        </w:tc>
        <w:tc>
          <w:tcPr>
            <w:tcW w:w="1870"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Avance en la ejecución del plan operativo (Estructura organizacional)</w:t>
            </w:r>
          </w:p>
        </w:tc>
        <w:tc>
          <w:tcPr>
            <w:tcW w:w="32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20</w:t>
            </w:r>
          </w:p>
        </w:tc>
        <w:tc>
          <w:tcPr>
            <w:tcW w:w="46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18</w:t>
            </w:r>
          </w:p>
        </w:tc>
        <w:tc>
          <w:tcPr>
            <w:tcW w:w="677" w:type="pct"/>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90,00%</w:t>
            </w:r>
          </w:p>
        </w:tc>
      </w:tr>
      <w:tr w:rsidR="00475419" w:rsidRPr="00535E30" w:rsidTr="005678E7">
        <w:trPr>
          <w:trHeight w:val="200"/>
          <w:jc w:val="center"/>
        </w:trPr>
        <w:tc>
          <w:tcPr>
            <w:tcW w:w="771"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89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 xml:space="preserve">Gestión de </w:t>
            </w:r>
            <w:r w:rsidRPr="00535E30">
              <w:rPr>
                <w:rFonts w:asciiTheme="minorHAnsi" w:eastAsia="Times New Roman" w:hAnsiTheme="minorHAnsi" w:cs="Arial"/>
                <w:sz w:val="18"/>
                <w:szCs w:val="18"/>
                <w:lang w:val="es-CO" w:eastAsia="es-CO"/>
              </w:rPr>
              <w:lastRenderedPageBreak/>
              <w:t>procesos</w:t>
            </w:r>
          </w:p>
        </w:tc>
        <w:tc>
          <w:tcPr>
            <w:tcW w:w="1870"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lastRenderedPageBreak/>
              <w:t xml:space="preserve">Avance en la ejecución del plan operativo </w:t>
            </w:r>
            <w:r w:rsidRPr="00535E30">
              <w:rPr>
                <w:rFonts w:asciiTheme="minorHAnsi" w:eastAsia="Times New Roman" w:hAnsiTheme="minorHAnsi" w:cs="Arial"/>
                <w:sz w:val="18"/>
                <w:szCs w:val="18"/>
                <w:lang w:val="es-CO" w:eastAsia="es-CO"/>
              </w:rPr>
              <w:lastRenderedPageBreak/>
              <w:t>(Gestión de procesos)</w:t>
            </w:r>
          </w:p>
        </w:tc>
        <w:tc>
          <w:tcPr>
            <w:tcW w:w="32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lastRenderedPageBreak/>
              <w:t>25</w:t>
            </w:r>
          </w:p>
        </w:tc>
        <w:tc>
          <w:tcPr>
            <w:tcW w:w="46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21,7</w:t>
            </w:r>
          </w:p>
        </w:tc>
        <w:tc>
          <w:tcPr>
            <w:tcW w:w="677" w:type="pct"/>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86,80%</w:t>
            </w:r>
          </w:p>
        </w:tc>
      </w:tr>
      <w:tr w:rsidR="00475419" w:rsidRPr="00535E30" w:rsidTr="005678E7">
        <w:trPr>
          <w:trHeight w:val="250"/>
          <w:jc w:val="center"/>
        </w:trPr>
        <w:tc>
          <w:tcPr>
            <w:tcW w:w="771" w:type="pct"/>
            <w:vMerge w:val="restart"/>
            <w:tcBorders>
              <w:top w:val="nil"/>
              <w:left w:val="single" w:sz="4" w:space="0" w:color="auto"/>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lastRenderedPageBreak/>
              <w:t>Desarrollo financiero</w:t>
            </w:r>
          </w:p>
        </w:tc>
        <w:tc>
          <w:tcPr>
            <w:tcW w:w="89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Optimización de Ingresos</w:t>
            </w:r>
          </w:p>
        </w:tc>
        <w:tc>
          <w:tcPr>
            <w:tcW w:w="1870"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Porcentaje de avance en la ejecución de proyectos de optimización</w:t>
            </w:r>
          </w:p>
        </w:tc>
        <w:tc>
          <w:tcPr>
            <w:tcW w:w="32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15</w:t>
            </w:r>
          </w:p>
        </w:tc>
        <w:tc>
          <w:tcPr>
            <w:tcW w:w="46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12</w:t>
            </w:r>
          </w:p>
        </w:tc>
        <w:tc>
          <w:tcPr>
            <w:tcW w:w="677" w:type="pct"/>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80,00%</w:t>
            </w:r>
          </w:p>
        </w:tc>
      </w:tr>
      <w:tr w:rsidR="00475419" w:rsidRPr="00535E30" w:rsidTr="005678E7">
        <w:trPr>
          <w:trHeight w:val="299"/>
          <w:jc w:val="center"/>
        </w:trPr>
        <w:tc>
          <w:tcPr>
            <w:tcW w:w="771"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89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Nuevas líneas de financiamiento</w:t>
            </w:r>
          </w:p>
        </w:tc>
        <w:tc>
          <w:tcPr>
            <w:tcW w:w="1870"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Porcentaje de avance en la ejecución de proyectos de nuevas líneas de financiamiento</w:t>
            </w:r>
          </w:p>
        </w:tc>
        <w:tc>
          <w:tcPr>
            <w:tcW w:w="32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20</w:t>
            </w:r>
          </w:p>
        </w:tc>
        <w:tc>
          <w:tcPr>
            <w:tcW w:w="46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20</w:t>
            </w:r>
          </w:p>
        </w:tc>
        <w:tc>
          <w:tcPr>
            <w:tcW w:w="677" w:type="pct"/>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100,00%</w:t>
            </w:r>
          </w:p>
        </w:tc>
      </w:tr>
      <w:tr w:rsidR="00475419" w:rsidRPr="00535E30" w:rsidTr="005678E7">
        <w:trPr>
          <w:trHeight w:val="250"/>
          <w:jc w:val="center"/>
        </w:trPr>
        <w:tc>
          <w:tcPr>
            <w:tcW w:w="771"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89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Racionalización del uso de los recursos</w:t>
            </w:r>
          </w:p>
        </w:tc>
        <w:tc>
          <w:tcPr>
            <w:tcW w:w="1870"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Porcentaje de avance en la ejecución de proyectos de racionalización del uso de los recursos</w:t>
            </w:r>
          </w:p>
        </w:tc>
        <w:tc>
          <w:tcPr>
            <w:tcW w:w="32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20</w:t>
            </w:r>
          </w:p>
        </w:tc>
        <w:tc>
          <w:tcPr>
            <w:tcW w:w="46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19,5</w:t>
            </w:r>
          </w:p>
        </w:tc>
        <w:tc>
          <w:tcPr>
            <w:tcW w:w="677" w:type="pct"/>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97,50%</w:t>
            </w:r>
          </w:p>
        </w:tc>
      </w:tr>
    </w:tbl>
    <w:p w:rsidR="00475419" w:rsidRPr="00535E30" w:rsidRDefault="00475419" w:rsidP="00475419">
      <w:pPr>
        <w:spacing w:after="0" w:line="276" w:lineRule="auto"/>
        <w:rPr>
          <w:rFonts w:asciiTheme="minorHAnsi" w:hAnsiTheme="minorHAnsi" w:cs="Arial"/>
        </w:rPr>
      </w:pPr>
    </w:p>
    <w:p w:rsidR="00475419" w:rsidRPr="00535E30" w:rsidRDefault="00475419" w:rsidP="00475419">
      <w:pPr>
        <w:spacing w:line="276" w:lineRule="auto"/>
        <w:rPr>
          <w:rFonts w:asciiTheme="minorHAnsi" w:hAnsiTheme="minorHAnsi" w:cs="Arial"/>
        </w:rPr>
      </w:pPr>
      <w:r w:rsidRPr="00535E30">
        <w:rPr>
          <w:rFonts w:asciiTheme="minorHAnsi" w:hAnsiTheme="minorHAnsi" w:cs="Arial"/>
        </w:rPr>
        <w:t>Todas las metas a nivel de plan operativo presentaron un desempeño satisfactorio.</w:t>
      </w:r>
    </w:p>
    <w:p w:rsidR="00475419" w:rsidRPr="00535E30" w:rsidRDefault="00475419" w:rsidP="00475419">
      <w:pPr>
        <w:pStyle w:val="Ttulo2"/>
        <w:spacing w:line="276" w:lineRule="auto"/>
      </w:pPr>
      <w:bookmarkStart w:id="207" w:name="_Toc347392860"/>
      <w:bookmarkStart w:id="208" w:name="_Toc350957796"/>
      <w:bookmarkStart w:id="209" w:name="_Toc354671389"/>
      <w:r w:rsidRPr="00535E30">
        <w:rPr>
          <w:caps w:val="0"/>
        </w:rPr>
        <w:t>PROYECTOS COBERTURA CON CALIDAD DE LA OFERTA EDUCATIVA</w:t>
      </w:r>
      <w:bookmarkEnd w:id="207"/>
      <w:bookmarkEnd w:id="208"/>
      <w:bookmarkEnd w:id="209"/>
    </w:p>
    <w:p w:rsidR="00475419" w:rsidRPr="00535E30" w:rsidRDefault="00475419" w:rsidP="00475419">
      <w:pPr>
        <w:spacing w:line="276" w:lineRule="auto"/>
        <w:rPr>
          <w:rFonts w:asciiTheme="minorHAnsi" w:hAnsiTheme="minorHAnsi" w:cs="Arial"/>
          <w:color w:val="000000"/>
          <w:lang w:val="es-CO"/>
        </w:rPr>
      </w:pP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color w:val="000000"/>
          <w:lang w:val="es-CO"/>
        </w:rPr>
        <w:t xml:space="preserve">Está conformado por cinco proyectos institucionales: Educabilidad, Educatividad, Enseñabilidad, Aprendibilidad y cobertura. </w:t>
      </w:r>
    </w:p>
    <w:p w:rsidR="00475419" w:rsidRPr="00535E30" w:rsidRDefault="00475419" w:rsidP="00475419">
      <w:pPr>
        <w:spacing w:line="276" w:lineRule="auto"/>
        <w:rPr>
          <w:rFonts w:asciiTheme="minorHAnsi" w:hAnsiTheme="minorHAnsi" w:cs="Arial"/>
          <w:color w:val="000000"/>
          <w:lang w:val="es-CO"/>
        </w:rPr>
      </w:pP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i/>
          <w:color w:val="000000"/>
          <w:u w:val="single"/>
          <w:lang w:val="es-CO"/>
        </w:rPr>
        <w:t>La educabilidad</w:t>
      </w:r>
      <w:r w:rsidRPr="00535E30">
        <w:rPr>
          <w:rFonts w:asciiTheme="minorHAnsi" w:hAnsiTheme="minorHAnsi" w:cs="Arial"/>
          <w:i/>
          <w:color w:val="000000"/>
          <w:lang w:val="es-CO"/>
        </w:rPr>
        <w:t>,</w:t>
      </w:r>
      <w:r w:rsidRPr="00535E30">
        <w:rPr>
          <w:rFonts w:asciiTheme="minorHAnsi" w:hAnsiTheme="minorHAnsi" w:cs="Arial"/>
          <w:color w:val="000000"/>
          <w:lang w:val="es-CO"/>
        </w:rPr>
        <w:t xml:space="preserve"> Conocida como "la potencialidad inherente al ser humano (estudiante) a ser educado. Desarrollo de competencias". Busca identificar las condiciones y competencias iniciales (con las que llega y debería llegar) del estudiante que ingresa a la Universidad Tecnológica de Pereira, con el fin de contribuir a su formación integral y habilitarlo para generar impacto social con su desempeño profesional.</w:t>
      </w: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i/>
          <w:color w:val="000000"/>
          <w:u w:val="single"/>
          <w:lang w:val="es-CO"/>
        </w:rPr>
        <w:t>Aprendibilidad</w:t>
      </w:r>
      <w:r w:rsidRPr="00535E30">
        <w:rPr>
          <w:rFonts w:asciiTheme="minorHAnsi" w:hAnsiTheme="minorHAnsi" w:cs="Arial"/>
          <w:color w:val="000000"/>
          <w:lang w:val="es-CO"/>
        </w:rPr>
        <w:t>, definida como "Estilos y estrategias de aprendizaje del estudiante", busca diseñar e implementar elementos teóricos, metodológicos y prácticos para mejorar la eficiencia en el aprendizaje. El proyecto se justifica en la medida que el fortalecimiento del proceso de aprendizaje genera disminución de repitencia y deserción, y mejora los niveles de autoestima y satisfacción del estudiante.</w:t>
      </w:r>
    </w:p>
    <w:p w:rsidR="00475419" w:rsidRPr="00535E30" w:rsidRDefault="00475419" w:rsidP="00475419">
      <w:pPr>
        <w:spacing w:line="276" w:lineRule="auto"/>
        <w:rPr>
          <w:rFonts w:asciiTheme="minorHAnsi" w:hAnsiTheme="minorHAnsi" w:cs="Arial"/>
          <w:color w:val="000000"/>
          <w:lang w:val="es-CO"/>
        </w:rPr>
      </w:pPr>
      <w:r w:rsidRPr="00837A19">
        <w:rPr>
          <w:rFonts w:asciiTheme="minorHAnsi" w:hAnsiTheme="minorHAnsi" w:cs="Arial"/>
          <w:i/>
          <w:color w:val="000000"/>
          <w:u w:val="single"/>
          <w:lang w:val="es-CO"/>
        </w:rPr>
        <w:t>Educatividad</w:t>
      </w:r>
      <w:r w:rsidRPr="00535E30">
        <w:rPr>
          <w:rFonts w:asciiTheme="minorHAnsi" w:hAnsiTheme="minorHAnsi" w:cs="Arial"/>
          <w:i/>
          <w:color w:val="000000"/>
          <w:lang w:val="es-CO"/>
        </w:rPr>
        <w:t>,</w:t>
      </w:r>
      <w:r w:rsidRPr="00535E30">
        <w:rPr>
          <w:rFonts w:asciiTheme="minorHAnsi" w:hAnsiTheme="minorHAnsi" w:cs="Arial"/>
          <w:color w:val="000000"/>
          <w:lang w:val="es-CO"/>
        </w:rPr>
        <w:t xml:space="preserve"> definida como "Teorías acerca de la formación de docentes, directivos académicos y personal administrativo", pretende dotar al personal docente y administrativo de la institución de los conocimientos requeridos por la naturaleza de su desempeño en la educación superior. Se ejecutarán las siguientes estrategias.</w:t>
      </w:r>
    </w:p>
    <w:p w:rsidR="00475419" w:rsidRPr="00535E30" w:rsidRDefault="00475419" w:rsidP="00475419">
      <w:pPr>
        <w:spacing w:line="276" w:lineRule="auto"/>
        <w:rPr>
          <w:rFonts w:asciiTheme="minorHAnsi" w:hAnsiTheme="minorHAnsi" w:cs="Arial"/>
          <w:color w:val="000000"/>
          <w:lang w:val="es-CO"/>
        </w:rPr>
      </w:pPr>
      <w:r w:rsidRPr="00837A19">
        <w:rPr>
          <w:rFonts w:asciiTheme="minorHAnsi" w:hAnsiTheme="minorHAnsi" w:cs="Arial"/>
          <w:i/>
          <w:color w:val="000000"/>
          <w:u w:val="single"/>
          <w:lang w:val="es-CO"/>
        </w:rPr>
        <w:t>Enseñabilidad</w:t>
      </w:r>
      <w:r w:rsidRPr="00535E30">
        <w:rPr>
          <w:rFonts w:asciiTheme="minorHAnsi" w:hAnsiTheme="minorHAnsi" w:cs="Arial"/>
          <w:i/>
          <w:color w:val="000000"/>
          <w:lang w:val="es-CO"/>
        </w:rPr>
        <w:t>,</w:t>
      </w:r>
      <w:r w:rsidRPr="00535E30">
        <w:rPr>
          <w:rFonts w:asciiTheme="minorHAnsi" w:hAnsiTheme="minorHAnsi" w:cs="Arial"/>
          <w:color w:val="000000"/>
          <w:lang w:val="es-CO"/>
        </w:rPr>
        <w:t xml:space="preserve"> Definido como: "habilidad y competencias de las personas para enseñar (métodos y estrategias utilizadas por el docente)". Este proyecto consiste en una Reforma Curricular integral de todos los programas de formación que ofrece la Universidad. Mediante ella, cada programa deberá verificar, a través de procesos investigativos, la pertinencia del programa, que indique la magnitud de la Reforma Curricular requerida.</w:t>
      </w: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i/>
          <w:color w:val="000000"/>
          <w:u w:val="single"/>
          <w:lang w:val="es-CO"/>
        </w:rPr>
        <w:lastRenderedPageBreak/>
        <w:t>Cobertura</w:t>
      </w:r>
      <w:r w:rsidRPr="00535E30">
        <w:rPr>
          <w:rFonts w:asciiTheme="minorHAnsi" w:hAnsiTheme="minorHAnsi" w:cs="Arial"/>
          <w:color w:val="000000"/>
          <w:lang w:val="es-CO"/>
        </w:rPr>
        <w:t xml:space="preserve">, Definido como: "cubrimiento que se da a un núcleo poblacional, </w:t>
      </w:r>
      <w:proofErr w:type="spellStart"/>
      <w:r w:rsidRPr="00535E30">
        <w:rPr>
          <w:rFonts w:asciiTheme="minorHAnsi" w:hAnsiTheme="minorHAnsi" w:cs="Arial"/>
          <w:color w:val="000000"/>
          <w:lang w:val="es-CO"/>
        </w:rPr>
        <w:t>claramemte</w:t>
      </w:r>
      <w:proofErr w:type="spellEnd"/>
      <w:r w:rsidRPr="00535E30">
        <w:rPr>
          <w:rFonts w:asciiTheme="minorHAnsi" w:hAnsiTheme="minorHAnsi" w:cs="Arial"/>
          <w:color w:val="000000"/>
          <w:lang w:val="es-CO"/>
        </w:rPr>
        <w:t xml:space="preserve"> definido que requiere de un servicio específico". Este proyecto está encaminado a descubrir cuáles serían las mejores estrategias metodológicas y administrativas que debería adoptar la Universidad para, sin vulnerar la calidad, permitir el acceso de muchas personas a la educación superior.</w:t>
      </w:r>
    </w:p>
    <w:p w:rsidR="00475419" w:rsidRPr="00535E30" w:rsidRDefault="00475419" w:rsidP="00475419">
      <w:pPr>
        <w:spacing w:line="276" w:lineRule="auto"/>
        <w:rPr>
          <w:rFonts w:asciiTheme="minorHAnsi" w:hAnsiTheme="minorHAnsi" w:cs="Arial"/>
          <w:color w:val="000000"/>
          <w:lang w:val="es-CO"/>
        </w:rPr>
      </w:pPr>
    </w:p>
    <w:p w:rsidR="00475419" w:rsidRDefault="00475419" w:rsidP="00475419">
      <w:pPr>
        <w:spacing w:line="276" w:lineRule="auto"/>
        <w:rPr>
          <w:rFonts w:asciiTheme="minorHAnsi" w:hAnsiTheme="minorHAnsi" w:cs="Arial"/>
          <w:color w:val="000000"/>
          <w:lang w:val="es-CO"/>
        </w:rPr>
      </w:pPr>
      <w:r w:rsidRPr="00535E30">
        <w:rPr>
          <w:rFonts w:asciiTheme="minorHAnsi" w:hAnsiTheme="minorHAnsi" w:cs="Arial"/>
          <w:color w:val="000000"/>
          <w:lang w:val="es-CO"/>
        </w:rPr>
        <w:t>El resultado de cumplimiento final del objetivo institucional a nivel de proy</w:t>
      </w:r>
      <w:r>
        <w:rPr>
          <w:rFonts w:asciiTheme="minorHAnsi" w:hAnsiTheme="minorHAnsi" w:cs="Arial"/>
          <w:color w:val="000000"/>
          <w:lang w:val="es-CO"/>
        </w:rPr>
        <w:t>ectos fue satisfactorio (</w:t>
      </w:r>
      <w:r w:rsidRPr="00837A19">
        <w:rPr>
          <w:rFonts w:asciiTheme="minorHAnsi" w:hAnsiTheme="minorHAnsi" w:cs="Arial"/>
          <w:b/>
          <w:color w:val="000000"/>
          <w:lang w:val="es-CO"/>
        </w:rPr>
        <w:t>96,84%</w:t>
      </w:r>
      <w:r w:rsidRPr="00535E30">
        <w:rPr>
          <w:rFonts w:asciiTheme="minorHAnsi" w:hAnsiTheme="minorHAnsi" w:cs="Arial"/>
          <w:color w:val="000000"/>
          <w:lang w:val="es-CO"/>
        </w:rPr>
        <w:t>).</w:t>
      </w:r>
      <w:r>
        <w:rPr>
          <w:rFonts w:asciiTheme="minorHAnsi" w:hAnsiTheme="minorHAnsi" w:cs="Arial"/>
          <w:color w:val="000000"/>
          <w:lang w:val="es-CO"/>
        </w:rPr>
        <w:t xml:space="preserve"> </w:t>
      </w:r>
      <w:r w:rsidRPr="00535E30">
        <w:rPr>
          <w:rFonts w:asciiTheme="minorHAnsi" w:hAnsiTheme="minorHAnsi" w:cs="Arial"/>
          <w:color w:val="000000"/>
          <w:lang w:val="es-CO"/>
        </w:rPr>
        <w:t>Los resultados de cada uno de los proyectos se encuentran en el siguiente cuadro:</w:t>
      </w:r>
    </w:p>
    <w:p w:rsidR="00475419" w:rsidRPr="00535E30" w:rsidRDefault="00475419" w:rsidP="00475419">
      <w:pPr>
        <w:spacing w:line="276" w:lineRule="auto"/>
        <w:rPr>
          <w:rFonts w:asciiTheme="minorHAnsi" w:hAnsiTheme="minorHAnsi" w:cs="Arial"/>
          <w:color w:val="000000"/>
          <w:lang w:val="es-CO"/>
        </w:rPr>
      </w:pPr>
    </w:p>
    <w:tbl>
      <w:tblPr>
        <w:tblW w:w="3391" w:type="pct"/>
        <w:jc w:val="center"/>
        <w:tblCellMar>
          <w:left w:w="0" w:type="dxa"/>
          <w:right w:w="0" w:type="dxa"/>
        </w:tblCellMar>
        <w:tblLook w:val="04A0" w:firstRow="1" w:lastRow="0" w:firstColumn="1" w:lastColumn="0" w:noHBand="0" w:noVBand="1"/>
      </w:tblPr>
      <w:tblGrid>
        <w:gridCol w:w="1494"/>
        <w:gridCol w:w="1472"/>
        <w:gridCol w:w="1763"/>
        <w:gridCol w:w="1285"/>
      </w:tblGrid>
      <w:tr w:rsidR="00475419" w:rsidRPr="00535E30" w:rsidTr="005678E7">
        <w:trPr>
          <w:trHeight w:val="57"/>
          <w:tblHeader/>
          <w:jc w:val="center"/>
        </w:trPr>
        <w:tc>
          <w:tcPr>
            <w:tcW w:w="1242"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20"/>
                <w:szCs w:val="20"/>
                <w:lang w:val="es-CO"/>
              </w:rPr>
            </w:pPr>
            <w:r w:rsidRPr="00535E30">
              <w:rPr>
                <w:rFonts w:asciiTheme="minorHAnsi" w:hAnsiTheme="minorHAnsi" w:cs="Arial"/>
                <w:b/>
                <w:bCs/>
                <w:sz w:val="20"/>
                <w:szCs w:val="20"/>
                <w:lang w:val="es-CO"/>
              </w:rPr>
              <w:t>Objetivo</w:t>
            </w:r>
          </w:p>
        </w:tc>
        <w:tc>
          <w:tcPr>
            <w:tcW w:w="1224"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20"/>
                <w:szCs w:val="20"/>
                <w:lang w:val="es-CO"/>
              </w:rPr>
            </w:pPr>
            <w:r w:rsidRPr="00535E30">
              <w:rPr>
                <w:rFonts w:asciiTheme="minorHAnsi" w:hAnsiTheme="minorHAnsi" w:cs="Arial"/>
                <w:b/>
                <w:bCs/>
                <w:sz w:val="20"/>
                <w:szCs w:val="20"/>
                <w:lang w:val="es-CO"/>
              </w:rPr>
              <w:t>Proyecto</w:t>
            </w:r>
          </w:p>
        </w:tc>
        <w:tc>
          <w:tcPr>
            <w:tcW w:w="1466"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20"/>
                <w:szCs w:val="20"/>
                <w:lang w:val="es-CO"/>
              </w:rPr>
            </w:pPr>
            <w:r w:rsidRPr="00535E30">
              <w:rPr>
                <w:rFonts w:asciiTheme="minorHAnsi" w:hAnsiTheme="minorHAnsi" w:cs="Arial"/>
                <w:b/>
                <w:bCs/>
                <w:sz w:val="20"/>
                <w:szCs w:val="20"/>
                <w:lang w:val="es-CO"/>
              </w:rPr>
              <w:t>Avance indicadores de Proyecto</w:t>
            </w:r>
          </w:p>
        </w:tc>
        <w:tc>
          <w:tcPr>
            <w:tcW w:w="1068"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20"/>
                <w:szCs w:val="20"/>
                <w:lang w:val="es-CO"/>
              </w:rPr>
            </w:pPr>
            <w:r w:rsidRPr="00535E30">
              <w:rPr>
                <w:rFonts w:asciiTheme="minorHAnsi" w:hAnsiTheme="minorHAnsi" w:cs="Arial"/>
                <w:b/>
                <w:bCs/>
                <w:sz w:val="20"/>
                <w:szCs w:val="20"/>
                <w:lang w:val="es-CO"/>
              </w:rPr>
              <w:t>Total Promediado por Objetivo</w:t>
            </w:r>
          </w:p>
        </w:tc>
      </w:tr>
      <w:tr w:rsidR="00475419" w:rsidRPr="00535E30" w:rsidTr="005678E7">
        <w:trPr>
          <w:trHeight w:val="57"/>
          <w:jc w:val="center"/>
        </w:trPr>
        <w:tc>
          <w:tcPr>
            <w:tcW w:w="1242" w:type="pct"/>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20"/>
                <w:szCs w:val="20"/>
                <w:lang w:val="es-CO"/>
              </w:rPr>
            </w:pPr>
            <w:r w:rsidRPr="00535E30">
              <w:rPr>
                <w:rFonts w:asciiTheme="minorHAnsi" w:hAnsiTheme="minorHAnsi" w:cs="Arial"/>
                <w:sz w:val="20"/>
                <w:szCs w:val="20"/>
                <w:lang w:val="es-CO"/>
              </w:rPr>
              <w:t>Cobertura con calidad</w:t>
            </w:r>
          </w:p>
        </w:tc>
        <w:tc>
          <w:tcPr>
            <w:tcW w:w="122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475419" w:rsidRPr="00535E30" w:rsidRDefault="00475419" w:rsidP="005678E7">
            <w:pPr>
              <w:spacing w:after="0" w:line="276" w:lineRule="auto"/>
              <w:rPr>
                <w:rFonts w:asciiTheme="minorHAnsi" w:hAnsiTheme="minorHAnsi" w:cs="Arial"/>
                <w:sz w:val="20"/>
                <w:szCs w:val="20"/>
                <w:lang w:val="es-CO"/>
              </w:rPr>
            </w:pPr>
            <w:r w:rsidRPr="00535E30">
              <w:rPr>
                <w:rFonts w:asciiTheme="minorHAnsi" w:hAnsiTheme="minorHAnsi" w:cs="Arial"/>
                <w:sz w:val="20"/>
                <w:szCs w:val="20"/>
                <w:lang w:val="es-CO"/>
              </w:rPr>
              <w:t>Educabilidad</w:t>
            </w:r>
          </w:p>
        </w:tc>
        <w:tc>
          <w:tcPr>
            <w:tcW w:w="1466" w:type="pct"/>
            <w:tcBorders>
              <w:top w:val="single" w:sz="4" w:space="0" w:color="000000"/>
              <w:left w:val="single" w:sz="4" w:space="0" w:color="000000"/>
              <w:bottom w:val="single" w:sz="4" w:space="0" w:color="000000"/>
              <w:right w:val="single" w:sz="4" w:space="0" w:color="000000"/>
            </w:tcBorders>
            <w:shd w:val="clear" w:color="auto" w:fill="D6E3BC" w:themeFill="accent3" w:themeFillTint="66"/>
            <w:tcMar>
              <w:top w:w="15" w:type="dxa"/>
              <w:left w:w="15" w:type="dxa"/>
              <w:bottom w:w="0" w:type="dxa"/>
              <w:right w:w="15" w:type="dxa"/>
            </w:tcMar>
            <w:vAlign w:val="center"/>
            <w:hideMark/>
          </w:tcPr>
          <w:p w:rsidR="00475419" w:rsidRPr="00535E30" w:rsidRDefault="00475419" w:rsidP="005678E7">
            <w:pPr>
              <w:spacing w:after="0" w:line="276" w:lineRule="auto"/>
              <w:rPr>
                <w:rFonts w:asciiTheme="minorHAnsi" w:hAnsiTheme="minorHAnsi" w:cs="Arial"/>
                <w:sz w:val="20"/>
                <w:szCs w:val="20"/>
                <w:lang w:val="es-CO"/>
              </w:rPr>
            </w:pPr>
            <w:r w:rsidRPr="00535E30">
              <w:rPr>
                <w:rFonts w:asciiTheme="minorHAnsi" w:hAnsiTheme="minorHAnsi" w:cs="Arial"/>
                <w:sz w:val="20"/>
                <w:szCs w:val="20"/>
                <w:lang w:val="es-CO"/>
              </w:rPr>
              <w:t>94,27%</w:t>
            </w:r>
          </w:p>
        </w:tc>
        <w:tc>
          <w:tcPr>
            <w:tcW w:w="1068" w:type="pct"/>
            <w:vMerge w:val="restart"/>
            <w:tcBorders>
              <w:top w:val="single" w:sz="4" w:space="0" w:color="000000"/>
              <w:left w:val="single" w:sz="4" w:space="0" w:color="000000"/>
              <w:bottom w:val="single" w:sz="4" w:space="0" w:color="000000"/>
              <w:right w:val="single" w:sz="4" w:space="0" w:color="000000"/>
            </w:tcBorders>
            <w:shd w:val="clear" w:color="auto" w:fill="D6E3BC" w:themeFill="accent3" w:themeFillTint="66"/>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b/>
                <w:sz w:val="24"/>
                <w:szCs w:val="24"/>
                <w:lang w:val="es-CO"/>
              </w:rPr>
            </w:pPr>
            <w:r w:rsidRPr="00535E30">
              <w:rPr>
                <w:rFonts w:asciiTheme="minorHAnsi" w:hAnsiTheme="minorHAnsi" w:cs="Arial"/>
                <w:b/>
                <w:sz w:val="24"/>
                <w:szCs w:val="24"/>
                <w:lang w:val="es-CO"/>
              </w:rPr>
              <w:t>96,84%</w:t>
            </w:r>
          </w:p>
        </w:tc>
      </w:tr>
      <w:tr w:rsidR="00475419" w:rsidRPr="00535E30" w:rsidTr="005678E7">
        <w:trPr>
          <w:trHeight w:val="57"/>
          <w:jc w:val="center"/>
        </w:trPr>
        <w:tc>
          <w:tcPr>
            <w:tcW w:w="1242" w:type="pct"/>
            <w:vMerge/>
            <w:tcBorders>
              <w:top w:val="single" w:sz="4" w:space="0" w:color="000000"/>
              <w:left w:val="single" w:sz="4" w:space="0" w:color="000000"/>
              <w:bottom w:val="single" w:sz="4" w:space="0" w:color="000000"/>
              <w:right w:val="single" w:sz="4" w:space="0" w:color="000000"/>
            </w:tcBorders>
            <w:vAlign w:val="center"/>
            <w:hideMark/>
          </w:tcPr>
          <w:p w:rsidR="00475419" w:rsidRPr="00535E30" w:rsidRDefault="00475419" w:rsidP="005678E7">
            <w:pPr>
              <w:spacing w:after="0" w:line="276" w:lineRule="auto"/>
              <w:rPr>
                <w:rFonts w:asciiTheme="minorHAnsi" w:hAnsiTheme="minorHAnsi" w:cs="Arial"/>
                <w:sz w:val="20"/>
                <w:szCs w:val="20"/>
                <w:lang w:val="es-CO"/>
              </w:rPr>
            </w:pPr>
          </w:p>
        </w:tc>
        <w:tc>
          <w:tcPr>
            <w:tcW w:w="122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475419" w:rsidRPr="00535E30" w:rsidRDefault="00475419" w:rsidP="005678E7">
            <w:pPr>
              <w:spacing w:after="0" w:line="276" w:lineRule="auto"/>
              <w:rPr>
                <w:rFonts w:asciiTheme="minorHAnsi" w:hAnsiTheme="minorHAnsi" w:cs="Arial"/>
                <w:sz w:val="20"/>
                <w:szCs w:val="20"/>
                <w:lang w:val="es-CO"/>
              </w:rPr>
            </w:pPr>
            <w:r w:rsidRPr="00535E30">
              <w:rPr>
                <w:rFonts w:asciiTheme="minorHAnsi" w:hAnsiTheme="minorHAnsi" w:cs="Arial"/>
                <w:sz w:val="20"/>
                <w:szCs w:val="20"/>
                <w:lang w:val="es-CO"/>
              </w:rPr>
              <w:t>Educatividad</w:t>
            </w:r>
          </w:p>
        </w:tc>
        <w:tc>
          <w:tcPr>
            <w:tcW w:w="1466" w:type="pct"/>
            <w:tcBorders>
              <w:top w:val="single" w:sz="4" w:space="0" w:color="000000"/>
              <w:left w:val="single" w:sz="4" w:space="0" w:color="000000"/>
              <w:bottom w:val="single" w:sz="4" w:space="0" w:color="000000"/>
              <w:right w:val="single" w:sz="4" w:space="0" w:color="000000"/>
            </w:tcBorders>
            <w:shd w:val="clear" w:color="auto" w:fill="D6E3BC" w:themeFill="accent3" w:themeFillTint="66"/>
            <w:tcMar>
              <w:top w:w="15" w:type="dxa"/>
              <w:left w:w="15" w:type="dxa"/>
              <w:bottom w:w="0" w:type="dxa"/>
              <w:right w:w="15" w:type="dxa"/>
            </w:tcMar>
            <w:vAlign w:val="center"/>
            <w:hideMark/>
          </w:tcPr>
          <w:p w:rsidR="00475419" w:rsidRPr="00535E30" w:rsidRDefault="00475419" w:rsidP="005678E7">
            <w:pPr>
              <w:spacing w:after="0" w:line="276" w:lineRule="auto"/>
              <w:rPr>
                <w:rFonts w:asciiTheme="minorHAnsi" w:hAnsiTheme="minorHAnsi" w:cs="Arial"/>
                <w:sz w:val="20"/>
                <w:szCs w:val="20"/>
                <w:lang w:val="es-CO"/>
              </w:rPr>
            </w:pPr>
            <w:r w:rsidRPr="00535E30">
              <w:rPr>
                <w:rFonts w:asciiTheme="minorHAnsi" w:hAnsiTheme="minorHAnsi" w:cs="Arial"/>
                <w:sz w:val="20"/>
                <w:szCs w:val="20"/>
                <w:lang w:val="es-CO"/>
              </w:rPr>
              <w:t>96,34%</w:t>
            </w:r>
          </w:p>
        </w:tc>
        <w:tc>
          <w:tcPr>
            <w:tcW w:w="1068" w:type="pct"/>
            <w:vMerge/>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center"/>
            <w:hideMark/>
          </w:tcPr>
          <w:p w:rsidR="00475419" w:rsidRPr="00535E30" w:rsidRDefault="00475419" w:rsidP="005678E7">
            <w:pPr>
              <w:spacing w:after="0" w:line="276" w:lineRule="auto"/>
              <w:rPr>
                <w:rFonts w:asciiTheme="minorHAnsi" w:hAnsiTheme="minorHAnsi" w:cs="Arial"/>
                <w:sz w:val="20"/>
                <w:szCs w:val="20"/>
                <w:lang w:val="es-CO"/>
              </w:rPr>
            </w:pPr>
          </w:p>
        </w:tc>
      </w:tr>
      <w:tr w:rsidR="00475419" w:rsidRPr="00535E30" w:rsidTr="005678E7">
        <w:trPr>
          <w:trHeight w:val="57"/>
          <w:jc w:val="center"/>
        </w:trPr>
        <w:tc>
          <w:tcPr>
            <w:tcW w:w="1242" w:type="pct"/>
            <w:vMerge/>
            <w:tcBorders>
              <w:top w:val="single" w:sz="4" w:space="0" w:color="000000"/>
              <w:left w:val="single" w:sz="4" w:space="0" w:color="000000"/>
              <w:bottom w:val="single" w:sz="4" w:space="0" w:color="000000"/>
              <w:right w:val="single" w:sz="4" w:space="0" w:color="000000"/>
            </w:tcBorders>
            <w:vAlign w:val="center"/>
            <w:hideMark/>
          </w:tcPr>
          <w:p w:rsidR="00475419" w:rsidRPr="00535E30" w:rsidRDefault="00475419" w:rsidP="005678E7">
            <w:pPr>
              <w:spacing w:after="0" w:line="276" w:lineRule="auto"/>
              <w:rPr>
                <w:rFonts w:asciiTheme="minorHAnsi" w:hAnsiTheme="minorHAnsi" w:cs="Arial"/>
                <w:sz w:val="20"/>
                <w:szCs w:val="20"/>
                <w:lang w:val="es-CO"/>
              </w:rPr>
            </w:pPr>
          </w:p>
        </w:tc>
        <w:tc>
          <w:tcPr>
            <w:tcW w:w="122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475419" w:rsidRPr="00535E30" w:rsidRDefault="00475419" w:rsidP="005678E7">
            <w:pPr>
              <w:spacing w:after="0" w:line="276" w:lineRule="auto"/>
              <w:rPr>
                <w:rFonts w:asciiTheme="minorHAnsi" w:hAnsiTheme="minorHAnsi" w:cs="Arial"/>
                <w:sz w:val="20"/>
                <w:szCs w:val="20"/>
                <w:lang w:val="es-CO"/>
              </w:rPr>
            </w:pPr>
            <w:r w:rsidRPr="00535E30">
              <w:rPr>
                <w:rFonts w:asciiTheme="minorHAnsi" w:hAnsiTheme="minorHAnsi" w:cs="Arial"/>
                <w:sz w:val="20"/>
                <w:szCs w:val="20"/>
                <w:lang w:val="es-CO"/>
              </w:rPr>
              <w:t>Enseñabilidad</w:t>
            </w:r>
          </w:p>
        </w:tc>
        <w:tc>
          <w:tcPr>
            <w:tcW w:w="1466" w:type="pct"/>
            <w:tcBorders>
              <w:top w:val="single" w:sz="4" w:space="0" w:color="000000"/>
              <w:left w:val="single" w:sz="4" w:space="0" w:color="000000"/>
              <w:bottom w:val="single" w:sz="4" w:space="0" w:color="000000"/>
              <w:right w:val="single" w:sz="4" w:space="0" w:color="000000"/>
            </w:tcBorders>
            <w:shd w:val="clear" w:color="auto" w:fill="D6E3BC" w:themeFill="accent3" w:themeFillTint="66"/>
            <w:tcMar>
              <w:top w:w="15" w:type="dxa"/>
              <w:left w:w="15" w:type="dxa"/>
              <w:bottom w:w="0" w:type="dxa"/>
              <w:right w:w="15" w:type="dxa"/>
            </w:tcMar>
            <w:vAlign w:val="center"/>
            <w:hideMark/>
          </w:tcPr>
          <w:p w:rsidR="00475419" w:rsidRPr="00535E30" w:rsidRDefault="00475419" w:rsidP="005678E7">
            <w:pPr>
              <w:spacing w:after="0" w:line="276" w:lineRule="auto"/>
              <w:rPr>
                <w:rFonts w:asciiTheme="minorHAnsi" w:hAnsiTheme="minorHAnsi" w:cs="Arial"/>
                <w:sz w:val="20"/>
                <w:szCs w:val="20"/>
                <w:lang w:val="es-CO"/>
              </w:rPr>
            </w:pPr>
            <w:r w:rsidRPr="00535E30">
              <w:rPr>
                <w:rFonts w:asciiTheme="minorHAnsi" w:hAnsiTheme="minorHAnsi" w:cs="Arial"/>
                <w:sz w:val="20"/>
                <w:szCs w:val="20"/>
                <w:lang w:val="es-CO"/>
              </w:rPr>
              <w:t>99,61%</w:t>
            </w:r>
          </w:p>
        </w:tc>
        <w:tc>
          <w:tcPr>
            <w:tcW w:w="1068" w:type="pct"/>
            <w:vMerge/>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center"/>
            <w:hideMark/>
          </w:tcPr>
          <w:p w:rsidR="00475419" w:rsidRPr="00535E30" w:rsidRDefault="00475419" w:rsidP="005678E7">
            <w:pPr>
              <w:spacing w:after="0" w:line="276" w:lineRule="auto"/>
              <w:rPr>
                <w:rFonts w:asciiTheme="minorHAnsi" w:hAnsiTheme="minorHAnsi" w:cs="Arial"/>
                <w:sz w:val="20"/>
                <w:szCs w:val="20"/>
                <w:lang w:val="es-CO"/>
              </w:rPr>
            </w:pPr>
          </w:p>
        </w:tc>
      </w:tr>
      <w:tr w:rsidR="00475419" w:rsidRPr="00535E30" w:rsidTr="005678E7">
        <w:trPr>
          <w:trHeight w:val="57"/>
          <w:jc w:val="center"/>
        </w:trPr>
        <w:tc>
          <w:tcPr>
            <w:tcW w:w="1242" w:type="pct"/>
            <w:vMerge/>
            <w:tcBorders>
              <w:top w:val="single" w:sz="4" w:space="0" w:color="000000"/>
              <w:left w:val="single" w:sz="4" w:space="0" w:color="000000"/>
              <w:bottom w:val="single" w:sz="4" w:space="0" w:color="000000"/>
              <w:right w:val="single" w:sz="4" w:space="0" w:color="000000"/>
            </w:tcBorders>
            <w:vAlign w:val="center"/>
            <w:hideMark/>
          </w:tcPr>
          <w:p w:rsidR="00475419" w:rsidRPr="00535E30" w:rsidRDefault="00475419" w:rsidP="005678E7">
            <w:pPr>
              <w:spacing w:after="0" w:line="276" w:lineRule="auto"/>
              <w:rPr>
                <w:rFonts w:asciiTheme="minorHAnsi" w:hAnsiTheme="minorHAnsi" w:cs="Arial"/>
                <w:sz w:val="20"/>
                <w:szCs w:val="20"/>
                <w:lang w:val="es-CO"/>
              </w:rPr>
            </w:pPr>
          </w:p>
        </w:tc>
        <w:tc>
          <w:tcPr>
            <w:tcW w:w="122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475419" w:rsidRPr="00535E30" w:rsidRDefault="00475419" w:rsidP="005678E7">
            <w:pPr>
              <w:spacing w:after="0" w:line="276" w:lineRule="auto"/>
              <w:rPr>
                <w:rFonts w:asciiTheme="minorHAnsi" w:hAnsiTheme="minorHAnsi" w:cs="Arial"/>
                <w:sz w:val="20"/>
                <w:szCs w:val="20"/>
                <w:lang w:val="es-CO"/>
              </w:rPr>
            </w:pPr>
            <w:r w:rsidRPr="00535E30">
              <w:rPr>
                <w:rFonts w:asciiTheme="minorHAnsi" w:hAnsiTheme="minorHAnsi" w:cs="Arial"/>
                <w:sz w:val="20"/>
                <w:szCs w:val="20"/>
                <w:lang w:val="es-CO"/>
              </w:rPr>
              <w:t>Aprendibilidad</w:t>
            </w:r>
          </w:p>
        </w:tc>
        <w:tc>
          <w:tcPr>
            <w:tcW w:w="1466" w:type="pct"/>
            <w:tcBorders>
              <w:top w:val="single" w:sz="4" w:space="0" w:color="000000"/>
              <w:left w:val="single" w:sz="4" w:space="0" w:color="000000"/>
              <w:bottom w:val="single" w:sz="4" w:space="0" w:color="000000"/>
              <w:right w:val="single" w:sz="4" w:space="0" w:color="000000"/>
            </w:tcBorders>
            <w:shd w:val="clear" w:color="auto" w:fill="D6E3BC" w:themeFill="accent3" w:themeFillTint="66"/>
            <w:tcMar>
              <w:top w:w="15" w:type="dxa"/>
              <w:left w:w="15" w:type="dxa"/>
              <w:bottom w:w="0" w:type="dxa"/>
              <w:right w:w="15" w:type="dxa"/>
            </w:tcMar>
            <w:vAlign w:val="center"/>
            <w:hideMark/>
          </w:tcPr>
          <w:p w:rsidR="00475419" w:rsidRPr="00535E30" w:rsidRDefault="00475419" w:rsidP="005678E7">
            <w:pPr>
              <w:spacing w:after="0" w:line="276" w:lineRule="auto"/>
              <w:rPr>
                <w:rFonts w:asciiTheme="minorHAnsi" w:hAnsiTheme="minorHAnsi" w:cs="Arial"/>
                <w:sz w:val="20"/>
                <w:szCs w:val="20"/>
                <w:lang w:val="es-CO"/>
              </w:rPr>
            </w:pPr>
            <w:r w:rsidRPr="00535E30">
              <w:rPr>
                <w:rFonts w:asciiTheme="minorHAnsi" w:hAnsiTheme="minorHAnsi" w:cs="Arial"/>
                <w:sz w:val="20"/>
                <w:szCs w:val="20"/>
                <w:lang w:val="es-CO"/>
              </w:rPr>
              <w:t>96,00%</w:t>
            </w:r>
          </w:p>
        </w:tc>
        <w:tc>
          <w:tcPr>
            <w:tcW w:w="1068" w:type="pct"/>
            <w:vMerge/>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center"/>
            <w:hideMark/>
          </w:tcPr>
          <w:p w:rsidR="00475419" w:rsidRPr="00535E30" w:rsidRDefault="00475419" w:rsidP="005678E7">
            <w:pPr>
              <w:spacing w:after="0" w:line="276" w:lineRule="auto"/>
              <w:rPr>
                <w:rFonts w:asciiTheme="minorHAnsi" w:hAnsiTheme="minorHAnsi" w:cs="Arial"/>
                <w:sz w:val="20"/>
                <w:szCs w:val="20"/>
                <w:lang w:val="es-CO"/>
              </w:rPr>
            </w:pPr>
          </w:p>
        </w:tc>
      </w:tr>
      <w:tr w:rsidR="00475419" w:rsidRPr="00535E30" w:rsidTr="005678E7">
        <w:trPr>
          <w:trHeight w:val="57"/>
          <w:jc w:val="center"/>
        </w:trPr>
        <w:tc>
          <w:tcPr>
            <w:tcW w:w="1242" w:type="pct"/>
            <w:vMerge/>
            <w:tcBorders>
              <w:top w:val="single" w:sz="4" w:space="0" w:color="000000"/>
              <w:left w:val="single" w:sz="4" w:space="0" w:color="000000"/>
              <w:bottom w:val="single" w:sz="4" w:space="0" w:color="000000"/>
              <w:right w:val="single" w:sz="4" w:space="0" w:color="000000"/>
            </w:tcBorders>
            <w:vAlign w:val="center"/>
            <w:hideMark/>
          </w:tcPr>
          <w:p w:rsidR="00475419" w:rsidRPr="00535E30" w:rsidRDefault="00475419" w:rsidP="005678E7">
            <w:pPr>
              <w:spacing w:after="0" w:line="276" w:lineRule="auto"/>
              <w:rPr>
                <w:rFonts w:asciiTheme="minorHAnsi" w:hAnsiTheme="minorHAnsi" w:cs="Arial"/>
                <w:sz w:val="20"/>
                <w:szCs w:val="20"/>
                <w:lang w:val="es-CO"/>
              </w:rPr>
            </w:pPr>
          </w:p>
        </w:tc>
        <w:tc>
          <w:tcPr>
            <w:tcW w:w="122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475419" w:rsidRPr="00535E30" w:rsidRDefault="00475419" w:rsidP="005678E7">
            <w:pPr>
              <w:spacing w:after="0" w:line="276" w:lineRule="auto"/>
              <w:rPr>
                <w:rFonts w:asciiTheme="minorHAnsi" w:hAnsiTheme="minorHAnsi" w:cs="Arial"/>
                <w:sz w:val="20"/>
                <w:szCs w:val="20"/>
                <w:lang w:val="es-CO"/>
              </w:rPr>
            </w:pPr>
            <w:r w:rsidRPr="00535E30">
              <w:rPr>
                <w:rFonts w:asciiTheme="minorHAnsi" w:hAnsiTheme="minorHAnsi" w:cs="Arial"/>
                <w:sz w:val="20"/>
                <w:szCs w:val="20"/>
                <w:lang w:val="es-CO"/>
              </w:rPr>
              <w:t>Cobertura</w:t>
            </w:r>
          </w:p>
        </w:tc>
        <w:tc>
          <w:tcPr>
            <w:tcW w:w="1466" w:type="pct"/>
            <w:tcBorders>
              <w:top w:val="single" w:sz="4" w:space="0" w:color="000000"/>
              <w:left w:val="single" w:sz="4" w:space="0" w:color="000000"/>
              <w:bottom w:val="single" w:sz="4" w:space="0" w:color="000000"/>
              <w:right w:val="single" w:sz="4" w:space="0" w:color="000000"/>
            </w:tcBorders>
            <w:shd w:val="clear" w:color="auto" w:fill="D6E3BC" w:themeFill="accent3" w:themeFillTint="66"/>
            <w:tcMar>
              <w:top w:w="15" w:type="dxa"/>
              <w:left w:w="15" w:type="dxa"/>
              <w:bottom w:w="0" w:type="dxa"/>
              <w:right w:w="15" w:type="dxa"/>
            </w:tcMar>
            <w:vAlign w:val="center"/>
            <w:hideMark/>
          </w:tcPr>
          <w:p w:rsidR="00475419" w:rsidRPr="00535E30" w:rsidRDefault="00475419" w:rsidP="005678E7">
            <w:pPr>
              <w:spacing w:after="0" w:line="276" w:lineRule="auto"/>
              <w:rPr>
                <w:rFonts w:asciiTheme="minorHAnsi" w:hAnsiTheme="minorHAnsi" w:cs="Arial"/>
                <w:sz w:val="20"/>
                <w:szCs w:val="20"/>
                <w:lang w:val="es-CO"/>
              </w:rPr>
            </w:pPr>
            <w:r w:rsidRPr="00535E30">
              <w:rPr>
                <w:rFonts w:asciiTheme="minorHAnsi" w:hAnsiTheme="minorHAnsi" w:cs="Arial"/>
                <w:sz w:val="20"/>
                <w:szCs w:val="20"/>
                <w:lang w:val="es-CO"/>
              </w:rPr>
              <w:t>98,00%</w:t>
            </w:r>
          </w:p>
        </w:tc>
        <w:tc>
          <w:tcPr>
            <w:tcW w:w="1068" w:type="pct"/>
            <w:vMerge/>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center"/>
            <w:hideMark/>
          </w:tcPr>
          <w:p w:rsidR="00475419" w:rsidRPr="00535E30" w:rsidRDefault="00475419" w:rsidP="005678E7">
            <w:pPr>
              <w:spacing w:after="0" w:line="276" w:lineRule="auto"/>
              <w:rPr>
                <w:rFonts w:asciiTheme="minorHAnsi" w:hAnsiTheme="minorHAnsi" w:cs="Arial"/>
                <w:sz w:val="20"/>
                <w:szCs w:val="20"/>
                <w:lang w:val="es-CO"/>
              </w:rPr>
            </w:pPr>
          </w:p>
        </w:tc>
      </w:tr>
    </w:tbl>
    <w:p w:rsidR="00475419" w:rsidRPr="00535E30" w:rsidRDefault="00475419" w:rsidP="00475419">
      <w:pPr>
        <w:spacing w:line="276" w:lineRule="auto"/>
        <w:rPr>
          <w:rFonts w:asciiTheme="minorHAnsi" w:hAnsiTheme="minorHAnsi" w:cs="Arial"/>
        </w:rPr>
      </w:pPr>
    </w:p>
    <w:p w:rsidR="00475419" w:rsidRPr="00535E30" w:rsidRDefault="00475419" w:rsidP="00475419">
      <w:pPr>
        <w:spacing w:line="276" w:lineRule="auto"/>
        <w:rPr>
          <w:rFonts w:asciiTheme="minorHAnsi" w:hAnsiTheme="minorHAnsi" w:cs="Arial"/>
        </w:rPr>
      </w:pPr>
      <w:r w:rsidRPr="00535E30">
        <w:rPr>
          <w:rFonts w:asciiTheme="minorHAnsi" w:hAnsiTheme="minorHAnsi" w:cs="Arial"/>
        </w:rPr>
        <w:t>Se  presenta a continuación el nivel de cumplimiento por cada uno de los planes operativos:</w:t>
      </w:r>
    </w:p>
    <w:tbl>
      <w:tblPr>
        <w:tblW w:w="9567" w:type="dxa"/>
        <w:tblInd w:w="-72" w:type="dxa"/>
        <w:tblCellMar>
          <w:left w:w="70" w:type="dxa"/>
          <w:right w:w="70" w:type="dxa"/>
        </w:tblCellMar>
        <w:tblLook w:val="04A0" w:firstRow="1" w:lastRow="0" w:firstColumn="1" w:lastColumn="0" w:noHBand="0" w:noVBand="1"/>
      </w:tblPr>
      <w:tblGrid>
        <w:gridCol w:w="1216"/>
        <w:gridCol w:w="2661"/>
        <w:gridCol w:w="3069"/>
        <w:gridCol w:w="711"/>
        <w:gridCol w:w="707"/>
        <w:gridCol w:w="1203"/>
      </w:tblGrid>
      <w:tr w:rsidR="00475419" w:rsidRPr="00535E30" w:rsidTr="005678E7">
        <w:trPr>
          <w:trHeight w:val="510"/>
          <w:tblHeader/>
        </w:trPr>
        <w:tc>
          <w:tcPr>
            <w:tcW w:w="1216" w:type="dxa"/>
            <w:tcBorders>
              <w:top w:val="single" w:sz="4" w:space="0" w:color="auto"/>
              <w:left w:val="single" w:sz="4" w:space="0" w:color="auto"/>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Arial"/>
                <w:b/>
                <w:bCs/>
                <w:color w:val="000000"/>
                <w:sz w:val="18"/>
                <w:szCs w:val="18"/>
                <w:lang w:val="es-CO" w:eastAsia="es-CO"/>
              </w:rPr>
            </w:pPr>
            <w:r w:rsidRPr="00535E30">
              <w:rPr>
                <w:rFonts w:asciiTheme="minorHAnsi" w:eastAsia="Times New Roman" w:hAnsiTheme="minorHAnsi" w:cs="Arial"/>
                <w:b/>
                <w:bCs/>
                <w:color w:val="000000"/>
                <w:sz w:val="18"/>
                <w:szCs w:val="18"/>
                <w:lang w:val="es-CO" w:eastAsia="es-CO"/>
              </w:rPr>
              <w:t>Proyecto</w:t>
            </w:r>
          </w:p>
        </w:tc>
        <w:tc>
          <w:tcPr>
            <w:tcW w:w="2661" w:type="dxa"/>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Arial"/>
                <w:b/>
                <w:bCs/>
                <w:color w:val="000000"/>
                <w:sz w:val="18"/>
                <w:szCs w:val="18"/>
                <w:lang w:val="es-CO" w:eastAsia="es-CO"/>
              </w:rPr>
            </w:pPr>
            <w:r w:rsidRPr="00535E30">
              <w:rPr>
                <w:rFonts w:asciiTheme="minorHAnsi" w:eastAsia="Times New Roman" w:hAnsiTheme="minorHAnsi" w:cs="Arial"/>
                <w:b/>
                <w:bCs/>
                <w:color w:val="000000"/>
                <w:sz w:val="18"/>
                <w:szCs w:val="18"/>
                <w:lang w:val="es-CO" w:eastAsia="es-CO"/>
              </w:rPr>
              <w:t>Plan Operativo</w:t>
            </w:r>
          </w:p>
        </w:tc>
        <w:tc>
          <w:tcPr>
            <w:tcW w:w="3069" w:type="dxa"/>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Arial"/>
                <w:b/>
                <w:bCs/>
                <w:color w:val="000000"/>
                <w:sz w:val="18"/>
                <w:szCs w:val="18"/>
                <w:lang w:val="es-CO" w:eastAsia="es-CO"/>
              </w:rPr>
            </w:pPr>
            <w:r w:rsidRPr="00535E30">
              <w:rPr>
                <w:rFonts w:asciiTheme="minorHAnsi" w:eastAsia="Times New Roman" w:hAnsiTheme="minorHAnsi" w:cs="Arial"/>
                <w:b/>
                <w:bCs/>
                <w:color w:val="000000"/>
                <w:sz w:val="18"/>
                <w:szCs w:val="18"/>
                <w:lang w:val="es-CO" w:eastAsia="es-CO"/>
              </w:rPr>
              <w:t>Indicadores</w:t>
            </w:r>
          </w:p>
        </w:tc>
        <w:tc>
          <w:tcPr>
            <w:tcW w:w="711" w:type="dxa"/>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Arial"/>
                <w:b/>
                <w:bCs/>
                <w:color w:val="000000"/>
                <w:sz w:val="18"/>
                <w:szCs w:val="18"/>
                <w:lang w:val="es-CO" w:eastAsia="es-CO"/>
              </w:rPr>
            </w:pPr>
            <w:r w:rsidRPr="00535E30">
              <w:rPr>
                <w:rFonts w:asciiTheme="minorHAnsi" w:eastAsia="Times New Roman" w:hAnsiTheme="minorHAnsi" w:cs="Arial"/>
                <w:b/>
                <w:bCs/>
                <w:color w:val="000000"/>
                <w:sz w:val="18"/>
                <w:szCs w:val="18"/>
                <w:lang w:val="es-CO" w:eastAsia="es-CO"/>
              </w:rPr>
              <w:t>Meta</w:t>
            </w:r>
          </w:p>
        </w:tc>
        <w:tc>
          <w:tcPr>
            <w:tcW w:w="707" w:type="dxa"/>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Arial"/>
                <w:b/>
                <w:bCs/>
                <w:color w:val="000000"/>
                <w:sz w:val="18"/>
                <w:szCs w:val="18"/>
                <w:lang w:val="es-CO" w:eastAsia="es-CO"/>
              </w:rPr>
            </w:pPr>
            <w:r w:rsidRPr="00535E30">
              <w:rPr>
                <w:rFonts w:asciiTheme="minorHAnsi" w:eastAsia="Times New Roman" w:hAnsiTheme="minorHAnsi" w:cs="Arial"/>
                <w:b/>
                <w:bCs/>
                <w:color w:val="000000"/>
                <w:sz w:val="18"/>
                <w:szCs w:val="18"/>
                <w:lang w:val="es-CO" w:eastAsia="es-CO"/>
              </w:rPr>
              <w:t>Avance</w:t>
            </w:r>
          </w:p>
        </w:tc>
        <w:tc>
          <w:tcPr>
            <w:tcW w:w="1203" w:type="dxa"/>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Arial"/>
                <w:b/>
                <w:bCs/>
                <w:color w:val="000000"/>
                <w:sz w:val="18"/>
                <w:szCs w:val="18"/>
                <w:lang w:val="es-CO" w:eastAsia="es-CO"/>
              </w:rPr>
            </w:pPr>
            <w:r w:rsidRPr="00535E30">
              <w:rPr>
                <w:rFonts w:asciiTheme="minorHAnsi" w:eastAsia="Times New Roman" w:hAnsiTheme="minorHAnsi" w:cs="Arial"/>
                <w:b/>
                <w:bCs/>
                <w:color w:val="000000"/>
                <w:sz w:val="18"/>
                <w:szCs w:val="18"/>
                <w:lang w:val="es-CO" w:eastAsia="es-CO"/>
              </w:rPr>
              <w:t>% cumplimiento</w:t>
            </w:r>
          </w:p>
        </w:tc>
      </w:tr>
      <w:tr w:rsidR="00475419" w:rsidRPr="00535E30" w:rsidTr="005678E7">
        <w:trPr>
          <w:trHeight w:val="70"/>
        </w:trPr>
        <w:tc>
          <w:tcPr>
            <w:tcW w:w="121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Educabilidad</w:t>
            </w:r>
          </w:p>
        </w:tc>
        <w:tc>
          <w:tcPr>
            <w:tcW w:w="2661"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 xml:space="preserve">pruebas para la identificación de perfiles de ingreso y medición de competencias </w:t>
            </w:r>
          </w:p>
        </w:tc>
        <w:tc>
          <w:tcPr>
            <w:tcW w:w="306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Estudiantes valorados en  todas las pruebas de competencias iniciales y de perfiles de ingreso ya implementadas</w:t>
            </w:r>
          </w:p>
        </w:tc>
        <w:tc>
          <w:tcPr>
            <w:tcW w:w="711"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75</w:t>
            </w:r>
          </w:p>
        </w:tc>
        <w:tc>
          <w:tcPr>
            <w:tcW w:w="707"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82</w:t>
            </w:r>
          </w:p>
        </w:tc>
        <w:tc>
          <w:tcPr>
            <w:tcW w:w="1203" w:type="dxa"/>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100,00%</w:t>
            </w:r>
          </w:p>
        </w:tc>
      </w:tr>
      <w:tr w:rsidR="00475419" w:rsidRPr="00535E30" w:rsidTr="005678E7">
        <w:trPr>
          <w:trHeight w:val="70"/>
        </w:trPr>
        <w:tc>
          <w:tcPr>
            <w:tcW w:w="1216" w:type="dxa"/>
            <w:vMerge/>
            <w:tcBorders>
              <w:top w:val="nil"/>
              <w:left w:val="single" w:sz="4" w:space="0" w:color="auto"/>
              <w:bottom w:val="single" w:sz="4" w:space="0" w:color="000000"/>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2661"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Acompañamiento en la implementación del plan de marketing para ofrecimiento de educación continua</w:t>
            </w:r>
          </w:p>
        </w:tc>
        <w:tc>
          <w:tcPr>
            <w:tcW w:w="306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Investigación con las necesidades más relevantes de la región</w:t>
            </w:r>
          </w:p>
        </w:tc>
        <w:tc>
          <w:tcPr>
            <w:tcW w:w="711"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75</w:t>
            </w:r>
          </w:p>
        </w:tc>
        <w:tc>
          <w:tcPr>
            <w:tcW w:w="707"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70</w:t>
            </w:r>
          </w:p>
        </w:tc>
        <w:tc>
          <w:tcPr>
            <w:tcW w:w="1203" w:type="dxa"/>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93,33%</w:t>
            </w:r>
          </w:p>
        </w:tc>
      </w:tr>
      <w:tr w:rsidR="00475419" w:rsidRPr="00535E30" w:rsidTr="005678E7">
        <w:trPr>
          <w:trHeight w:val="70"/>
        </w:trPr>
        <w:tc>
          <w:tcPr>
            <w:tcW w:w="1216" w:type="dxa"/>
            <w:vMerge/>
            <w:tcBorders>
              <w:top w:val="nil"/>
              <w:left w:val="single" w:sz="4" w:space="0" w:color="auto"/>
              <w:bottom w:val="single" w:sz="4" w:space="0" w:color="000000"/>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2661" w:type="dxa"/>
            <w:vMerge w:val="restart"/>
            <w:tcBorders>
              <w:top w:val="nil"/>
              <w:left w:val="single" w:sz="4" w:space="0" w:color="auto"/>
              <w:bottom w:val="single" w:sz="4" w:space="0" w:color="000000"/>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Observatorio de Seguimiento y Vinculación del Egresado</w:t>
            </w:r>
          </w:p>
        </w:tc>
        <w:tc>
          <w:tcPr>
            <w:tcW w:w="306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Porcentaje de graduados con información actualizada acorde con las variables de interés institucional</w:t>
            </w:r>
          </w:p>
        </w:tc>
        <w:tc>
          <w:tcPr>
            <w:tcW w:w="711"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30</w:t>
            </w:r>
          </w:p>
        </w:tc>
        <w:tc>
          <w:tcPr>
            <w:tcW w:w="707"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30,2</w:t>
            </w:r>
          </w:p>
        </w:tc>
        <w:tc>
          <w:tcPr>
            <w:tcW w:w="1203" w:type="dxa"/>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100,00%</w:t>
            </w:r>
          </w:p>
        </w:tc>
      </w:tr>
      <w:tr w:rsidR="00475419" w:rsidRPr="00535E30" w:rsidTr="005678E7">
        <w:trPr>
          <w:trHeight w:val="70"/>
        </w:trPr>
        <w:tc>
          <w:tcPr>
            <w:tcW w:w="1216" w:type="dxa"/>
            <w:vMerge/>
            <w:tcBorders>
              <w:top w:val="nil"/>
              <w:left w:val="single" w:sz="4" w:space="0" w:color="auto"/>
              <w:bottom w:val="single" w:sz="4" w:space="0" w:color="000000"/>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2661" w:type="dxa"/>
            <w:vMerge/>
            <w:tcBorders>
              <w:top w:val="nil"/>
              <w:left w:val="single" w:sz="4" w:space="0" w:color="auto"/>
              <w:bottom w:val="single" w:sz="4" w:space="0" w:color="000000"/>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306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Egresados vinculados en la estrategia de gestión del conocimiento</w:t>
            </w:r>
          </w:p>
        </w:tc>
        <w:tc>
          <w:tcPr>
            <w:tcW w:w="711"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80</w:t>
            </w:r>
          </w:p>
        </w:tc>
        <w:tc>
          <w:tcPr>
            <w:tcW w:w="707"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67</w:t>
            </w:r>
          </w:p>
        </w:tc>
        <w:tc>
          <w:tcPr>
            <w:tcW w:w="1203" w:type="dxa"/>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83,75%</w:t>
            </w:r>
          </w:p>
        </w:tc>
      </w:tr>
      <w:tr w:rsidR="00475419" w:rsidRPr="00535E30" w:rsidTr="005678E7">
        <w:trPr>
          <w:trHeight w:val="70"/>
        </w:trPr>
        <w:tc>
          <w:tcPr>
            <w:tcW w:w="1216" w:type="dxa"/>
            <w:tcBorders>
              <w:top w:val="nil"/>
              <w:left w:val="single" w:sz="4" w:space="0" w:color="auto"/>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Educatividad</w:t>
            </w:r>
          </w:p>
        </w:tc>
        <w:tc>
          <w:tcPr>
            <w:tcW w:w="2661"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desarrollar las líneas de formación  establecidas en el plan integral de desarrollo docente</w:t>
            </w:r>
          </w:p>
        </w:tc>
        <w:tc>
          <w:tcPr>
            <w:tcW w:w="306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Número de líneas implementadas dentro del plan integral docente</w:t>
            </w:r>
          </w:p>
        </w:tc>
        <w:tc>
          <w:tcPr>
            <w:tcW w:w="711"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50</w:t>
            </w:r>
          </w:p>
        </w:tc>
        <w:tc>
          <w:tcPr>
            <w:tcW w:w="707"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48,17</w:t>
            </w:r>
          </w:p>
        </w:tc>
        <w:tc>
          <w:tcPr>
            <w:tcW w:w="1203" w:type="dxa"/>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96,34%</w:t>
            </w:r>
          </w:p>
        </w:tc>
      </w:tr>
      <w:tr w:rsidR="00475419" w:rsidRPr="00535E30" w:rsidTr="005678E7">
        <w:trPr>
          <w:trHeight w:val="70"/>
        </w:trPr>
        <w:tc>
          <w:tcPr>
            <w:tcW w:w="1216"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Enseñabilidad</w:t>
            </w:r>
          </w:p>
        </w:tc>
        <w:tc>
          <w:tcPr>
            <w:tcW w:w="2661"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reforma curricular</w:t>
            </w:r>
          </w:p>
        </w:tc>
        <w:tc>
          <w:tcPr>
            <w:tcW w:w="306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Programas en proceso de reforma curricular</w:t>
            </w:r>
          </w:p>
        </w:tc>
        <w:tc>
          <w:tcPr>
            <w:tcW w:w="711"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w:t>
            </w:r>
          </w:p>
        </w:tc>
        <w:tc>
          <w:tcPr>
            <w:tcW w:w="707"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99,67</w:t>
            </w:r>
          </w:p>
        </w:tc>
        <w:tc>
          <w:tcPr>
            <w:tcW w:w="1203" w:type="dxa"/>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99,67%</w:t>
            </w:r>
          </w:p>
        </w:tc>
      </w:tr>
      <w:tr w:rsidR="00475419" w:rsidRPr="00535E30" w:rsidTr="005678E7">
        <w:trPr>
          <w:trHeight w:val="70"/>
        </w:trPr>
        <w:tc>
          <w:tcPr>
            <w:tcW w:w="1216" w:type="dxa"/>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2661" w:type="dxa"/>
            <w:vMerge w:val="restart"/>
            <w:tcBorders>
              <w:top w:val="nil"/>
              <w:left w:val="single" w:sz="4" w:space="0" w:color="auto"/>
              <w:bottom w:val="single" w:sz="4" w:space="0" w:color="000000"/>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Sistema de Autoevaluación y Mejoramiento Continuo</w:t>
            </w:r>
          </w:p>
        </w:tc>
        <w:tc>
          <w:tcPr>
            <w:tcW w:w="306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Porcentaje de avance en las etapas de autoevaluación del plan operativo pregrado</w:t>
            </w:r>
          </w:p>
        </w:tc>
        <w:tc>
          <w:tcPr>
            <w:tcW w:w="711"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w:t>
            </w:r>
          </w:p>
        </w:tc>
        <w:tc>
          <w:tcPr>
            <w:tcW w:w="707"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w:t>
            </w:r>
          </w:p>
        </w:tc>
        <w:tc>
          <w:tcPr>
            <w:tcW w:w="1203" w:type="dxa"/>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100,00%</w:t>
            </w:r>
          </w:p>
        </w:tc>
      </w:tr>
      <w:tr w:rsidR="00475419" w:rsidRPr="00535E30" w:rsidTr="005678E7">
        <w:trPr>
          <w:trHeight w:val="70"/>
        </w:trPr>
        <w:tc>
          <w:tcPr>
            <w:tcW w:w="1216" w:type="dxa"/>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2661" w:type="dxa"/>
            <w:vMerge/>
            <w:tcBorders>
              <w:top w:val="nil"/>
              <w:left w:val="single" w:sz="4" w:space="0" w:color="auto"/>
              <w:bottom w:val="single" w:sz="4" w:space="0" w:color="000000"/>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306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 xml:space="preserve">Porcentaje de avance en las etapas de autoevaluación del plan operativo </w:t>
            </w:r>
            <w:r w:rsidRPr="00535E30">
              <w:rPr>
                <w:rFonts w:asciiTheme="minorHAnsi" w:eastAsia="Times New Roman" w:hAnsiTheme="minorHAnsi" w:cs="Arial"/>
                <w:sz w:val="18"/>
                <w:szCs w:val="18"/>
                <w:lang w:val="es-CO" w:eastAsia="es-CO"/>
              </w:rPr>
              <w:lastRenderedPageBreak/>
              <w:t>postgrado</w:t>
            </w:r>
          </w:p>
        </w:tc>
        <w:tc>
          <w:tcPr>
            <w:tcW w:w="711"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lastRenderedPageBreak/>
              <w:t>100</w:t>
            </w:r>
          </w:p>
        </w:tc>
        <w:tc>
          <w:tcPr>
            <w:tcW w:w="707"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w:t>
            </w:r>
          </w:p>
        </w:tc>
        <w:tc>
          <w:tcPr>
            <w:tcW w:w="1203" w:type="dxa"/>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100,00%</w:t>
            </w:r>
          </w:p>
        </w:tc>
      </w:tr>
      <w:tr w:rsidR="00475419" w:rsidRPr="00535E30" w:rsidTr="005678E7">
        <w:trPr>
          <w:trHeight w:val="70"/>
        </w:trPr>
        <w:tc>
          <w:tcPr>
            <w:tcW w:w="1216" w:type="dxa"/>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2661"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 xml:space="preserve"> renovación de la acreditación institucional</w:t>
            </w:r>
          </w:p>
        </w:tc>
        <w:tc>
          <w:tcPr>
            <w:tcW w:w="306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 de avance en las actividades de acreditación institucional</w:t>
            </w:r>
          </w:p>
        </w:tc>
        <w:tc>
          <w:tcPr>
            <w:tcW w:w="711"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w:t>
            </w:r>
          </w:p>
        </w:tc>
        <w:tc>
          <w:tcPr>
            <w:tcW w:w="707"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98,75</w:t>
            </w:r>
          </w:p>
        </w:tc>
        <w:tc>
          <w:tcPr>
            <w:tcW w:w="1203" w:type="dxa"/>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98,75%</w:t>
            </w:r>
          </w:p>
        </w:tc>
      </w:tr>
      <w:tr w:rsidR="00475419" w:rsidRPr="00535E30" w:rsidTr="005678E7">
        <w:trPr>
          <w:trHeight w:val="70"/>
        </w:trPr>
        <w:tc>
          <w:tcPr>
            <w:tcW w:w="1216"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Aprendibilidad</w:t>
            </w:r>
          </w:p>
        </w:tc>
        <w:tc>
          <w:tcPr>
            <w:tcW w:w="2661"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observatorio académico</w:t>
            </w:r>
          </w:p>
        </w:tc>
        <w:tc>
          <w:tcPr>
            <w:tcW w:w="306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Observatorio académico</w:t>
            </w:r>
          </w:p>
        </w:tc>
        <w:tc>
          <w:tcPr>
            <w:tcW w:w="711"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85</w:t>
            </w:r>
          </w:p>
        </w:tc>
        <w:tc>
          <w:tcPr>
            <w:tcW w:w="707"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94,1</w:t>
            </w:r>
          </w:p>
        </w:tc>
        <w:tc>
          <w:tcPr>
            <w:tcW w:w="1203" w:type="dxa"/>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100,00%</w:t>
            </w:r>
          </w:p>
        </w:tc>
      </w:tr>
      <w:tr w:rsidR="00475419" w:rsidRPr="00535E30" w:rsidTr="005678E7">
        <w:trPr>
          <w:trHeight w:val="70"/>
        </w:trPr>
        <w:tc>
          <w:tcPr>
            <w:tcW w:w="1216" w:type="dxa"/>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2661"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programa de acompañamiento académico</w:t>
            </w:r>
          </w:p>
        </w:tc>
        <w:tc>
          <w:tcPr>
            <w:tcW w:w="306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Acompañamiento académico</w:t>
            </w:r>
          </w:p>
        </w:tc>
        <w:tc>
          <w:tcPr>
            <w:tcW w:w="711"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85</w:t>
            </w:r>
          </w:p>
        </w:tc>
        <w:tc>
          <w:tcPr>
            <w:tcW w:w="707"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w:t>
            </w:r>
          </w:p>
        </w:tc>
        <w:tc>
          <w:tcPr>
            <w:tcW w:w="1203" w:type="dxa"/>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100,00%</w:t>
            </w:r>
          </w:p>
        </w:tc>
      </w:tr>
      <w:tr w:rsidR="00475419" w:rsidRPr="00535E30" w:rsidTr="005678E7">
        <w:trPr>
          <w:trHeight w:val="114"/>
        </w:trPr>
        <w:tc>
          <w:tcPr>
            <w:tcW w:w="1216" w:type="dxa"/>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2661"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implementación de ambientes virtuales de aprendizaje en la universidad tecnológica de Pereira</w:t>
            </w:r>
          </w:p>
        </w:tc>
        <w:tc>
          <w:tcPr>
            <w:tcW w:w="306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Ambientes virtuales de aprendizaje</w:t>
            </w:r>
          </w:p>
        </w:tc>
        <w:tc>
          <w:tcPr>
            <w:tcW w:w="711"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w:t>
            </w:r>
          </w:p>
        </w:tc>
        <w:tc>
          <w:tcPr>
            <w:tcW w:w="707"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88</w:t>
            </w:r>
          </w:p>
        </w:tc>
        <w:tc>
          <w:tcPr>
            <w:tcW w:w="1203" w:type="dxa"/>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88,00%</w:t>
            </w:r>
          </w:p>
        </w:tc>
      </w:tr>
      <w:tr w:rsidR="00475419" w:rsidRPr="00535E30" w:rsidTr="005678E7">
        <w:trPr>
          <w:trHeight w:val="70"/>
        </w:trPr>
        <w:tc>
          <w:tcPr>
            <w:tcW w:w="1216"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Cobertura</w:t>
            </w:r>
          </w:p>
        </w:tc>
        <w:tc>
          <w:tcPr>
            <w:tcW w:w="2661"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proyecto para la permanencia y la retención estudiantil</w:t>
            </w:r>
          </w:p>
        </w:tc>
        <w:tc>
          <w:tcPr>
            <w:tcW w:w="306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Cumplimiento de las actividades del plan operativo: retención estudiantil</w:t>
            </w:r>
          </w:p>
        </w:tc>
        <w:tc>
          <w:tcPr>
            <w:tcW w:w="711"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90</w:t>
            </w:r>
          </w:p>
        </w:tc>
        <w:tc>
          <w:tcPr>
            <w:tcW w:w="707"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w:t>
            </w:r>
          </w:p>
        </w:tc>
        <w:tc>
          <w:tcPr>
            <w:tcW w:w="1203" w:type="dxa"/>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100,00%</w:t>
            </w:r>
          </w:p>
        </w:tc>
      </w:tr>
      <w:tr w:rsidR="00475419" w:rsidRPr="00535E30" w:rsidTr="005678E7">
        <w:trPr>
          <w:trHeight w:val="108"/>
        </w:trPr>
        <w:tc>
          <w:tcPr>
            <w:tcW w:w="1216" w:type="dxa"/>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2661"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Acompañamiento implementación articulación educación superior con educación media</w:t>
            </w:r>
          </w:p>
        </w:tc>
        <w:tc>
          <w:tcPr>
            <w:tcW w:w="306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lineamientos institucionales para la integración de la educación</w:t>
            </w:r>
          </w:p>
        </w:tc>
        <w:tc>
          <w:tcPr>
            <w:tcW w:w="711"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75</w:t>
            </w:r>
          </w:p>
        </w:tc>
        <w:tc>
          <w:tcPr>
            <w:tcW w:w="707"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72</w:t>
            </w:r>
          </w:p>
        </w:tc>
        <w:tc>
          <w:tcPr>
            <w:tcW w:w="1203" w:type="dxa"/>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96,00%</w:t>
            </w:r>
          </w:p>
        </w:tc>
      </w:tr>
    </w:tbl>
    <w:p w:rsidR="00475419" w:rsidRPr="00535E30" w:rsidRDefault="00475419" w:rsidP="00475419">
      <w:pPr>
        <w:spacing w:line="276" w:lineRule="auto"/>
        <w:rPr>
          <w:rFonts w:asciiTheme="minorHAnsi" w:hAnsiTheme="minorHAnsi" w:cs="Arial"/>
        </w:rPr>
      </w:pPr>
    </w:p>
    <w:p w:rsidR="00475419" w:rsidRPr="00535E30" w:rsidRDefault="00475419" w:rsidP="00475419">
      <w:pPr>
        <w:spacing w:line="276" w:lineRule="auto"/>
        <w:rPr>
          <w:rFonts w:asciiTheme="minorHAnsi" w:hAnsiTheme="minorHAnsi" w:cs="Arial"/>
        </w:rPr>
      </w:pPr>
      <w:r w:rsidRPr="00535E30">
        <w:rPr>
          <w:rFonts w:asciiTheme="minorHAnsi" w:hAnsiTheme="minorHAnsi" w:cs="Arial"/>
        </w:rPr>
        <w:t>Todos los planes operativos tuvieron un desempeño por encima del 80% de cumplimiento.</w:t>
      </w:r>
    </w:p>
    <w:p w:rsidR="00475419" w:rsidRPr="00535E30" w:rsidRDefault="00475419" w:rsidP="00475419">
      <w:pPr>
        <w:spacing w:line="276" w:lineRule="auto"/>
        <w:rPr>
          <w:rFonts w:asciiTheme="minorHAnsi" w:hAnsiTheme="minorHAnsi" w:cs="Arial"/>
        </w:rPr>
      </w:pPr>
    </w:p>
    <w:p w:rsidR="00475419" w:rsidRPr="00535E30" w:rsidRDefault="00475419" w:rsidP="00475419">
      <w:pPr>
        <w:pStyle w:val="Ttulo2"/>
        <w:spacing w:line="276" w:lineRule="auto"/>
      </w:pPr>
      <w:bookmarkStart w:id="210" w:name="_Toc347392861"/>
      <w:bookmarkStart w:id="211" w:name="_Toc350957797"/>
      <w:bookmarkStart w:id="212" w:name="_Toc354671390"/>
      <w:r w:rsidRPr="00535E30">
        <w:rPr>
          <w:caps w:val="0"/>
        </w:rPr>
        <w:t>PROYECTOS BIENESTAR INSTITUCIONAL</w:t>
      </w:r>
      <w:bookmarkEnd w:id="210"/>
      <w:bookmarkEnd w:id="211"/>
      <w:bookmarkEnd w:id="212"/>
    </w:p>
    <w:p w:rsidR="00475419" w:rsidRPr="00535E30" w:rsidRDefault="00475419" w:rsidP="00475419">
      <w:pPr>
        <w:spacing w:line="276" w:lineRule="auto"/>
        <w:rPr>
          <w:rFonts w:asciiTheme="minorHAnsi" w:hAnsiTheme="minorHAnsi"/>
        </w:rPr>
      </w:pP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color w:val="000000"/>
          <w:lang w:val="es-CO"/>
        </w:rPr>
        <w:t xml:space="preserve">Los cinco proyectos institucionales de este objetivo son: formación integral; salud integral; atención integral y cultura democrática, participativa e incluyente; observatorio social y gestión estratégica. </w:t>
      </w: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i/>
          <w:color w:val="000000"/>
          <w:u w:val="single"/>
          <w:lang w:val="es-CO"/>
        </w:rPr>
        <w:t>Formación integral</w:t>
      </w:r>
      <w:r w:rsidRPr="00535E30">
        <w:rPr>
          <w:rFonts w:asciiTheme="minorHAnsi" w:hAnsiTheme="minorHAnsi" w:cs="Arial"/>
          <w:color w:val="000000"/>
          <w:u w:val="single"/>
          <w:lang w:val="es-CO"/>
        </w:rPr>
        <w:t>,</w:t>
      </w:r>
      <w:r w:rsidRPr="00535E30">
        <w:rPr>
          <w:rFonts w:asciiTheme="minorHAnsi" w:hAnsiTheme="minorHAnsi" w:cs="Arial"/>
          <w:color w:val="000000"/>
          <w:lang w:val="es-CO"/>
        </w:rPr>
        <w:t xml:space="preserve"> desarrolla estrategias formativas enfocadas a la Responsabilidad Social Universitaria, desde diversas acciones que la componen, promoviendo la participación de la comunidad universitaria. Estas acciones están conformadas por: la cátedra de responsabilidad social,  la formación deportiva y uso del tiempo libre, la formación en expresión artística y cultural, la formación ambiental y la ejecución de programas de ética y moral para el desarrollo de competencias.</w:t>
      </w: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i/>
          <w:color w:val="000000"/>
          <w:u w:val="single"/>
          <w:lang w:val="es-CO"/>
        </w:rPr>
        <w:t>Salud integral,</w:t>
      </w:r>
      <w:r w:rsidRPr="00535E30">
        <w:rPr>
          <w:rFonts w:asciiTheme="minorHAnsi" w:hAnsiTheme="minorHAnsi" w:cs="Arial"/>
          <w:color w:val="000000"/>
          <w:lang w:val="es-CO"/>
        </w:rPr>
        <w:t xml:space="preserve"> diseña estrategias para la promoción de estilos de vida saludable y la atención permanente en las diferentes áreas de la salud como componente importante de la disminución en el riesgo y otras causas de enfermedad mayores. Desde esta dependencia la formación, la gestión y el trabajo colaborativo con otras instituciones y en red fueron aspectos que dinamizaron el componente de salud integral.</w:t>
      </w: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color w:val="000000"/>
          <w:lang w:val="es-CO"/>
        </w:rPr>
        <w:t xml:space="preserve">La Universidad promueve </w:t>
      </w:r>
      <w:r w:rsidRPr="00535E30">
        <w:rPr>
          <w:rFonts w:asciiTheme="minorHAnsi" w:hAnsiTheme="minorHAnsi" w:cs="Arial"/>
          <w:i/>
          <w:color w:val="000000"/>
          <w:u w:val="single"/>
          <w:lang w:val="es-CO"/>
        </w:rPr>
        <w:t>la atención integral</w:t>
      </w:r>
      <w:r w:rsidRPr="00535E30">
        <w:rPr>
          <w:rFonts w:asciiTheme="minorHAnsi" w:hAnsiTheme="minorHAnsi" w:cs="Arial"/>
          <w:color w:val="000000"/>
          <w:lang w:val="es-CO"/>
        </w:rPr>
        <w:t xml:space="preserve"> del estudiante desde la promoción social, con los programas de servicio social universitario y voluntariado social, en 5 líneas específicas de formación (Infancia,  cultura democrática participativa en incluyente, gestión ambiental </w:t>
      </w:r>
      <w:r w:rsidRPr="00535E30">
        <w:rPr>
          <w:rFonts w:asciiTheme="minorHAnsi" w:hAnsiTheme="minorHAnsi" w:cs="Arial"/>
          <w:color w:val="000000"/>
          <w:lang w:val="es-CO"/>
        </w:rPr>
        <w:lastRenderedPageBreak/>
        <w:t>universitaria, vida universitaria, y Pausas activas) la vinculación de la familia al quehacer institucional y el diseño de estrategias a población diferencial.</w:t>
      </w: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i/>
          <w:color w:val="000000"/>
          <w:u w:val="single"/>
          <w:lang w:val="es-CO"/>
        </w:rPr>
        <w:t>El proyecto de observatorio social</w:t>
      </w:r>
      <w:r w:rsidRPr="00535E30">
        <w:rPr>
          <w:rFonts w:asciiTheme="minorHAnsi" w:hAnsiTheme="minorHAnsi" w:cs="Arial"/>
          <w:color w:val="000000"/>
          <w:lang w:val="es-CO"/>
        </w:rPr>
        <w:t xml:space="preserve"> realiza seguimiento y sistematización de acontecimientos de condiciones sociales de la comunidad universitaria (vulnerabilidad, inclusión, salud, aportes a la responsabilidad social, necesidades formativas, talentos, condiciones y calidad de vida) identificados desde  un  programa académico o facultad, mediante la integración de una red de voluntarios y personas en servicio social, grupos de investigación, técnicos y apoyados por un sistema de información institucional.</w:t>
      </w: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i/>
          <w:color w:val="000000"/>
          <w:u w:val="single"/>
          <w:lang w:val="es-CO"/>
        </w:rPr>
        <w:t>La  Gestión Estratégica</w:t>
      </w:r>
      <w:r w:rsidRPr="00535E30">
        <w:rPr>
          <w:rFonts w:asciiTheme="minorHAnsi" w:hAnsiTheme="minorHAnsi" w:cs="Arial"/>
          <w:color w:val="000000"/>
          <w:lang w:val="es-CO"/>
        </w:rPr>
        <w:t>, tiene como objetivo la gestión de los recursos con  instituciones públicas y privadas, a través de alianzas y/o convenios con el fin de ampliar la cobertura de los apoyos socioeconómicos, acompañamiento psicosocial y acciones para la formación integral  a estudiantes en situación de vulnerabilidad y estudiantes identificados con talentos para garantizar la permanencia y el egreso exitoso.</w:t>
      </w:r>
    </w:p>
    <w:p w:rsidR="00475419" w:rsidRPr="00535E30" w:rsidRDefault="00475419" w:rsidP="00475419">
      <w:pPr>
        <w:spacing w:line="276" w:lineRule="auto"/>
        <w:rPr>
          <w:rFonts w:asciiTheme="minorHAnsi" w:hAnsiTheme="minorHAnsi" w:cs="Arial"/>
          <w:color w:val="000000"/>
          <w:lang w:val="es-CO"/>
        </w:rPr>
      </w:pP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color w:val="000000"/>
          <w:lang w:val="es-CO"/>
        </w:rPr>
        <w:t xml:space="preserve">El cumplimiento final del objetivo institucional a nivel de proyectos fue del </w:t>
      </w:r>
      <w:r w:rsidRPr="00837A19">
        <w:rPr>
          <w:rFonts w:asciiTheme="minorHAnsi" w:hAnsiTheme="minorHAnsi" w:cs="Arial"/>
          <w:b/>
          <w:color w:val="000000"/>
          <w:lang w:val="es-CO"/>
        </w:rPr>
        <w:t>93,46%</w:t>
      </w:r>
      <w:r w:rsidRPr="00535E30">
        <w:rPr>
          <w:rFonts w:asciiTheme="minorHAnsi" w:hAnsiTheme="minorHAnsi" w:cs="Arial"/>
          <w:color w:val="000000"/>
          <w:lang w:val="es-CO"/>
        </w:rPr>
        <w:t xml:space="preserve"> siendo este un desempeño satisfactorio.</w:t>
      </w:r>
      <w:r>
        <w:rPr>
          <w:rFonts w:asciiTheme="minorHAnsi" w:hAnsiTheme="minorHAnsi" w:cs="Arial"/>
          <w:color w:val="000000"/>
          <w:lang w:val="es-CO"/>
        </w:rPr>
        <w:t xml:space="preserve"> </w:t>
      </w:r>
      <w:r w:rsidRPr="00535E30">
        <w:rPr>
          <w:rFonts w:asciiTheme="minorHAnsi" w:hAnsiTheme="minorHAnsi" w:cs="Arial"/>
          <w:color w:val="000000"/>
          <w:lang w:val="es-CO"/>
        </w:rPr>
        <w:t>Los avances por proyecto institucional se muestran en el cuadro siguiente:</w:t>
      </w:r>
    </w:p>
    <w:p w:rsidR="00475419" w:rsidRPr="00535E30" w:rsidRDefault="00475419" w:rsidP="00475419">
      <w:pPr>
        <w:spacing w:line="276" w:lineRule="auto"/>
        <w:rPr>
          <w:rFonts w:asciiTheme="minorHAnsi" w:hAnsiTheme="minorHAnsi" w:cs="Arial"/>
          <w:color w:val="000000"/>
          <w:lang w:val="es-CO"/>
        </w:rPr>
      </w:pPr>
    </w:p>
    <w:tbl>
      <w:tblPr>
        <w:tblW w:w="3406" w:type="pct"/>
        <w:jc w:val="center"/>
        <w:tblInd w:w="724" w:type="dxa"/>
        <w:tblCellMar>
          <w:left w:w="0" w:type="dxa"/>
          <w:right w:w="0" w:type="dxa"/>
        </w:tblCellMar>
        <w:tblLook w:val="04A0" w:firstRow="1" w:lastRow="0" w:firstColumn="1" w:lastColumn="0" w:noHBand="0" w:noVBand="1"/>
      </w:tblPr>
      <w:tblGrid>
        <w:gridCol w:w="1027"/>
        <w:gridCol w:w="2111"/>
        <w:gridCol w:w="1585"/>
        <w:gridCol w:w="1318"/>
      </w:tblGrid>
      <w:tr w:rsidR="00475419" w:rsidRPr="00535E30" w:rsidTr="005678E7">
        <w:trPr>
          <w:trHeight w:val="57"/>
          <w:tblHeader/>
          <w:jc w:val="center"/>
        </w:trPr>
        <w:tc>
          <w:tcPr>
            <w:tcW w:w="850"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20"/>
                <w:szCs w:val="20"/>
              </w:rPr>
            </w:pPr>
            <w:r w:rsidRPr="00535E30">
              <w:rPr>
                <w:rFonts w:asciiTheme="minorHAnsi" w:hAnsiTheme="minorHAnsi" w:cs="Arial"/>
                <w:b/>
                <w:bCs/>
                <w:sz w:val="20"/>
                <w:szCs w:val="20"/>
                <w:lang w:val="es-CO"/>
              </w:rPr>
              <w:t>Objetivo</w:t>
            </w:r>
          </w:p>
        </w:tc>
        <w:tc>
          <w:tcPr>
            <w:tcW w:w="1747"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20"/>
                <w:szCs w:val="20"/>
              </w:rPr>
            </w:pPr>
            <w:r w:rsidRPr="00535E30">
              <w:rPr>
                <w:rFonts w:asciiTheme="minorHAnsi" w:hAnsiTheme="minorHAnsi" w:cs="Arial"/>
                <w:b/>
                <w:bCs/>
                <w:sz w:val="20"/>
                <w:szCs w:val="20"/>
                <w:lang w:val="es-CO"/>
              </w:rPr>
              <w:t>Proyecto</w:t>
            </w:r>
          </w:p>
        </w:tc>
        <w:tc>
          <w:tcPr>
            <w:tcW w:w="1312"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20"/>
                <w:szCs w:val="20"/>
              </w:rPr>
            </w:pPr>
            <w:r w:rsidRPr="00535E30">
              <w:rPr>
                <w:rFonts w:asciiTheme="minorHAnsi" w:hAnsiTheme="minorHAnsi" w:cs="Arial"/>
                <w:b/>
                <w:bCs/>
                <w:sz w:val="20"/>
                <w:szCs w:val="20"/>
                <w:lang w:val="es-CO"/>
              </w:rPr>
              <w:t>Avance indicadores de Proyecto</w:t>
            </w:r>
          </w:p>
        </w:tc>
        <w:tc>
          <w:tcPr>
            <w:tcW w:w="1091"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20"/>
                <w:szCs w:val="20"/>
              </w:rPr>
            </w:pPr>
            <w:r w:rsidRPr="00535E30">
              <w:rPr>
                <w:rFonts w:asciiTheme="minorHAnsi" w:hAnsiTheme="minorHAnsi" w:cs="Arial"/>
                <w:b/>
                <w:bCs/>
                <w:sz w:val="20"/>
                <w:szCs w:val="20"/>
                <w:lang w:val="es-CO"/>
              </w:rPr>
              <w:t>Total Promediado por Objetivo</w:t>
            </w:r>
          </w:p>
        </w:tc>
      </w:tr>
      <w:tr w:rsidR="00475419" w:rsidRPr="00535E30" w:rsidTr="005678E7">
        <w:trPr>
          <w:trHeight w:val="57"/>
          <w:jc w:val="center"/>
        </w:trPr>
        <w:tc>
          <w:tcPr>
            <w:tcW w:w="850" w:type="pct"/>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475419" w:rsidRPr="00535E30" w:rsidRDefault="00475419" w:rsidP="005678E7">
            <w:pPr>
              <w:spacing w:after="0" w:line="276" w:lineRule="auto"/>
              <w:rPr>
                <w:rFonts w:asciiTheme="minorHAnsi" w:hAnsiTheme="minorHAnsi" w:cs="Arial"/>
                <w:sz w:val="20"/>
                <w:szCs w:val="20"/>
              </w:rPr>
            </w:pPr>
            <w:r w:rsidRPr="00535E30">
              <w:rPr>
                <w:rFonts w:asciiTheme="minorHAnsi" w:hAnsiTheme="minorHAnsi" w:cs="Arial"/>
                <w:sz w:val="20"/>
                <w:szCs w:val="20"/>
                <w:lang w:val="es-CO"/>
              </w:rPr>
              <w:t>Bienestar institucional</w:t>
            </w:r>
          </w:p>
        </w:tc>
        <w:tc>
          <w:tcPr>
            <w:tcW w:w="174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475419" w:rsidRPr="00535E30" w:rsidRDefault="00475419" w:rsidP="005678E7">
            <w:pPr>
              <w:spacing w:after="0" w:line="276" w:lineRule="auto"/>
              <w:rPr>
                <w:rFonts w:asciiTheme="minorHAnsi" w:hAnsiTheme="minorHAnsi" w:cs="Arial"/>
                <w:sz w:val="20"/>
                <w:szCs w:val="20"/>
              </w:rPr>
            </w:pPr>
            <w:r w:rsidRPr="00535E30">
              <w:rPr>
                <w:rFonts w:asciiTheme="minorHAnsi" w:hAnsiTheme="minorHAnsi" w:cs="Arial"/>
                <w:sz w:val="20"/>
                <w:szCs w:val="20"/>
                <w:lang w:val="es-CO"/>
              </w:rPr>
              <w:t>Formación Integral</w:t>
            </w:r>
          </w:p>
        </w:tc>
        <w:tc>
          <w:tcPr>
            <w:tcW w:w="1312" w:type="pct"/>
            <w:tcBorders>
              <w:top w:val="single" w:sz="4" w:space="0" w:color="000000"/>
              <w:left w:val="single" w:sz="4" w:space="0" w:color="000000"/>
              <w:bottom w:val="single" w:sz="4" w:space="0" w:color="000000"/>
              <w:right w:val="single" w:sz="4" w:space="0" w:color="000000"/>
            </w:tcBorders>
            <w:shd w:val="clear" w:color="auto" w:fill="C2D69B" w:themeFill="accent3" w:themeFillTint="99"/>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20"/>
                <w:szCs w:val="20"/>
              </w:rPr>
            </w:pPr>
            <w:r w:rsidRPr="00535E30">
              <w:rPr>
                <w:rFonts w:asciiTheme="minorHAnsi" w:hAnsiTheme="minorHAnsi" w:cs="Arial"/>
                <w:sz w:val="20"/>
                <w:szCs w:val="20"/>
              </w:rPr>
              <w:t>96,46%</w:t>
            </w:r>
          </w:p>
        </w:tc>
        <w:tc>
          <w:tcPr>
            <w:tcW w:w="1091" w:type="pct"/>
            <w:vMerge w:val="restart"/>
            <w:tcBorders>
              <w:top w:val="single" w:sz="4" w:space="0" w:color="000000"/>
              <w:left w:val="single" w:sz="4" w:space="0" w:color="000000"/>
              <w:bottom w:val="single" w:sz="4" w:space="0" w:color="000000"/>
              <w:right w:val="single" w:sz="4" w:space="0" w:color="000000"/>
            </w:tcBorders>
            <w:shd w:val="clear" w:color="auto" w:fill="C2D69B" w:themeFill="accent3" w:themeFillTint="99"/>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b/>
                <w:sz w:val="24"/>
                <w:szCs w:val="24"/>
              </w:rPr>
            </w:pPr>
            <w:r w:rsidRPr="00535E30">
              <w:rPr>
                <w:rFonts w:asciiTheme="minorHAnsi" w:hAnsiTheme="minorHAnsi" w:cs="Arial"/>
                <w:b/>
                <w:sz w:val="24"/>
                <w:szCs w:val="24"/>
              </w:rPr>
              <w:t>93,46%</w:t>
            </w:r>
          </w:p>
        </w:tc>
      </w:tr>
      <w:tr w:rsidR="00475419" w:rsidRPr="00535E30" w:rsidTr="005678E7">
        <w:trPr>
          <w:trHeight w:val="57"/>
          <w:jc w:val="center"/>
        </w:trPr>
        <w:tc>
          <w:tcPr>
            <w:tcW w:w="850" w:type="pct"/>
            <w:vMerge/>
            <w:tcBorders>
              <w:top w:val="single" w:sz="4" w:space="0" w:color="000000"/>
              <w:left w:val="single" w:sz="4" w:space="0" w:color="000000"/>
              <w:bottom w:val="single" w:sz="4" w:space="0" w:color="000000"/>
              <w:right w:val="single" w:sz="4" w:space="0" w:color="000000"/>
            </w:tcBorders>
            <w:vAlign w:val="center"/>
            <w:hideMark/>
          </w:tcPr>
          <w:p w:rsidR="00475419" w:rsidRPr="00535E30" w:rsidRDefault="00475419" w:rsidP="005678E7">
            <w:pPr>
              <w:spacing w:after="0" w:line="276" w:lineRule="auto"/>
              <w:rPr>
                <w:rFonts w:asciiTheme="minorHAnsi" w:hAnsiTheme="minorHAnsi" w:cs="Arial"/>
                <w:sz w:val="20"/>
                <w:szCs w:val="20"/>
              </w:rPr>
            </w:pPr>
          </w:p>
        </w:tc>
        <w:tc>
          <w:tcPr>
            <w:tcW w:w="174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475419" w:rsidRPr="00535E30" w:rsidRDefault="00475419" w:rsidP="005678E7">
            <w:pPr>
              <w:spacing w:after="0" w:line="276" w:lineRule="auto"/>
              <w:rPr>
                <w:rFonts w:asciiTheme="minorHAnsi" w:hAnsiTheme="minorHAnsi" w:cs="Arial"/>
                <w:sz w:val="20"/>
                <w:szCs w:val="20"/>
              </w:rPr>
            </w:pPr>
            <w:r w:rsidRPr="00535E30">
              <w:rPr>
                <w:rFonts w:asciiTheme="minorHAnsi" w:hAnsiTheme="minorHAnsi" w:cs="Arial"/>
                <w:sz w:val="20"/>
                <w:szCs w:val="20"/>
                <w:lang w:val="es-CO"/>
              </w:rPr>
              <w:t>Salud Integral</w:t>
            </w:r>
          </w:p>
        </w:tc>
        <w:tc>
          <w:tcPr>
            <w:tcW w:w="1312" w:type="pct"/>
            <w:tcBorders>
              <w:top w:val="single" w:sz="4" w:space="0" w:color="000000"/>
              <w:left w:val="single" w:sz="4" w:space="0" w:color="000000"/>
              <w:bottom w:val="single" w:sz="4" w:space="0" w:color="000000"/>
              <w:right w:val="single" w:sz="4" w:space="0" w:color="000000"/>
            </w:tcBorders>
            <w:shd w:val="clear" w:color="auto" w:fill="C2D69B" w:themeFill="accent3" w:themeFillTint="99"/>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20"/>
                <w:szCs w:val="20"/>
              </w:rPr>
            </w:pPr>
            <w:r w:rsidRPr="00535E30">
              <w:rPr>
                <w:rFonts w:asciiTheme="minorHAnsi" w:hAnsiTheme="minorHAnsi" w:cs="Arial"/>
                <w:sz w:val="20"/>
                <w:szCs w:val="20"/>
              </w:rPr>
              <w:t>82,37%</w:t>
            </w:r>
          </w:p>
        </w:tc>
        <w:tc>
          <w:tcPr>
            <w:tcW w:w="1091" w:type="pct"/>
            <w:vMerge/>
            <w:tcBorders>
              <w:top w:val="single" w:sz="4" w:space="0" w:color="000000"/>
              <w:left w:val="single" w:sz="4" w:space="0" w:color="000000"/>
              <w:bottom w:val="single" w:sz="4" w:space="0" w:color="000000"/>
              <w:right w:val="single" w:sz="4" w:space="0" w:color="000000"/>
            </w:tcBorders>
            <w:shd w:val="clear" w:color="auto" w:fill="C2D69B" w:themeFill="accent3" w:themeFillTint="99"/>
            <w:vAlign w:val="center"/>
            <w:hideMark/>
          </w:tcPr>
          <w:p w:rsidR="00475419" w:rsidRPr="00535E30" w:rsidRDefault="00475419" w:rsidP="005678E7">
            <w:pPr>
              <w:spacing w:after="0" w:line="276" w:lineRule="auto"/>
              <w:jc w:val="center"/>
              <w:rPr>
                <w:rFonts w:asciiTheme="minorHAnsi" w:hAnsiTheme="minorHAnsi" w:cs="Arial"/>
                <w:sz w:val="20"/>
                <w:szCs w:val="20"/>
              </w:rPr>
            </w:pPr>
          </w:p>
        </w:tc>
      </w:tr>
      <w:tr w:rsidR="00475419" w:rsidRPr="00535E30" w:rsidTr="005678E7">
        <w:trPr>
          <w:trHeight w:val="57"/>
          <w:jc w:val="center"/>
        </w:trPr>
        <w:tc>
          <w:tcPr>
            <w:tcW w:w="850" w:type="pct"/>
            <w:vMerge/>
            <w:tcBorders>
              <w:top w:val="single" w:sz="4" w:space="0" w:color="000000"/>
              <w:left w:val="single" w:sz="4" w:space="0" w:color="000000"/>
              <w:bottom w:val="single" w:sz="4" w:space="0" w:color="000000"/>
              <w:right w:val="single" w:sz="4" w:space="0" w:color="000000"/>
            </w:tcBorders>
            <w:vAlign w:val="center"/>
            <w:hideMark/>
          </w:tcPr>
          <w:p w:rsidR="00475419" w:rsidRPr="00535E30" w:rsidRDefault="00475419" w:rsidP="005678E7">
            <w:pPr>
              <w:spacing w:after="0" w:line="276" w:lineRule="auto"/>
              <w:rPr>
                <w:rFonts w:asciiTheme="minorHAnsi" w:hAnsiTheme="minorHAnsi" w:cs="Arial"/>
                <w:sz w:val="20"/>
                <w:szCs w:val="20"/>
              </w:rPr>
            </w:pPr>
          </w:p>
        </w:tc>
        <w:tc>
          <w:tcPr>
            <w:tcW w:w="174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475419" w:rsidRPr="00535E30" w:rsidRDefault="00475419" w:rsidP="005678E7">
            <w:pPr>
              <w:spacing w:after="0" w:line="276" w:lineRule="auto"/>
              <w:rPr>
                <w:rFonts w:asciiTheme="minorHAnsi" w:hAnsiTheme="minorHAnsi" w:cs="Arial"/>
                <w:sz w:val="20"/>
                <w:szCs w:val="20"/>
              </w:rPr>
            </w:pPr>
            <w:r w:rsidRPr="00535E30">
              <w:rPr>
                <w:rFonts w:asciiTheme="minorHAnsi" w:hAnsiTheme="minorHAnsi" w:cs="Arial"/>
                <w:sz w:val="20"/>
                <w:szCs w:val="20"/>
                <w:lang w:val="es-CO"/>
              </w:rPr>
              <w:t>Atención integral y cultura democrática, participativa e incluyente</w:t>
            </w:r>
          </w:p>
        </w:tc>
        <w:tc>
          <w:tcPr>
            <w:tcW w:w="1312" w:type="pct"/>
            <w:tcBorders>
              <w:top w:val="single" w:sz="4" w:space="0" w:color="000000"/>
              <w:left w:val="single" w:sz="4" w:space="0" w:color="000000"/>
              <w:bottom w:val="single" w:sz="4" w:space="0" w:color="000000"/>
              <w:right w:val="single" w:sz="4" w:space="0" w:color="000000"/>
            </w:tcBorders>
            <w:shd w:val="clear" w:color="auto" w:fill="C2D69B" w:themeFill="accent3" w:themeFillTint="99"/>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20"/>
                <w:szCs w:val="20"/>
              </w:rPr>
            </w:pPr>
            <w:r w:rsidRPr="00535E30">
              <w:rPr>
                <w:rFonts w:asciiTheme="minorHAnsi" w:hAnsiTheme="minorHAnsi" w:cs="Arial"/>
                <w:sz w:val="20"/>
                <w:szCs w:val="20"/>
              </w:rPr>
              <w:t>93,00%</w:t>
            </w:r>
          </w:p>
        </w:tc>
        <w:tc>
          <w:tcPr>
            <w:tcW w:w="1091" w:type="pct"/>
            <w:vMerge/>
            <w:tcBorders>
              <w:top w:val="single" w:sz="4" w:space="0" w:color="000000"/>
              <w:left w:val="single" w:sz="4" w:space="0" w:color="000000"/>
              <w:bottom w:val="single" w:sz="4" w:space="0" w:color="000000"/>
              <w:right w:val="single" w:sz="4" w:space="0" w:color="000000"/>
            </w:tcBorders>
            <w:shd w:val="clear" w:color="auto" w:fill="C2D69B" w:themeFill="accent3" w:themeFillTint="99"/>
            <w:vAlign w:val="center"/>
            <w:hideMark/>
          </w:tcPr>
          <w:p w:rsidR="00475419" w:rsidRPr="00535E30" w:rsidRDefault="00475419" w:rsidP="005678E7">
            <w:pPr>
              <w:spacing w:after="0" w:line="276" w:lineRule="auto"/>
              <w:jc w:val="center"/>
              <w:rPr>
                <w:rFonts w:asciiTheme="minorHAnsi" w:hAnsiTheme="minorHAnsi" w:cs="Arial"/>
                <w:sz w:val="20"/>
                <w:szCs w:val="20"/>
              </w:rPr>
            </w:pPr>
          </w:p>
        </w:tc>
      </w:tr>
      <w:tr w:rsidR="00475419" w:rsidRPr="00535E30" w:rsidTr="005678E7">
        <w:trPr>
          <w:trHeight w:val="57"/>
          <w:jc w:val="center"/>
        </w:trPr>
        <w:tc>
          <w:tcPr>
            <w:tcW w:w="850" w:type="pct"/>
            <w:vMerge/>
            <w:tcBorders>
              <w:top w:val="single" w:sz="4" w:space="0" w:color="000000"/>
              <w:left w:val="single" w:sz="4" w:space="0" w:color="000000"/>
              <w:bottom w:val="single" w:sz="4" w:space="0" w:color="000000"/>
              <w:right w:val="single" w:sz="4" w:space="0" w:color="000000"/>
            </w:tcBorders>
            <w:vAlign w:val="center"/>
            <w:hideMark/>
          </w:tcPr>
          <w:p w:rsidR="00475419" w:rsidRPr="00535E30" w:rsidRDefault="00475419" w:rsidP="005678E7">
            <w:pPr>
              <w:spacing w:after="0" w:line="276" w:lineRule="auto"/>
              <w:rPr>
                <w:rFonts w:asciiTheme="minorHAnsi" w:hAnsiTheme="minorHAnsi" w:cs="Arial"/>
                <w:sz w:val="20"/>
                <w:szCs w:val="20"/>
              </w:rPr>
            </w:pPr>
          </w:p>
        </w:tc>
        <w:tc>
          <w:tcPr>
            <w:tcW w:w="174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475419" w:rsidRPr="00535E30" w:rsidRDefault="00475419" w:rsidP="005678E7">
            <w:pPr>
              <w:spacing w:after="0" w:line="276" w:lineRule="auto"/>
              <w:rPr>
                <w:rFonts w:asciiTheme="minorHAnsi" w:hAnsiTheme="minorHAnsi" w:cs="Arial"/>
                <w:sz w:val="20"/>
                <w:szCs w:val="20"/>
              </w:rPr>
            </w:pPr>
            <w:r w:rsidRPr="00535E30">
              <w:rPr>
                <w:rFonts w:asciiTheme="minorHAnsi" w:hAnsiTheme="minorHAnsi" w:cs="Arial"/>
                <w:sz w:val="20"/>
                <w:szCs w:val="20"/>
                <w:lang w:val="es-CO"/>
              </w:rPr>
              <w:t>Observatorio Social</w:t>
            </w:r>
          </w:p>
        </w:tc>
        <w:tc>
          <w:tcPr>
            <w:tcW w:w="1312" w:type="pct"/>
            <w:tcBorders>
              <w:top w:val="single" w:sz="4" w:space="0" w:color="000000"/>
              <w:left w:val="single" w:sz="4" w:space="0" w:color="000000"/>
              <w:bottom w:val="single" w:sz="4" w:space="0" w:color="000000"/>
              <w:right w:val="single" w:sz="4" w:space="0" w:color="000000"/>
            </w:tcBorders>
            <w:shd w:val="clear" w:color="auto" w:fill="C2D69B" w:themeFill="accent3" w:themeFillTint="99"/>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20"/>
                <w:szCs w:val="20"/>
              </w:rPr>
            </w:pPr>
            <w:r w:rsidRPr="00535E30">
              <w:rPr>
                <w:rFonts w:asciiTheme="minorHAnsi" w:hAnsiTheme="minorHAnsi" w:cs="Arial"/>
                <w:sz w:val="20"/>
                <w:szCs w:val="20"/>
              </w:rPr>
              <w:t>95,45%</w:t>
            </w:r>
          </w:p>
        </w:tc>
        <w:tc>
          <w:tcPr>
            <w:tcW w:w="1091" w:type="pct"/>
            <w:vMerge/>
            <w:tcBorders>
              <w:top w:val="single" w:sz="4" w:space="0" w:color="000000"/>
              <w:left w:val="single" w:sz="4" w:space="0" w:color="000000"/>
              <w:bottom w:val="single" w:sz="4" w:space="0" w:color="000000"/>
              <w:right w:val="single" w:sz="4" w:space="0" w:color="000000"/>
            </w:tcBorders>
            <w:shd w:val="clear" w:color="auto" w:fill="C2D69B" w:themeFill="accent3" w:themeFillTint="99"/>
            <w:vAlign w:val="center"/>
            <w:hideMark/>
          </w:tcPr>
          <w:p w:rsidR="00475419" w:rsidRPr="00535E30" w:rsidRDefault="00475419" w:rsidP="005678E7">
            <w:pPr>
              <w:spacing w:after="0" w:line="276" w:lineRule="auto"/>
              <w:jc w:val="center"/>
              <w:rPr>
                <w:rFonts w:asciiTheme="minorHAnsi" w:hAnsiTheme="minorHAnsi" w:cs="Arial"/>
                <w:sz w:val="20"/>
                <w:szCs w:val="20"/>
              </w:rPr>
            </w:pPr>
          </w:p>
        </w:tc>
      </w:tr>
      <w:tr w:rsidR="00475419" w:rsidRPr="00535E30" w:rsidTr="005678E7">
        <w:trPr>
          <w:trHeight w:val="57"/>
          <w:jc w:val="center"/>
        </w:trPr>
        <w:tc>
          <w:tcPr>
            <w:tcW w:w="850" w:type="pct"/>
            <w:vMerge/>
            <w:tcBorders>
              <w:top w:val="single" w:sz="4" w:space="0" w:color="000000"/>
              <w:left w:val="single" w:sz="4" w:space="0" w:color="000000"/>
              <w:bottom w:val="single" w:sz="4" w:space="0" w:color="000000"/>
              <w:right w:val="single" w:sz="4" w:space="0" w:color="000000"/>
            </w:tcBorders>
            <w:vAlign w:val="center"/>
            <w:hideMark/>
          </w:tcPr>
          <w:p w:rsidR="00475419" w:rsidRPr="00535E30" w:rsidRDefault="00475419" w:rsidP="005678E7">
            <w:pPr>
              <w:spacing w:after="0" w:line="276" w:lineRule="auto"/>
              <w:rPr>
                <w:rFonts w:asciiTheme="minorHAnsi" w:hAnsiTheme="minorHAnsi" w:cs="Arial"/>
                <w:sz w:val="20"/>
                <w:szCs w:val="20"/>
              </w:rPr>
            </w:pPr>
          </w:p>
        </w:tc>
        <w:tc>
          <w:tcPr>
            <w:tcW w:w="174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475419" w:rsidRPr="00535E30" w:rsidRDefault="00475419" w:rsidP="005678E7">
            <w:pPr>
              <w:spacing w:after="0" w:line="276" w:lineRule="auto"/>
              <w:rPr>
                <w:rFonts w:asciiTheme="minorHAnsi" w:hAnsiTheme="minorHAnsi" w:cs="Arial"/>
                <w:sz w:val="20"/>
                <w:szCs w:val="20"/>
              </w:rPr>
            </w:pPr>
            <w:r w:rsidRPr="00535E30">
              <w:rPr>
                <w:rFonts w:asciiTheme="minorHAnsi" w:hAnsiTheme="minorHAnsi" w:cs="Arial"/>
                <w:sz w:val="20"/>
                <w:szCs w:val="20"/>
                <w:lang w:val="es-CO"/>
              </w:rPr>
              <w:t>Gestión Estratégica</w:t>
            </w:r>
          </w:p>
        </w:tc>
        <w:tc>
          <w:tcPr>
            <w:tcW w:w="1312" w:type="pct"/>
            <w:tcBorders>
              <w:top w:val="single" w:sz="4" w:space="0" w:color="000000"/>
              <w:left w:val="single" w:sz="4" w:space="0" w:color="000000"/>
              <w:bottom w:val="single" w:sz="4" w:space="0" w:color="000000"/>
              <w:right w:val="single" w:sz="4" w:space="0" w:color="000000"/>
            </w:tcBorders>
            <w:shd w:val="clear" w:color="auto" w:fill="C2D69B" w:themeFill="accent3" w:themeFillTint="99"/>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20"/>
                <w:szCs w:val="20"/>
              </w:rPr>
            </w:pPr>
            <w:r w:rsidRPr="00535E30">
              <w:rPr>
                <w:rFonts w:asciiTheme="minorHAnsi" w:hAnsiTheme="minorHAnsi" w:cs="Arial"/>
                <w:sz w:val="20"/>
                <w:szCs w:val="20"/>
              </w:rPr>
              <w:t>100%</w:t>
            </w:r>
          </w:p>
        </w:tc>
        <w:tc>
          <w:tcPr>
            <w:tcW w:w="1091" w:type="pct"/>
            <w:vMerge/>
            <w:tcBorders>
              <w:top w:val="single" w:sz="4" w:space="0" w:color="000000"/>
              <w:left w:val="single" w:sz="4" w:space="0" w:color="000000"/>
              <w:bottom w:val="single" w:sz="4" w:space="0" w:color="000000"/>
              <w:right w:val="single" w:sz="4" w:space="0" w:color="000000"/>
            </w:tcBorders>
            <w:shd w:val="clear" w:color="auto" w:fill="C2D69B" w:themeFill="accent3" w:themeFillTint="99"/>
            <w:vAlign w:val="center"/>
            <w:hideMark/>
          </w:tcPr>
          <w:p w:rsidR="00475419" w:rsidRPr="00535E30" w:rsidRDefault="00475419" w:rsidP="005678E7">
            <w:pPr>
              <w:spacing w:after="0" w:line="276" w:lineRule="auto"/>
              <w:jc w:val="center"/>
              <w:rPr>
                <w:rFonts w:asciiTheme="minorHAnsi" w:hAnsiTheme="minorHAnsi" w:cs="Arial"/>
                <w:sz w:val="20"/>
                <w:szCs w:val="20"/>
              </w:rPr>
            </w:pPr>
          </w:p>
        </w:tc>
      </w:tr>
    </w:tbl>
    <w:p w:rsidR="00475419" w:rsidRPr="00535E30" w:rsidRDefault="00475419" w:rsidP="00475419">
      <w:pPr>
        <w:spacing w:after="0" w:line="276" w:lineRule="auto"/>
        <w:rPr>
          <w:rFonts w:asciiTheme="minorHAnsi" w:hAnsiTheme="minorHAnsi" w:cs="Arial"/>
          <w:color w:val="FF0000"/>
        </w:rPr>
      </w:pP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color w:val="000000"/>
          <w:lang w:val="es-CO"/>
        </w:rPr>
        <w:t>El cumplimiento a nivel de planes operativos fue el siguiente:</w:t>
      </w:r>
    </w:p>
    <w:tbl>
      <w:tblPr>
        <w:tblW w:w="8946" w:type="dxa"/>
        <w:tblInd w:w="55" w:type="dxa"/>
        <w:tblCellMar>
          <w:left w:w="70" w:type="dxa"/>
          <w:right w:w="70" w:type="dxa"/>
        </w:tblCellMar>
        <w:tblLook w:val="04A0" w:firstRow="1" w:lastRow="0" w:firstColumn="1" w:lastColumn="0" w:noHBand="0" w:noVBand="1"/>
      </w:tblPr>
      <w:tblGrid>
        <w:gridCol w:w="1187"/>
        <w:gridCol w:w="2230"/>
        <w:gridCol w:w="2835"/>
        <w:gridCol w:w="709"/>
        <w:gridCol w:w="804"/>
        <w:gridCol w:w="1181"/>
      </w:tblGrid>
      <w:tr w:rsidR="00475419" w:rsidRPr="00535E30" w:rsidTr="005678E7">
        <w:trPr>
          <w:trHeight w:val="268"/>
          <w:tblHeader/>
        </w:trPr>
        <w:tc>
          <w:tcPr>
            <w:tcW w:w="1187" w:type="dxa"/>
            <w:tcBorders>
              <w:top w:val="single" w:sz="4" w:space="0" w:color="auto"/>
              <w:left w:val="single" w:sz="4" w:space="0" w:color="auto"/>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Arial"/>
                <w:b/>
                <w:bCs/>
                <w:color w:val="000000"/>
                <w:sz w:val="18"/>
                <w:szCs w:val="18"/>
                <w:lang w:val="es-CO" w:eastAsia="es-CO"/>
              </w:rPr>
            </w:pPr>
            <w:r w:rsidRPr="00535E30">
              <w:rPr>
                <w:rFonts w:asciiTheme="minorHAnsi" w:eastAsia="Times New Roman" w:hAnsiTheme="minorHAnsi" w:cs="Arial"/>
                <w:b/>
                <w:bCs/>
                <w:color w:val="000000"/>
                <w:sz w:val="18"/>
                <w:szCs w:val="18"/>
                <w:lang w:val="es-CO" w:eastAsia="es-CO"/>
              </w:rPr>
              <w:t>Proyecto</w:t>
            </w:r>
          </w:p>
        </w:tc>
        <w:tc>
          <w:tcPr>
            <w:tcW w:w="2230" w:type="dxa"/>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Arial"/>
                <w:b/>
                <w:bCs/>
                <w:color w:val="000000"/>
                <w:sz w:val="18"/>
                <w:szCs w:val="18"/>
                <w:lang w:val="es-CO" w:eastAsia="es-CO"/>
              </w:rPr>
            </w:pPr>
            <w:r w:rsidRPr="00535E30">
              <w:rPr>
                <w:rFonts w:asciiTheme="minorHAnsi" w:eastAsia="Times New Roman" w:hAnsiTheme="minorHAnsi" w:cs="Arial"/>
                <w:b/>
                <w:bCs/>
                <w:color w:val="000000"/>
                <w:sz w:val="18"/>
                <w:szCs w:val="18"/>
                <w:lang w:val="es-CO" w:eastAsia="es-CO"/>
              </w:rPr>
              <w:t>Plan Operativo</w:t>
            </w:r>
          </w:p>
        </w:tc>
        <w:tc>
          <w:tcPr>
            <w:tcW w:w="2835" w:type="dxa"/>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Arial"/>
                <w:b/>
                <w:bCs/>
                <w:color w:val="000000"/>
                <w:sz w:val="18"/>
                <w:szCs w:val="18"/>
                <w:lang w:val="es-CO" w:eastAsia="es-CO"/>
              </w:rPr>
            </w:pPr>
            <w:r w:rsidRPr="00535E30">
              <w:rPr>
                <w:rFonts w:asciiTheme="minorHAnsi" w:eastAsia="Times New Roman" w:hAnsiTheme="minorHAnsi" w:cs="Arial"/>
                <w:b/>
                <w:bCs/>
                <w:color w:val="000000"/>
                <w:sz w:val="18"/>
                <w:szCs w:val="18"/>
                <w:lang w:val="es-CO" w:eastAsia="es-CO"/>
              </w:rPr>
              <w:t>Indicadores</w:t>
            </w:r>
          </w:p>
        </w:tc>
        <w:tc>
          <w:tcPr>
            <w:tcW w:w="709" w:type="dxa"/>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Arial"/>
                <w:b/>
                <w:bCs/>
                <w:color w:val="000000"/>
                <w:sz w:val="18"/>
                <w:szCs w:val="18"/>
                <w:lang w:val="es-CO" w:eastAsia="es-CO"/>
              </w:rPr>
            </w:pPr>
            <w:r w:rsidRPr="00535E30">
              <w:rPr>
                <w:rFonts w:asciiTheme="minorHAnsi" w:eastAsia="Times New Roman" w:hAnsiTheme="minorHAnsi" w:cs="Arial"/>
                <w:b/>
                <w:bCs/>
                <w:color w:val="000000"/>
                <w:sz w:val="18"/>
                <w:szCs w:val="18"/>
                <w:lang w:val="es-CO" w:eastAsia="es-CO"/>
              </w:rPr>
              <w:t>Meta</w:t>
            </w:r>
          </w:p>
        </w:tc>
        <w:tc>
          <w:tcPr>
            <w:tcW w:w="804" w:type="dxa"/>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Arial"/>
                <w:b/>
                <w:bCs/>
                <w:color w:val="000000"/>
                <w:sz w:val="18"/>
                <w:szCs w:val="18"/>
                <w:lang w:val="es-CO" w:eastAsia="es-CO"/>
              </w:rPr>
            </w:pPr>
            <w:r w:rsidRPr="00535E30">
              <w:rPr>
                <w:rFonts w:asciiTheme="minorHAnsi" w:eastAsia="Times New Roman" w:hAnsiTheme="minorHAnsi" w:cs="Arial"/>
                <w:b/>
                <w:bCs/>
                <w:color w:val="000000"/>
                <w:sz w:val="18"/>
                <w:szCs w:val="18"/>
                <w:lang w:val="es-CO" w:eastAsia="es-CO"/>
              </w:rPr>
              <w:t>Avance</w:t>
            </w:r>
          </w:p>
        </w:tc>
        <w:tc>
          <w:tcPr>
            <w:tcW w:w="1181" w:type="dxa"/>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Arial"/>
                <w:b/>
                <w:bCs/>
                <w:color w:val="000000"/>
                <w:sz w:val="18"/>
                <w:szCs w:val="18"/>
                <w:lang w:val="es-CO" w:eastAsia="es-CO"/>
              </w:rPr>
            </w:pPr>
            <w:r w:rsidRPr="00535E30">
              <w:rPr>
                <w:rFonts w:asciiTheme="minorHAnsi" w:eastAsia="Times New Roman" w:hAnsiTheme="minorHAnsi" w:cs="Arial"/>
                <w:b/>
                <w:bCs/>
                <w:color w:val="000000"/>
                <w:sz w:val="18"/>
                <w:szCs w:val="18"/>
                <w:lang w:val="es-CO" w:eastAsia="es-CO"/>
              </w:rPr>
              <w:t>% cumplimiento</w:t>
            </w:r>
          </w:p>
        </w:tc>
      </w:tr>
      <w:tr w:rsidR="00475419" w:rsidRPr="00535E30" w:rsidTr="005678E7">
        <w:trPr>
          <w:trHeight w:val="194"/>
        </w:trPr>
        <w:tc>
          <w:tcPr>
            <w:tcW w:w="1187" w:type="dxa"/>
            <w:vMerge w:val="restart"/>
            <w:tcBorders>
              <w:top w:val="nil"/>
              <w:left w:val="single" w:sz="4" w:space="0" w:color="auto"/>
              <w:bottom w:val="single" w:sz="4" w:space="0" w:color="000000"/>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Formación Integral</w:t>
            </w:r>
          </w:p>
        </w:tc>
        <w:tc>
          <w:tcPr>
            <w:tcW w:w="2230"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Formación en responsabilidad social</w:t>
            </w:r>
          </w:p>
        </w:tc>
        <w:tc>
          <w:tcPr>
            <w:tcW w:w="2835"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participación en acciones de formación en responsabilidad social</w:t>
            </w:r>
          </w:p>
        </w:tc>
        <w:tc>
          <w:tcPr>
            <w:tcW w:w="70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4500</w:t>
            </w:r>
          </w:p>
        </w:tc>
        <w:tc>
          <w:tcPr>
            <w:tcW w:w="804"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4500</w:t>
            </w:r>
          </w:p>
        </w:tc>
        <w:tc>
          <w:tcPr>
            <w:tcW w:w="1181" w:type="dxa"/>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100,00%</w:t>
            </w:r>
          </w:p>
        </w:tc>
      </w:tr>
      <w:tr w:rsidR="00475419" w:rsidRPr="00535E30" w:rsidTr="005678E7">
        <w:trPr>
          <w:trHeight w:val="70"/>
        </w:trPr>
        <w:tc>
          <w:tcPr>
            <w:tcW w:w="1187" w:type="dxa"/>
            <w:vMerge/>
            <w:tcBorders>
              <w:top w:val="nil"/>
              <w:left w:val="single" w:sz="4" w:space="0" w:color="auto"/>
              <w:bottom w:val="single" w:sz="4" w:space="0" w:color="000000"/>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2230"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Formación integral para el desarrollo humano</w:t>
            </w:r>
          </w:p>
        </w:tc>
        <w:tc>
          <w:tcPr>
            <w:tcW w:w="2835"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Participaciones en acciones de Formación integral para el desarrollo humano</w:t>
            </w:r>
          </w:p>
        </w:tc>
        <w:tc>
          <w:tcPr>
            <w:tcW w:w="70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15000</w:t>
            </w:r>
          </w:p>
        </w:tc>
        <w:tc>
          <w:tcPr>
            <w:tcW w:w="804"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12875</w:t>
            </w:r>
          </w:p>
        </w:tc>
        <w:tc>
          <w:tcPr>
            <w:tcW w:w="1181" w:type="dxa"/>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85,83%</w:t>
            </w:r>
          </w:p>
        </w:tc>
      </w:tr>
      <w:tr w:rsidR="00475419" w:rsidRPr="00535E30" w:rsidTr="005678E7">
        <w:trPr>
          <w:trHeight w:val="70"/>
        </w:trPr>
        <w:tc>
          <w:tcPr>
            <w:tcW w:w="1187" w:type="dxa"/>
            <w:vMerge/>
            <w:tcBorders>
              <w:top w:val="nil"/>
              <w:left w:val="single" w:sz="4" w:space="0" w:color="auto"/>
              <w:bottom w:val="single" w:sz="4" w:space="0" w:color="000000"/>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2230"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Formación deportiva y uso del tiempo libre</w:t>
            </w:r>
          </w:p>
        </w:tc>
        <w:tc>
          <w:tcPr>
            <w:tcW w:w="2835"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Participaciones en acciones de formación deportiva y uso del tiempo libre</w:t>
            </w:r>
          </w:p>
        </w:tc>
        <w:tc>
          <w:tcPr>
            <w:tcW w:w="70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50000</w:t>
            </w:r>
          </w:p>
        </w:tc>
        <w:tc>
          <w:tcPr>
            <w:tcW w:w="804"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59821</w:t>
            </w:r>
          </w:p>
        </w:tc>
        <w:tc>
          <w:tcPr>
            <w:tcW w:w="1181" w:type="dxa"/>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100,00%</w:t>
            </w:r>
          </w:p>
        </w:tc>
      </w:tr>
      <w:tr w:rsidR="00475419" w:rsidRPr="00535E30" w:rsidTr="005678E7">
        <w:trPr>
          <w:trHeight w:val="70"/>
        </w:trPr>
        <w:tc>
          <w:tcPr>
            <w:tcW w:w="1187" w:type="dxa"/>
            <w:vMerge/>
            <w:tcBorders>
              <w:top w:val="nil"/>
              <w:left w:val="single" w:sz="4" w:space="0" w:color="auto"/>
              <w:bottom w:val="single" w:sz="4" w:space="0" w:color="000000"/>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2230"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Formación en expresión artística y cultural</w:t>
            </w:r>
          </w:p>
        </w:tc>
        <w:tc>
          <w:tcPr>
            <w:tcW w:w="2835"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Participaciones en acciones de Formación en expresión artística y cultural</w:t>
            </w:r>
          </w:p>
        </w:tc>
        <w:tc>
          <w:tcPr>
            <w:tcW w:w="70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1500</w:t>
            </w:r>
          </w:p>
        </w:tc>
        <w:tc>
          <w:tcPr>
            <w:tcW w:w="804"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2206</w:t>
            </w:r>
          </w:p>
        </w:tc>
        <w:tc>
          <w:tcPr>
            <w:tcW w:w="1181" w:type="dxa"/>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100,00%</w:t>
            </w:r>
          </w:p>
        </w:tc>
      </w:tr>
      <w:tr w:rsidR="00475419" w:rsidRPr="00535E30" w:rsidTr="005678E7">
        <w:trPr>
          <w:trHeight w:val="70"/>
        </w:trPr>
        <w:tc>
          <w:tcPr>
            <w:tcW w:w="1187" w:type="dxa"/>
            <w:vMerge w:val="restart"/>
            <w:tcBorders>
              <w:top w:val="nil"/>
              <w:left w:val="single" w:sz="4" w:space="0" w:color="auto"/>
              <w:bottom w:val="single" w:sz="4" w:space="0" w:color="000000"/>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Salud Integral</w:t>
            </w:r>
          </w:p>
        </w:tc>
        <w:tc>
          <w:tcPr>
            <w:tcW w:w="2230" w:type="dxa"/>
            <w:vMerge w:val="restart"/>
            <w:tcBorders>
              <w:top w:val="nil"/>
              <w:left w:val="single" w:sz="4" w:space="0" w:color="auto"/>
              <w:bottom w:val="single" w:sz="4" w:space="0" w:color="000000"/>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Apoyo Integral Incluyente</w:t>
            </w:r>
          </w:p>
        </w:tc>
        <w:tc>
          <w:tcPr>
            <w:tcW w:w="2835"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Participaciones en atención prioritaria</w:t>
            </w:r>
          </w:p>
        </w:tc>
        <w:tc>
          <w:tcPr>
            <w:tcW w:w="70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5000</w:t>
            </w:r>
          </w:p>
        </w:tc>
        <w:tc>
          <w:tcPr>
            <w:tcW w:w="804"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5385</w:t>
            </w:r>
          </w:p>
        </w:tc>
        <w:tc>
          <w:tcPr>
            <w:tcW w:w="1181" w:type="dxa"/>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100,00%</w:t>
            </w:r>
          </w:p>
        </w:tc>
      </w:tr>
      <w:tr w:rsidR="00475419" w:rsidRPr="00535E30" w:rsidTr="005678E7">
        <w:trPr>
          <w:trHeight w:val="70"/>
        </w:trPr>
        <w:tc>
          <w:tcPr>
            <w:tcW w:w="1187" w:type="dxa"/>
            <w:vMerge/>
            <w:tcBorders>
              <w:top w:val="nil"/>
              <w:left w:val="single" w:sz="4" w:space="0" w:color="auto"/>
              <w:bottom w:val="single" w:sz="4" w:space="0" w:color="000000"/>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2230" w:type="dxa"/>
            <w:vMerge/>
            <w:tcBorders>
              <w:top w:val="nil"/>
              <w:left w:val="single" w:sz="4" w:space="0" w:color="auto"/>
              <w:bottom w:val="single" w:sz="4" w:space="0" w:color="000000"/>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2835"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Participaciones en atención en promoción y prevención</w:t>
            </w:r>
          </w:p>
        </w:tc>
        <w:tc>
          <w:tcPr>
            <w:tcW w:w="70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5000</w:t>
            </w:r>
          </w:p>
        </w:tc>
        <w:tc>
          <w:tcPr>
            <w:tcW w:w="804"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4363</w:t>
            </w:r>
          </w:p>
        </w:tc>
        <w:tc>
          <w:tcPr>
            <w:tcW w:w="1181" w:type="dxa"/>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87,26%</w:t>
            </w:r>
          </w:p>
        </w:tc>
      </w:tr>
      <w:tr w:rsidR="00475419" w:rsidRPr="00535E30" w:rsidTr="005678E7">
        <w:trPr>
          <w:trHeight w:val="70"/>
        </w:trPr>
        <w:tc>
          <w:tcPr>
            <w:tcW w:w="1187" w:type="dxa"/>
            <w:vMerge/>
            <w:tcBorders>
              <w:top w:val="nil"/>
              <w:left w:val="single" w:sz="4" w:space="0" w:color="auto"/>
              <w:bottom w:val="single" w:sz="4" w:space="0" w:color="000000"/>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2230" w:type="dxa"/>
            <w:vMerge/>
            <w:tcBorders>
              <w:top w:val="nil"/>
              <w:left w:val="single" w:sz="4" w:space="0" w:color="auto"/>
              <w:bottom w:val="single" w:sz="4" w:space="0" w:color="000000"/>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2835"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Participaciones en actividades de promoción y prevención</w:t>
            </w:r>
          </w:p>
        </w:tc>
        <w:tc>
          <w:tcPr>
            <w:tcW w:w="70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15000</w:t>
            </w:r>
          </w:p>
        </w:tc>
        <w:tc>
          <w:tcPr>
            <w:tcW w:w="804"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5736</w:t>
            </w:r>
          </w:p>
        </w:tc>
        <w:tc>
          <w:tcPr>
            <w:tcW w:w="1181" w:type="dxa"/>
            <w:tcBorders>
              <w:top w:val="nil"/>
              <w:left w:val="nil"/>
              <w:bottom w:val="single" w:sz="4" w:space="0" w:color="auto"/>
              <w:right w:val="single" w:sz="4" w:space="0" w:color="auto"/>
            </w:tcBorders>
            <w:shd w:val="clear" w:color="auto" w:fill="D99594" w:themeFill="accent2" w:themeFillTint="99"/>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38,24%</w:t>
            </w:r>
          </w:p>
        </w:tc>
      </w:tr>
      <w:tr w:rsidR="00475419" w:rsidRPr="00535E30" w:rsidTr="005678E7">
        <w:trPr>
          <w:trHeight w:val="70"/>
        </w:trPr>
        <w:tc>
          <w:tcPr>
            <w:tcW w:w="1187" w:type="dxa"/>
            <w:vMerge/>
            <w:tcBorders>
              <w:top w:val="nil"/>
              <w:left w:val="single" w:sz="4" w:space="0" w:color="auto"/>
              <w:bottom w:val="single" w:sz="4" w:space="0" w:color="000000"/>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2230"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Entornos Universitarios Saludables</w:t>
            </w:r>
          </w:p>
        </w:tc>
        <w:tc>
          <w:tcPr>
            <w:tcW w:w="2835"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Participaciones en actividades para la promoción de entornos universitarios saludables</w:t>
            </w:r>
          </w:p>
        </w:tc>
        <w:tc>
          <w:tcPr>
            <w:tcW w:w="70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600</w:t>
            </w:r>
          </w:p>
        </w:tc>
        <w:tc>
          <w:tcPr>
            <w:tcW w:w="804"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1174</w:t>
            </w:r>
          </w:p>
        </w:tc>
        <w:tc>
          <w:tcPr>
            <w:tcW w:w="1181" w:type="dxa"/>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100,00%</w:t>
            </w:r>
          </w:p>
        </w:tc>
      </w:tr>
      <w:tr w:rsidR="00475419" w:rsidRPr="00535E30" w:rsidTr="005678E7">
        <w:trPr>
          <w:trHeight w:val="70"/>
        </w:trPr>
        <w:tc>
          <w:tcPr>
            <w:tcW w:w="1187" w:type="dxa"/>
            <w:vMerge/>
            <w:tcBorders>
              <w:top w:val="nil"/>
              <w:left w:val="single" w:sz="4" w:space="0" w:color="auto"/>
              <w:bottom w:val="single" w:sz="4" w:space="0" w:color="000000"/>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2230"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Enfoque de Género en la Vida Universitaria</w:t>
            </w:r>
          </w:p>
        </w:tc>
        <w:tc>
          <w:tcPr>
            <w:tcW w:w="2835"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Participaciones en actividades para la inserción del enfoque de género en la vida universitaria</w:t>
            </w:r>
          </w:p>
        </w:tc>
        <w:tc>
          <w:tcPr>
            <w:tcW w:w="70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600</w:t>
            </w:r>
          </w:p>
        </w:tc>
        <w:tc>
          <w:tcPr>
            <w:tcW w:w="804"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518</w:t>
            </w:r>
          </w:p>
        </w:tc>
        <w:tc>
          <w:tcPr>
            <w:tcW w:w="1181" w:type="dxa"/>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86,33%</w:t>
            </w:r>
          </w:p>
        </w:tc>
      </w:tr>
      <w:tr w:rsidR="00475419" w:rsidRPr="00535E30" w:rsidTr="005678E7">
        <w:trPr>
          <w:trHeight w:val="70"/>
        </w:trPr>
        <w:tc>
          <w:tcPr>
            <w:tcW w:w="1187" w:type="dxa"/>
            <w:vMerge w:val="restart"/>
            <w:tcBorders>
              <w:top w:val="nil"/>
              <w:left w:val="single" w:sz="4" w:space="0" w:color="auto"/>
              <w:bottom w:val="nil"/>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Atención integral y cultura democrática, participativa e incluyente</w:t>
            </w:r>
          </w:p>
        </w:tc>
        <w:tc>
          <w:tcPr>
            <w:tcW w:w="2230"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Promoción social</w:t>
            </w:r>
          </w:p>
        </w:tc>
        <w:tc>
          <w:tcPr>
            <w:tcW w:w="2835"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Población estudiantil en situación de vulnerabilidad</w:t>
            </w:r>
          </w:p>
        </w:tc>
        <w:tc>
          <w:tcPr>
            <w:tcW w:w="70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70</w:t>
            </w:r>
          </w:p>
        </w:tc>
        <w:tc>
          <w:tcPr>
            <w:tcW w:w="804"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87</w:t>
            </w:r>
          </w:p>
        </w:tc>
        <w:tc>
          <w:tcPr>
            <w:tcW w:w="1181" w:type="dxa"/>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100,00%</w:t>
            </w:r>
          </w:p>
        </w:tc>
      </w:tr>
      <w:tr w:rsidR="00475419" w:rsidRPr="00535E30" w:rsidTr="005678E7">
        <w:trPr>
          <w:trHeight w:val="325"/>
        </w:trPr>
        <w:tc>
          <w:tcPr>
            <w:tcW w:w="1187" w:type="dxa"/>
            <w:vMerge/>
            <w:tcBorders>
              <w:top w:val="nil"/>
              <w:left w:val="single" w:sz="4" w:space="0" w:color="auto"/>
              <w:bottom w:val="nil"/>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2230" w:type="dxa"/>
            <w:vMerge w:val="restart"/>
            <w:tcBorders>
              <w:top w:val="nil"/>
              <w:left w:val="single" w:sz="4" w:space="0" w:color="auto"/>
              <w:bottom w:val="single" w:sz="4" w:space="0" w:color="000000"/>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Servicio social universitario</w:t>
            </w:r>
          </w:p>
        </w:tc>
        <w:tc>
          <w:tcPr>
            <w:tcW w:w="2835"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 xml:space="preserve">Comunidad Universitaria involucrada en proyectos de servicio social </w:t>
            </w:r>
          </w:p>
        </w:tc>
        <w:tc>
          <w:tcPr>
            <w:tcW w:w="70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70</w:t>
            </w:r>
          </w:p>
        </w:tc>
        <w:tc>
          <w:tcPr>
            <w:tcW w:w="804"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82,28</w:t>
            </w:r>
          </w:p>
        </w:tc>
        <w:tc>
          <w:tcPr>
            <w:tcW w:w="1181" w:type="dxa"/>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100,00%</w:t>
            </w:r>
          </w:p>
        </w:tc>
      </w:tr>
      <w:tr w:rsidR="00475419" w:rsidRPr="00535E30" w:rsidTr="005678E7">
        <w:trPr>
          <w:trHeight w:val="70"/>
        </w:trPr>
        <w:tc>
          <w:tcPr>
            <w:tcW w:w="1187" w:type="dxa"/>
            <w:vMerge/>
            <w:tcBorders>
              <w:top w:val="nil"/>
              <w:left w:val="single" w:sz="4" w:space="0" w:color="auto"/>
              <w:bottom w:val="nil"/>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2230" w:type="dxa"/>
            <w:vMerge/>
            <w:tcBorders>
              <w:top w:val="nil"/>
              <w:left w:val="single" w:sz="4" w:space="0" w:color="auto"/>
              <w:bottom w:val="single" w:sz="4" w:space="0" w:color="000000"/>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2835"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Comunidad Universitaria involucrada en proyectos de voluntariado</w:t>
            </w:r>
          </w:p>
        </w:tc>
        <w:tc>
          <w:tcPr>
            <w:tcW w:w="70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50</w:t>
            </w:r>
          </w:p>
        </w:tc>
        <w:tc>
          <w:tcPr>
            <w:tcW w:w="804"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36</w:t>
            </w:r>
          </w:p>
        </w:tc>
        <w:tc>
          <w:tcPr>
            <w:tcW w:w="1181" w:type="dxa"/>
            <w:tcBorders>
              <w:top w:val="nil"/>
              <w:left w:val="nil"/>
              <w:bottom w:val="single" w:sz="4" w:space="0" w:color="auto"/>
              <w:right w:val="single" w:sz="4" w:space="0" w:color="auto"/>
            </w:tcBorders>
            <w:shd w:val="clear" w:color="auto" w:fill="D99594" w:themeFill="accent2" w:themeFillTint="99"/>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72,00%</w:t>
            </w:r>
          </w:p>
        </w:tc>
      </w:tr>
      <w:tr w:rsidR="00475419" w:rsidRPr="00535E30" w:rsidTr="005678E7">
        <w:trPr>
          <w:trHeight w:val="413"/>
        </w:trPr>
        <w:tc>
          <w:tcPr>
            <w:tcW w:w="1187" w:type="dxa"/>
            <w:vMerge/>
            <w:tcBorders>
              <w:top w:val="nil"/>
              <w:left w:val="single" w:sz="4" w:space="0" w:color="auto"/>
              <w:bottom w:val="nil"/>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2230"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Vinculación familiar a la universidad</w:t>
            </w:r>
          </w:p>
        </w:tc>
        <w:tc>
          <w:tcPr>
            <w:tcW w:w="2835"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 xml:space="preserve"> Vinculación familiar para la retención de estudiantes en situación de vulnerabilidad</w:t>
            </w:r>
          </w:p>
        </w:tc>
        <w:tc>
          <w:tcPr>
            <w:tcW w:w="70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65</w:t>
            </w:r>
          </w:p>
        </w:tc>
        <w:tc>
          <w:tcPr>
            <w:tcW w:w="804"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69</w:t>
            </w:r>
          </w:p>
        </w:tc>
        <w:tc>
          <w:tcPr>
            <w:tcW w:w="1181" w:type="dxa"/>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100,00%</w:t>
            </w:r>
          </w:p>
        </w:tc>
      </w:tr>
      <w:tr w:rsidR="00475419" w:rsidRPr="00535E30" w:rsidTr="005678E7">
        <w:trPr>
          <w:trHeight w:val="70"/>
        </w:trPr>
        <w:tc>
          <w:tcPr>
            <w:tcW w:w="1187" w:type="dxa"/>
            <w:vMerge w:val="restart"/>
            <w:tcBorders>
              <w:top w:val="single" w:sz="4" w:space="0" w:color="auto"/>
              <w:left w:val="single" w:sz="4" w:space="0" w:color="auto"/>
              <w:bottom w:val="nil"/>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Observatorio Social</w:t>
            </w:r>
          </w:p>
        </w:tc>
        <w:tc>
          <w:tcPr>
            <w:tcW w:w="2230"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Investigación social</w:t>
            </w:r>
          </w:p>
        </w:tc>
        <w:tc>
          <w:tcPr>
            <w:tcW w:w="2835"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 xml:space="preserve">Investigación social </w:t>
            </w:r>
          </w:p>
        </w:tc>
        <w:tc>
          <w:tcPr>
            <w:tcW w:w="70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50</w:t>
            </w:r>
          </w:p>
        </w:tc>
        <w:tc>
          <w:tcPr>
            <w:tcW w:w="804"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60</w:t>
            </w:r>
          </w:p>
        </w:tc>
        <w:tc>
          <w:tcPr>
            <w:tcW w:w="1181" w:type="dxa"/>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100,00%</w:t>
            </w:r>
          </w:p>
        </w:tc>
      </w:tr>
      <w:tr w:rsidR="00475419" w:rsidRPr="00535E30" w:rsidTr="005678E7">
        <w:trPr>
          <w:trHeight w:val="70"/>
        </w:trPr>
        <w:tc>
          <w:tcPr>
            <w:tcW w:w="1187" w:type="dxa"/>
            <w:vMerge/>
            <w:tcBorders>
              <w:top w:val="single" w:sz="4" w:space="0" w:color="auto"/>
              <w:left w:val="single" w:sz="4" w:space="0" w:color="auto"/>
              <w:bottom w:val="nil"/>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2230"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Monitoreo social</w:t>
            </w:r>
          </w:p>
        </w:tc>
        <w:tc>
          <w:tcPr>
            <w:tcW w:w="2835"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 xml:space="preserve">Monitoreo social </w:t>
            </w:r>
          </w:p>
        </w:tc>
        <w:tc>
          <w:tcPr>
            <w:tcW w:w="70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50</w:t>
            </w:r>
          </w:p>
        </w:tc>
        <w:tc>
          <w:tcPr>
            <w:tcW w:w="804"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45,45</w:t>
            </w:r>
          </w:p>
        </w:tc>
        <w:tc>
          <w:tcPr>
            <w:tcW w:w="1181" w:type="dxa"/>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90,90%</w:t>
            </w:r>
          </w:p>
        </w:tc>
      </w:tr>
      <w:tr w:rsidR="00475419" w:rsidRPr="00535E30" w:rsidTr="005678E7">
        <w:trPr>
          <w:trHeight w:val="70"/>
        </w:trPr>
        <w:tc>
          <w:tcPr>
            <w:tcW w:w="1187"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Gestión Estratégica</w:t>
            </w:r>
          </w:p>
        </w:tc>
        <w:tc>
          <w:tcPr>
            <w:tcW w:w="2230"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Gestión de Recursos para la práctica de la responsabilidad social (acciones para la gestión de recursos)</w:t>
            </w:r>
          </w:p>
        </w:tc>
        <w:tc>
          <w:tcPr>
            <w:tcW w:w="2835"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Gestión de recursos para la práctica de la responsabilidad social</w:t>
            </w:r>
          </w:p>
        </w:tc>
        <w:tc>
          <w:tcPr>
            <w:tcW w:w="70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40</w:t>
            </w:r>
          </w:p>
        </w:tc>
        <w:tc>
          <w:tcPr>
            <w:tcW w:w="804"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97,76</w:t>
            </w:r>
          </w:p>
        </w:tc>
        <w:tc>
          <w:tcPr>
            <w:tcW w:w="1181" w:type="dxa"/>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100,00%</w:t>
            </w:r>
          </w:p>
        </w:tc>
      </w:tr>
      <w:tr w:rsidR="00475419" w:rsidRPr="00535E30" w:rsidTr="005678E7">
        <w:trPr>
          <w:trHeight w:val="70"/>
        </w:trPr>
        <w:tc>
          <w:tcPr>
            <w:tcW w:w="1187" w:type="dxa"/>
            <w:vMerge/>
            <w:tcBorders>
              <w:top w:val="single" w:sz="4" w:space="0" w:color="auto"/>
              <w:left w:val="single" w:sz="4" w:space="0" w:color="auto"/>
              <w:bottom w:val="single" w:sz="4" w:space="0" w:color="000000"/>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Arial"/>
                <w:sz w:val="18"/>
                <w:szCs w:val="18"/>
                <w:lang w:val="es-CO" w:eastAsia="es-CO"/>
              </w:rPr>
            </w:pPr>
          </w:p>
        </w:tc>
        <w:tc>
          <w:tcPr>
            <w:tcW w:w="2230"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Alianzas y/o convenios</w:t>
            </w:r>
          </w:p>
        </w:tc>
        <w:tc>
          <w:tcPr>
            <w:tcW w:w="2835"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Número de alianzas y/o convenios firmados</w:t>
            </w:r>
          </w:p>
        </w:tc>
        <w:tc>
          <w:tcPr>
            <w:tcW w:w="709" w:type="dxa"/>
            <w:tcBorders>
              <w:top w:val="nil"/>
              <w:left w:val="nil"/>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6</w:t>
            </w:r>
          </w:p>
        </w:tc>
        <w:tc>
          <w:tcPr>
            <w:tcW w:w="804" w:type="dxa"/>
            <w:tcBorders>
              <w:top w:val="nil"/>
              <w:left w:val="nil"/>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15</w:t>
            </w:r>
          </w:p>
        </w:tc>
        <w:tc>
          <w:tcPr>
            <w:tcW w:w="1181" w:type="dxa"/>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val="es-CO" w:eastAsia="es-CO"/>
              </w:rPr>
            </w:pPr>
            <w:r w:rsidRPr="00535E30">
              <w:rPr>
                <w:rFonts w:asciiTheme="minorHAnsi" w:eastAsia="Times New Roman" w:hAnsiTheme="minorHAnsi" w:cs="Arial"/>
                <w:sz w:val="18"/>
                <w:szCs w:val="18"/>
                <w:lang w:val="es-CO" w:eastAsia="es-CO"/>
              </w:rPr>
              <w:t>100,00%</w:t>
            </w:r>
          </w:p>
        </w:tc>
      </w:tr>
    </w:tbl>
    <w:p w:rsidR="00475419" w:rsidRPr="00535E30" w:rsidRDefault="00475419" w:rsidP="00475419">
      <w:pPr>
        <w:spacing w:line="276" w:lineRule="auto"/>
        <w:rPr>
          <w:rFonts w:asciiTheme="minorHAnsi" w:hAnsiTheme="minorHAnsi" w:cs="Arial"/>
          <w:color w:val="000000"/>
          <w:lang w:val="es-CO"/>
        </w:rPr>
      </w:pP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color w:val="000000"/>
          <w:lang w:val="es-CO"/>
        </w:rPr>
        <w:t>Sólo dos planes operativos tuvieron un desempeño por debajo del 80% de cumplimiento, el indicador de Participaciones en actividades de promoción y prevención del plan operativo de Salud Integral, y el indicador de Comunidad Universitaria involucrada en proyectos de voluntariado correspondiente al Plan operativo servicio social universitario. A continuación se presenta la justificación y las acciones de mejora:</w:t>
      </w:r>
    </w:p>
    <w:p w:rsidR="00475419" w:rsidRPr="00535E30" w:rsidRDefault="00475419" w:rsidP="00475419">
      <w:pPr>
        <w:spacing w:line="276" w:lineRule="auto"/>
        <w:rPr>
          <w:rFonts w:asciiTheme="minorHAnsi" w:hAnsiTheme="minorHAnsi" w:cs="Arial"/>
          <w:color w:val="000000"/>
          <w:lang w:val="es-CO"/>
        </w:rPr>
      </w:pPr>
    </w:p>
    <w:tbl>
      <w:tblPr>
        <w:tblW w:w="5288" w:type="pct"/>
        <w:jc w:val="center"/>
        <w:shd w:val="clear" w:color="auto" w:fill="FFFFFF"/>
        <w:tblLayout w:type="fixed"/>
        <w:tblCellMar>
          <w:left w:w="0" w:type="dxa"/>
          <w:right w:w="0" w:type="dxa"/>
        </w:tblCellMar>
        <w:tblLook w:val="04A0" w:firstRow="1" w:lastRow="0" w:firstColumn="1" w:lastColumn="0" w:noHBand="0" w:noVBand="1"/>
      </w:tblPr>
      <w:tblGrid>
        <w:gridCol w:w="1134"/>
        <w:gridCol w:w="1274"/>
        <w:gridCol w:w="4442"/>
        <w:gridCol w:w="2645"/>
      </w:tblGrid>
      <w:tr w:rsidR="00475419" w:rsidRPr="00535E30" w:rsidTr="005678E7">
        <w:trPr>
          <w:trHeight w:val="57"/>
          <w:tblHeader/>
          <w:jc w:val="center"/>
        </w:trPr>
        <w:tc>
          <w:tcPr>
            <w:tcW w:w="597" w:type="pct"/>
            <w:tcBorders>
              <w:top w:val="single" w:sz="8" w:space="0" w:color="auto"/>
              <w:left w:val="single" w:sz="8" w:space="0" w:color="auto"/>
              <w:bottom w:val="single" w:sz="4" w:space="0" w:color="auto"/>
              <w:right w:val="single" w:sz="8" w:space="0" w:color="auto"/>
            </w:tcBorders>
            <w:shd w:val="clear" w:color="auto" w:fill="B8CCE4" w:themeFill="accent1" w:themeFillTint="66"/>
            <w:noWrap/>
            <w:tcMar>
              <w:top w:w="0" w:type="dxa"/>
              <w:left w:w="70" w:type="dxa"/>
              <w:bottom w:w="0" w:type="dxa"/>
              <w:right w:w="70" w:type="dxa"/>
            </w:tcMar>
            <w:vAlign w:val="center"/>
            <w:hideMark/>
          </w:tcPr>
          <w:p w:rsidR="00475419" w:rsidRPr="00535E30" w:rsidRDefault="00475419" w:rsidP="005678E7">
            <w:pPr>
              <w:spacing w:after="0" w:line="276" w:lineRule="auto"/>
              <w:jc w:val="center"/>
              <w:rPr>
                <w:rFonts w:asciiTheme="minorHAnsi" w:eastAsia="Times New Roman" w:hAnsiTheme="minorHAnsi" w:cs="Arial"/>
                <w:color w:val="222222"/>
                <w:sz w:val="18"/>
                <w:szCs w:val="18"/>
                <w:lang w:eastAsia="es-CO"/>
              </w:rPr>
            </w:pPr>
            <w:r w:rsidRPr="00535E30">
              <w:rPr>
                <w:rFonts w:asciiTheme="minorHAnsi" w:eastAsia="Times New Roman" w:hAnsiTheme="minorHAnsi" w:cs="Arial"/>
                <w:b/>
                <w:bCs/>
                <w:color w:val="222222"/>
                <w:sz w:val="18"/>
                <w:szCs w:val="18"/>
                <w:lang w:eastAsia="es-CO"/>
              </w:rPr>
              <w:lastRenderedPageBreak/>
              <w:t>Plan operativo</w:t>
            </w:r>
          </w:p>
        </w:tc>
        <w:tc>
          <w:tcPr>
            <w:tcW w:w="671" w:type="pct"/>
            <w:tcBorders>
              <w:top w:val="single" w:sz="8" w:space="0" w:color="auto"/>
              <w:left w:val="nil"/>
              <w:bottom w:val="single" w:sz="4" w:space="0" w:color="auto"/>
              <w:right w:val="single" w:sz="8" w:space="0" w:color="auto"/>
            </w:tcBorders>
            <w:shd w:val="clear" w:color="auto" w:fill="B8CCE4" w:themeFill="accent1" w:themeFillTint="66"/>
            <w:noWrap/>
            <w:tcMar>
              <w:top w:w="0" w:type="dxa"/>
              <w:left w:w="70" w:type="dxa"/>
              <w:bottom w:w="0" w:type="dxa"/>
              <w:right w:w="70" w:type="dxa"/>
            </w:tcMar>
            <w:vAlign w:val="center"/>
            <w:hideMark/>
          </w:tcPr>
          <w:p w:rsidR="00475419" w:rsidRPr="00535E30" w:rsidRDefault="00475419" w:rsidP="005678E7">
            <w:pPr>
              <w:spacing w:after="0" w:line="276" w:lineRule="auto"/>
              <w:jc w:val="center"/>
              <w:rPr>
                <w:rFonts w:asciiTheme="minorHAnsi" w:eastAsia="Times New Roman" w:hAnsiTheme="minorHAnsi" w:cs="Arial"/>
                <w:color w:val="222222"/>
                <w:sz w:val="18"/>
                <w:szCs w:val="18"/>
                <w:lang w:eastAsia="es-CO"/>
              </w:rPr>
            </w:pPr>
            <w:r w:rsidRPr="00535E30">
              <w:rPr>
                <w:rFonts w:asciiTheme="minorHAnsi" w:eastAsia="Times New Roman" w:hAnsiTheme="minorHAnsi" w:cs="Arial"/>
                <w:b/>
                <w:bCs/>
                <w:color w:val="222222"/>
                <w:sz w:val="18"/>
                <w:szCs w:val="18"/>
                <w:lang w:eastAsia="es-CO"/>
              </w:rPr>
              <w:t>Indicador</w:t>
            </w:r>
          </w:p>
        </w:tc>
        <w:tc>
          <w:tcPr>
            <w:tcW w:w="2339" w:type="pct"/>
            <w:tcBorders>
              <w:top w:val="single" w:sz="8" w:space="0" w:color="auto"/>
              <w:left w:val="nil"/>
              <w:bottom w:val="single" w:sz="4" w:space="0" w:color="auto"/>
              <w:right w:val="single" w:sz="8" w:space="0" w:color="auto"/>
            </w:tcBorders>
            <w:shd w:val="clear" w:color="auto" w:fill="B8CCE4" w:themeFill="accent1" w:themeFillTint="66"/>
            <w:tcMar>
              <w:top w:w="0" w:type="dxa"/>
              <w:left w:w="70" w:type="dxa"/>
              <w:bottom w:w="0" w:type="dxa"/>
              <w:right w:w="70" w:type="dxa"/>
            </w:tcMar>
            <w:vAlign w:val="center"/>
            <w:hideMark/>
          </w:tcPr>
          <w:p w:rsidR="00475419" w:rsidRPr="00535E30" w:rsidRDefault="00475419" w:rsidP="005678E7">
            <w:pPr>
              <w:spacing w:after="0" w:line="276" w:lineRule="auto"/>
              <w:jc w:val="center"/>
              <w:rPr>
                <w:rFonts w:asciiTheme="minorHAnsi" w:eastAsia="Times New Roman" w:hAnsiTheme="minorHAnsi" w:cs="Arial"/>
                <w:color w:val="222222"/>
                <w:sz w:val="18"/>
                <w:szCs w:val="18"/>
                <w:lang w:eastAsia="es-CO"/>
              </w:rPr>
            </w:pPr>
            <w:r w:rsidRPr="00535E30">
              <w:rPr>
                <w:rFonts w:asciiTheme="minorHAnsi" w:eastAsia="Times New Roman" w:hAnsiTheme="minorHAnsi" w:cs="Arial"/>
                <w:b/>
                <w:bCs/>
                <w:color w:val="222222"/>
                <w:sz w:val="18"/>
                <w:szCs w:val="18"/>
                <w:lang w:eastAsia="es-CO"/>
              </w:rPr>
              <w:t>Justificación</w:t>
            </w:r>
          </w:p>
        </w:tc>
        <w:tc>
          <w:tcPr>
            <w:tcW w:w="1393" w:type="pct"/>
            <w:tcBorders>
              <w:top w:val="single" w:sz="8" w:space="0" w:color="auto"/>
              <w:left w:val="nil"/>
              <w:bottom w:val="single" w:sz="4" w:space="0" w:color="auto"/>
              <w:right w:val="single" w:sz="8" w:space="0" w:color="auto"/>
            </w:tcBorders>
            <w:shd w:val="clear" w:color="auto" w:fill="B8CCE4" w:themeFill="accent1" w:themeFillTint="66"/>
            <w:tcMar>
              <w:top w:w="0" w:type="dxa"/>
              <w:left w:w="70" w:type="dxa"/>
              <w:bottom w:w="0" w:type="dxa"/>
              <w:right w:w="70" w:type="dxa"/>
            </w:tcMar>
            <w:vAlign w:val="center"/>
            <w:hideMark/>
          </w:tcPr>
          <w:p w:rsidR="00475419" w:rsidRPr="00535E30" w:rsidRDefault="00475419" w:rsidP="005678E7">
            <w:pPr>
              <w:spacing w:after="0" w:line="276" w:lineRule="auto"/>
              <w:jc w:val="center"/>
              <w:rPr>
                <w:rFonts w:asciiTheme="minorHAnsi" w:eastAsia="Times New Roman" w:hAnsiTheme="minorHAnsi" w:cs="Arial"/>
                <w:color w:val="222222"/>
                <w:sz w:val="18"/>
                <w:szCs w:val="18"/>
                <w:lang w:eastAsia="es-CO"/>
              </w:rPr>
            </w:pPr>
            <w:r w:rsidRPr="00535E30">
              <w:rPr>
                <w:rFonts w:asciiTheme="minorHAnsi" w:eastAsia="Times New Roman" w:hAnsiTheme="minorHAnsi" w:cs="Arial"/>
                <w:b/>
                <w:bCs/>
                <w:color w:val="222222"/>
                <w:sz w:val="18"/>
                <w:szCs w:val="18"/>
                <w:lang w:eastAsia="es-CO"/>
              </w:rPr>
              <w:t>Acciones de mejora</w:t>
            </w:r>
          </w:p>
        </w:tc>
      </w:tr>
      <w:tr w:rsidR="00475419" w:rsidRPr="00535E30" w:rsidTr="005678E7">
        <w:trPr>
          <w:trHeight w:val="57"/>
          <w:jc w:val="center"/>
        </w:trPr>
        <w:tc>
          <w:tcPr>
            <w:tcW w:w="597" w:type="pct"/>
            <w:tcBorders>
              <w:top w:val="single" w:sz="4" w:space="0" w:color="auto"/>
              <w:left w:val="single" w:sz="4" w:space="0" w:color="auto"/>
              <w:bottom w:val="single" w:sz="4" w:space="0" w:color="auto"/>
              <w:right w:val="single" w:sz="4" w:space="0" w:color="auto"/>
            </w:tcBorders>
            <w:shd w:val="clear" w:color="auto" w:fill="FFFFFF"/>
            <w:noWrap/>
            <w:tcMar>
              <w:top w:w="0" w:type="dxa"/>
              <w:left w:w="70" w:type="dxa"/>
              <w:bottom w:w="0" w:type="dxa"/>
              <w:right w:w="70" w:type="dxa"/>
            </w:tcMar>
            <w:vAlign w:val="center"/>
            <w:hideMark/>
          </w:tcPr>
          <w:p w:rsidR="00475419" w:rsidRPr="00535E30" w:rsidRDefault="00475419" w:rsidP="005678E7">
            <w:pPr>
              <w:spacing w:after="0" w:line="276" w:lineRule="auto"/>
              <w:jc w:val="center"/>
              <w:rPr>
                <w:rFonts w:asciiTheme="minorHAnsi" w:eastAsia="Times New Roman" w:hAnsiTheme="minorHAnsi" w:cs="Arial"/>
                <w:color w:val="222222"/>
                <w:sz w:val="18"/>
                <w:szCs w:val="18"/>
                <w:lang w:eastAsia="es-CO"/>
              </w:rPr>
            </w:pPr>
            <w:r w:rsidRPr="00535E30">
              <w:rPr>
                <w:rFonts w:asciiTheme="minorHAnsi" w:eastAsia="Times New Roman" w:hAnsiTheme="minorHAnsi" w:cs="Arial"/>
                <w:sz w:val="18"/>
                <w:szCs w:val="18"/>
                <w:lang w:val="es-CO" w:eastAsia="es-CO"/>
              </w:rPr>
              <w:t>Apoyo Integral Incluyente</w:t>
            </w:r>
          </w:p>
        </w:tc>
        <w:tc>
          <w:tcPr>
            <w:tcW w:w="671" w:type="pct"/>
            <w:tcBorders>
              <w:top w:val="single" w:sz="4" w:space="0" w:color="auto"/>
              <w:left w:val="single" w:sz="4" w:space="0" w:color="auto"/>
              <w:bottom w:val="single" w:sz="4" w:space="0" w:color="auto"/>
              <w:right w:val="single" w:sz="4" w:space="0" w:color="auto"/>
            </w:tcBorders>
            <w:shd w:val="clear" w:color="auto" w:fill="auto"/>
            <w:noWrap/>
            <w:tcMar>
              <w:top w:w="0" w:type="dxa"/>
              <w:left w:w="70" w:type="dxa"/>
              <w:bottom w:w="0" w:type="dxa"/>
              <w:right w:w="70" w:type="dxa"/>
            </w:tcMar>
            <w:vAlign w:val="center"/>
            <w:hideMark/>
          </w:tcPr>
          <w:p w:rsidR="00475419" w:rsidRPr="00535E30" w:rsidRDefault="00475419" w:rsidP="005678E7">
            <w:pPr>
              <w:spacing w:after="0" w:line="276" w:lineRule="auto"/>
              <w:jc w:val="center"/>
              <w:rPr>
                <w:rFonts w:asciiTheme="minorHAnsi" w:eastAsia="Times New Roman" w:hAnsiTheme="minorHAnsi" w:cs="Arial"/>
                <w:sz w:val="18"/>
                <w:szCs w:val="18"/>
                <w:lang w:eastAsia="es-CO"/>
              </w:rPr>
            </w:pPr>
            <w:r w:rsidRPr="00535E30">
              <w:rPr>
                <w:rFonts w:asciiTheme="minorHAnsi" w:eastAsia="Times New Roman" w:hAnsiTheme="minorHAnsi" w:cs="Arial"/>
                <w:sz w:val="18"/>
                <w:szCs w:val="18"/>
                <w:lang w:val="es-CO" w:eastAsia="es-CO"/>
              </w:rPr>
              <w:t>Participaciones en actividades de promoción y prevención</w:t>
            </w:r>
          </w:p>
        </w:tc>
        <w:tc>
          <w:tcPr>
            <w:tcW w:w="2339" w:type="pct"/>
            <w:tcBorders>
              <w:top w:val="single" w:sz="4" w:space="0" w:color="auto"/>
              <w:left w:val="single" w:sz="4" w:space="0" w:color="auto"/>
              <w:bottom w:val="single" w:sz="4" w:space="0" w:color="auto"/>
              <w:right w:val="single" w:sz="4" w:space="0" w:color="auto"/>
            </w:tcBorders>
            <w:shd w:val="clear" w:color="auto" w:fill="FFFFFF"/>
            <w:tcMar>
              <w:top w:w="0" w:type="dxa"/>
              <w:left w:w="70" w:type="dxa"/>
              <w:bottom w:w="0" w:type="dxa"/>
              <w:right w:w="70" w:type="dxa"/>
            </w:tcMar>
            <w:vAlign w:val="center"/>
          </w:tcPr>
          <w:p w:rsidR="00475419" w:rsidRPr="00535E30" w:rsidRDefault="00475419" w:rsidP="005678E7">
            <w:pPr>
              <w:spacing w:after="0" w:line="276" w:lineRule="auto"/>
              <w:rPr>
                <w:rFonts w:asciiTheme="minorHAnsi" w:eastAsia="Times New Roman" w:hAnsiTheme="minorHAnsi" w:cs="Arial"/>
                <w:color w:val="222222"/>
                <w:sz w:val="18"/>
                <w:szCs w:val="18"/>
                <w:lang w:eastAsia="es-CO"/>
              </w:rPr>
            </w:pPr>
            <w:r w:rsidRPr="00535E30">
              <w:rPr>
                <w:rFonts w:asciiTheme="minorHAnsi" w:eastAsia="Times New Roman" w:hAnsiTheme="minorHAnsi" w:cs="Arial"/>
                <w:color w:val="222222"/>
                <w:sz w:val="18"/>
                <w:szCs w:val="18"/>
                <w:lang w:eastAsia="es-CO"/>
              </w:rPr>
              <w:t>Esta situación se presentó porque no se recibió una respuesta a las convocatorias que se realizaron, por tal motivo las actividades presentaron una baja participación. Estas actividades en algunos casos fueron reprogramadas pero en otros por el respeto a quienes respondían al llamado se realizaba dicha actividad.</w:t>
            </w:r>
          </w:p>
        </w:tc>
        <w:tc>
          <w:tcPr>
            <w:tcW w:w="1393" w:type="pct"/>
            <w:tcBorders>
              <w:top w:val="single" w:sz="4" w:space="0" w:color="auto"/>
              <w:left w:val="single" w:sz="4" w:space="0" w:color="auto"/>
              <w:bottom w:val="single" w:sz="4" w:space="0" w:color="auto"/>
              <w:right w:val="single" w:sz="4" w:space="0" w:color="auto"/>
            </w:tcBorders>
            <w:shd w:val="clear" w:color="auto" w:fill="FFFFFF"/>
            <w:tcMar>
              <w:top w:w="0" w:type="dxa"/>
              <w:left w:w="70" w:type="dxa"/>
              <w:bottom w:w="0" w:type="dxa"/>
              <w:right w:w="70" w:type="dxa"/>
            </w:tcMar>
            <w:vAlign w:val="center"/>
          </w:tcPr>
          <w:p w:rsidR="00475419" w:rsidRPr="00535E30" w:rsidRDefault="00475419" w:rsidP="005678E7">
            <w:pPr>
              <w:spacing w:after="0" w:line="276" w:lineRule="auto"/>
              <w:rPr>
                <w:rFonts w:asciiTheme="minorHAnsi" w:eastAsia="Times New Roman" w:hAnsiTheme="minorHAnsi" w:cs="Arial"/>
                <w:color w:val="222222"/>
                <w:sz w:val="18"/>
                <w:szCs w:val="18"/>
                <w:lang w:eastAsia="es-CO"/>
              </w:rPr>
            </w:pPr>
            <w:r w:rsidRPr="00535E30">
              <w:rPr>
                <w:rFonts w:asciiTheme="minorHAnsi" w:eastAsia="Times New Roman" w:hAnsiTheme="minorHAnsi" w:cs="Arial"/>
                <w:color w:val="222222"/>
                <w:sz w:val="18"/>
                <w:szCs w:val="18"/>
                <w:lang w:eastAsia="es-CO"/>
              </w:rPr>
              <w:t>Desarrollar estrategias para la difusión y convocatorias con otras dependencias para  lograr la participación esperada y poder llegar a un  número importante de comunidad universitaria beneficiada por los servicios que ofrece la institución</w:t>
            </w:r>
          </w:p>
        </w:tc>
      </w:tr>
      <w:tr w:rsidR="00475419" w:rsidRPr="00535E30" w:rsidTr="005678E7">
        <w:trPr>
          <w:trHeight w:val="136"/>
          <w:jc w:val="center"/>
        </w:trPr>
        <w:tc>
          <w:tcPr>
            <w:tcW w:w="597" w:type="pct"/>
            <w:tcBorders>
              <w:top w:val="single" w:sz="4" w:space="0" w:color="auto"/>
              <w:left w:val="single" w:sz="4" w:space="0" w:color="auto"/>
              <w:bottom w:val="single" w:sz="4" w:space="0" w:color="auto"/>
              <w:right w:val="single" w:sz="4" w:space="0" w:color="auto"/>
            </w:tcBorders>
            <w:shd w:val="clear" w:color="auto" w:fill="FFFFFF"/>
            <w:noWrap/>
            <w:tcMar>
              <w:top w:w="0" w:type="dxa"/>
              <w:left w:w="70" w:type="dxa"/>
              <w:bottom w:w="0" w:type="dxa"/>
              <w:right w:w="70" w:type="dxa"/>
            </w:tcMar>
            <w:vAlign w:val="center"/>
          </w:tcPr>
          <w:p w:rsidR="00475419" w:rsidRPr="00535E30" w:rsidRDefault="00475419" w:rsidP="005678E7">
            <w:pPr>
              <w:spacing w:after="0" w:line="276" w:lineRule="auto"/>
              <w:jc w:val="center"/>
              <w:rPr>
                <w:rFonts w:asciiTheme="minorHAnsi" w:eastAsia="Times New Roman" w:hAnsiTheme="minorHAnsi" w:cs="Arial"/>
                <w:color w:val="222222"/>
                <w:sz w:val="18"/>
                <w:szCs w:val="18"/>
                <w:lang w:eastAsia="es-CO"/>
              </w:rPr>
            </w:pPr>
            <w:r w:rsidRPr="00535E30">
              <w:rPr>
                <w:rFonts w:asciiTheme="minorHAnsi" w:eastAsia="Times New Roman" w:hAnsiTheme="minorHAnsi" w:cs="Arial"/>
                <w:sz w:val="18"/>
                <w:szCs w:val="18"/>
                <w:lang w:val="es-CO" w:eastAsia="es-CO"/>
              </w:rPr>
              <w:t>Servicio social universitario</w:t>
            </w:r>
          </w:p>
        </w:tc>
        <w:tc>
          <w:tcPr>
            <w:tcW w:w="671" w:type="pct"/>
            <w:tcBorders>
              <w:top w:val="single" w:sz="4" w:space="0" w:color="auto"/>
              <w:left w:val="single" w:sz="4" w:space="0" w:color="auto"/>
              <w:bottom w:val="single" w:sz="4" w:space="0" w:color="auto"/>
              <w:right w:val="single" w:sz="4" w:space="0" w:color="auto"/>
            </w:tcBorders>
            <w:shd w:val="clear" w:color="auto" w:fill="auto"/>
            <w:noWrap/>
            <w:tcMar>
              <w:top w:w="0" w:type="dxa"/>
              <w:left w:w="70" w:type="dxa"/>
              <w:bottom w:w="0" w:type="dxa"/>
              <w:right w:w="70" w:type="dxa"/>
            </w:tcMar>
            <w:vAlign w:val="center"/>
          </w:tcPr>
          <w:p w:rsidR="00475419" w:rsidRPr="00535E30" w:rsidRDefault="00475419" w:rsidP="005678E7">
            <w:pPr>
              <w:spacing w:after="0" w:line="276" w:lineRule="auto"/>
              <w:jc w:val="center"/>
              <w:rPr>
                <w:rFonts w:asciiTheme="minorHAnsi" w:eastAsia="Times New Roman" w:hAnsiTheme="minorHAnsi" w:cs="Arial"/>
                <w:sz w:val="18"/>
                <w:szCs w:val="18"/>
                <w:highlight w:val="darkYellow"/>
                <w:lang w:eastAsia="es-CO"/>
              </w:rPr>
            </w:pPr>
            <w:r w:rsidRPr="00535E30">
              <w:rPr>
                <w:rFonts w:asciiTheme="minorHAnsi" w:eastAsia="Times New Roman" w:hAnsiTheme="minorHAnsi" w:cs="Arial"/>
                <w:sz w:val="18"/>
                <w:szCs w:val="18"/>
                <w:lang w:val="es-CO" w:eastAsia="es-CO"/>
              </w:rPr>
              <w:t>Comunidad Universitaria involucrada en proyectos de voluntariado</w:t>
            </w:r>
          </w:p>
        </w:tc>
        <w:tc>
          <w:tcPr>
            <w:tcW w:w="2339" w:type="pct"/>
            <w:tcBorders>
              <w:top w:val="single" w:sz="4" w:space="0" w:color="auto"/>
              <w:left w:val="single" w:sz="4" w:space="0" w:color="auto"/>
              <w:bottom w:val="single" w:sz="4" w:space="0" w:color="auto"/>
              <w:right w:val="single" w:sz="4" w:space="0" w:color="auto"/>
            </w:tcBorders>
            <w:shd w:val="clear" w:color="auto" w:fill="FFFFFF"/>
            <w:tcMar>
              <w:top w:w="0" w:type="dxa"/>
              <w:left w:w="70" w:type="dxa"/>
              <w:bottom w:w="0" w:type="dxa"/>
              <w:right w:w="70" w:type="dxa"/>
            </w:tcMar>
            <w:vAlign w:val="center"/>
          </w:tcPr>
          <w:p w:rsidR="00475419" w:rsidRPr="00535E30" w:rsidRDefault="00475419" w:rsidP="005678E7">
            <w:pPr>
              <w:spacing w:after="0" w:line="276" w:lineRule="auto"/>
              <w:rPr>
                <w:rFonts w:asciiTheme="minorHAnsi" w:eastAsia="Times New Roman" w:hAnsiTheme="minorHAnsi" w:cs="Arial"/>
                <w:color w:val="222222"/>
                <w:sz w:val="18"/>
                <w:szCs w:val="18"/>
                <w:highlight w:val="darkYellow"/>
                <w:lang w:eastAsia="es-CO"/>
              </w:rPr>
            </w:pPr>
            <w:r w:rsidRPr="00535E30">
              <w:rPr>
                <w:rFonts w:asciiTheme="minorHAnsi" w:eastAsia="Times New Roman" w:hAnsiTheme="minorHAnsi" w:cs="Arial"/>
                <w:color w:val="222222"/>
                <w:sz w:val="18"/>
                <w:szCs w:val="18"/>
                <w:lang w:eastAsia="es-CO"/>
              </w:rPr>
              <w:t>se viene trabajando en el proceso de generación de la cultura del voluntariado desde la estrategia del servicio social, se ha logrado que algunos estudiantes se apropien de los procesos del servicio social y después de tener el cumplimiento de horas continúen prestando el servicio, también se han realizado campañas de socialización y sensibilización con los demás estamentos de la universidad donde se ha logrado el apoyo de algunos docentes en diferentes actividades sociales, si bien este indicador no alcanzo la meta mínima del 80 %, los 36 voluntarios involucrados en las actividades sociales durante el periodo 2012 es muy relevante y ha sido muy importante para la institución dado que en nuestra sociedad no se tiene gran avance en la cultura del voluntariado.</w:t>
            </w:r>
          </w:p>
        </w:tc>
        <w:tc>
          <w:tcPr>
            <w:tcW w:w="1393" w:type="pct"/>
            <w:tcBorders>
              <w:top w:val="single" w:sz="4" w:space="0" w:color="auto"/>
              <w:left w:val="single" w:sz="4" w:space="0" w:color="auto"/>
              <w:bottom w:val="single" w:sz="4" w:space="0" w:color="auto"/>
              <w:right w:val="single" w:sz="4" w:space="0" w:color="auto"/>
            </w:tcBorders>
            <w:shd w:val="clear" w:color="auto" w:fill="FFFFFF"/>
            <w:tcMar>
              <w:top w:w="0" w:type="dxa"/>
              <w:left w:w="70" w:type="dxa"/>
              <w:bottom w:w="0" w:type="dxa"/>
              <w:right w:w="70" w:type="dxa"/>
            </w:tcMar>
            <w:vAlign w:val="center"/>
          </w:tcPr>
          <w:p w:rsidR="00475419" w:rsidRPr="00535E30" w:rsidRDefault="00475419" w:rsidP="005678E7">
            <w:pPr>
              <w:spacing w:after="0" w:line="276" w:lineRule="auto"/>
              <w:rPr>
                <w:rFonts w:asciiTheme="minorHAnsi" w:eastAsia="Times New Roman" w:hAnsiTheme="minorHAnsi" w:cs="Arial"/>
                <w:color w:val="222222"/>
                <w:sz w:val="18"/>
                <w:szCs w:val="18"/>
                <w:highlight w:val="darkYellow"/>
                <w:lang w:eastAsia="es-CO"/>
              </w:rPr>
            </w:pPr>
            <w:r w:rsidRPr="00535E30">
              <w:rPr>
                <w:rFonts w:asciiTheme="minorHAnsi" w:eastAsia="Times New Roman" w:hAnsiTheme="minorHAnsi" w:cs="Arial"/>
                <w:color w:val="222222"/>
                <w:sz w:val="18"/>
                <w:szCs w:val="18"/>
                <w:lang w:eastAsia="es-CO"/>
              </w:rPr>
              <w:t>Se espera continuar con el proceso de sensibilización y vinculación de la comunidad universitaria en el programa del voluntariado. Ya que el tema de voluntariado es muy difícil debido al tema cultural de la población, ya que por sus múltiples ocupaciones resulta muy complicado que destinen parte de su tiempo para participar de este tipo de actividades.</w:t>
            </w:r>
          </w:p>
        </w:tc>
      </w:tr>
    </w:tbl>
    <w:p w:rsidR="00475419" w:rsidRPr="00535E30" w:rsidRDefault="00475419" w:rsidP="00475419">
      <w:pPr>
        <w:spacing w:line="276" w:lineRule="auto"/>
        <w:rPr>
          <w:rFonts w:asciiTheme="minorHAnsi" w:hAnsiTheme="minorHAnsi" w:cs="Arial"/>
          <w:color w:val="000000"/>
        </w:rPr>
      </w:pPr>
    </w:p>
    <w:p w:rsidR="00475419" w:rsidRPr="00535E30" w:rsidRDefault="00475419" w:rsidP="00475419">
      <w:pPr>
        <w:pStyle w:val="Ttulo2"/>
        <w:spacing w:line="276" w:lineRule="auto"/>
      </w:pPr>
      <w:bookmarkStart w:id="213" w:name="_Toc347392862"/>
      <w:bookmarkStart w:id="214" w:name="_Toc350957798"/>
      <w:bookmarkStart w:id="215" w:name="_Toc354671391"/>
      <w:r w:rsidRPr="00535E30">
        <w:rPr>
          <w:caps w:val="0"/>
        </w:rPr>
        <w:t>PROYECTOS INVESTIGACIONES, INNOVACIÓN Y EXTENSIÓN</w:t>
      </w:r>
      <w:bookmarkEnd w:id="213"/>
      <w:bookmarkEnd w:id="214"/>
      <w:bookmarkEnd w:id="215"/>
    </w:p>
    <w:p w:rsidR="00475419" w:rsidRPr="00535E30" w:rsidRDefault="00475419" w:rsidP="00475419">
      <w:pPr>
        <w:spacing w:line="276" w:lineRule="auto"/>
        <w:rPr>
          <w:rFonts w:asciiTheme="minorHAnsi" w:hAnsiTheme="minorHAnsi"/>
        </w:rPr>
      </w:pP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color w:val="000000"/>
          <w:lang w:val="es-CO"/>
        </w:rPr>
        <w:t xml:space="preserve">Este objetivo se ejecuta mediante tres proyectos institucionales: convocatorias internas y externas para la financiación de proyectos, políticas de fomento a la investigación, innovación y extensión y relación Universidad – Empresa - Estado. </w:t>
      </w:r>
    </w:p>
    <w:p w:rsidR="00475419" w:rsidRPr="00535E30" w:rsidRDefault="00475419" w:rsidP="00475419">
      <w:pPr>
        <w:spacing w:line="276" w:lineRule="auto"/>
        <w:rPr>
          <w:rFonts w:asciiTheme="minorHAnsi" w:hAnsiTheme="minorHAnsi" w:cs="Arial"/>
          <w:color w:val="000000"/>
          <w:lang w:val="es-CO"/>
        </w:rPr>
      </w:pP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color w:val="000000"/>
          <w:lang w:val="es-CO"/>
        </w:rPr>
        <w:t>El cumplimiento final del objetivo institucional fue satisfactorio, siendo éste del 88,83%. Los avances de estos tres proyectos se muestran a continuación:</w:t>
      </w:r>
    </w:p>
    <w:p w:rsidR="00475419" w:rsidRPr="00535E30" w:rsidRDefault="00475419" w:rsidP="00475419">
      <w:pPr>
        <w:spacing w:line="276" w:lineRule="auto"/>
        <w:rPr>
          <w:rFonts w:asciiTheme="minorHAnsi" w:hAnsiTheme="minorHAnsi" w:cs="Arial"/>
          <w:color w:val="000000"/>
          <w:lang w:val="es-CO"/>
        </w:rPr>
      </w:pPr>
    </w:p>
    <w:tbl>
      <w:tblPr>
        <w:tblW w:w="3907" w:type="pct"/>
        <w:jc w:val="center"/>
        <w:tblCellMar>
          <w:left w:w="0" w:type="dxa"/>
          <w:right w:w="0" w:type="dxa"/>
        </w:tblCellMar>
        <w:tblLook w:val="04A0" w:firstRow="1" w:lastRow="0" w:firstColumn="1" w:lastColumn="0" w:noHBand="0" w:noVBand="1"/>
      </w:tblPr>
      <w:tblGrid>
        <w:gridCol w:w="1304"/>
        <w:gridCol w:w="3135"/>
        <w:gridCol w:w="1280"/>
        <w:gridCol w:w="1210"/>
      </w:tblGrid>
      <w:tr w:rsidR="00475419" w:rsidRPr="00535E30" w:rsidTr="005678E7">
        <w:trPr>
          <w:trHeight w:val="57"/>
          <w:tblHeader/>
          <w:jc w:val="center"/>
        </w:trPr>
        <w:tc>
          <w:tcPr>
            <w:tcW w:w="941"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18"/>
                <w:szCs w:val="18"/>
              </w:rPr>
            </w:pPr>
            <w:r w:rsidRPr="00535E30">
              <w:rPr>
                <w:rFonts w:asciiTheme="minorHAnsi" w:hAnsiTheme="minorHAnsi" w:cs="Arial"/>
                <w:color w:val="000000"/>
                <w:sz w:val="18"/>
                <w:szCs w:val="18"/>
                <w:lang w:val="es-CO"/>
              </w:rPr>
              <w:br w:type="page"/>
            </w:r>
            <w:r w:rsidRPr="00535E30">
              <w:rPr>
                <w:rFonts w:asciiTheme="minorHAnsi" w:hAnsiTheme="minorHAnsi" w:cs="Arial"/>
                <w:b/>
                <w:bCs/>
                <w:sz w:val="18"/>
                <w:szCs w:val="18"/>
                <w:lang w:val="es-CO"/>
              </w:rPr>
              <w:t>Objetivo</w:t>
            </w:r>
          </w:p>
        </w:tc>
        <w:tc>
          <w:tcPr>
            <w:tcW w:w="2262"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18"/>
                <w:szCs w:val="18"/>
              </w:rPr>
            </w:pPr>
            <w:r w:rsidRPr="00535E30">
              <w:rPr>
                <w:rFonts w:asciiTheme="minorHAnsi" w:hAnsiTheme="minorHAnsi" w:cs="Arial"/>
                <w:b/>
                <w:bCs/>
                <w:sz w:val="18"/>
                <w:szCs w:val="18"/>
                <w:lang w:val="es-CO"/>
              </w:rPr>
              <w:t>Proyecto</w:t>
            </w:r>
          </w:p>
        </w:tc>
        <w:tc>
          <w:tcPr>
            <w:tcW w:w="924"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18"/>
                <w:szCs w:val="18"/>
              </w:rPr>
            </w:pPr>
            <w:r w:rsidRPr="00535E30">
              <w:rPr>
                <w:rFonts w:asciiTheme="minorHAnsi" w:hAnsiTheme="minorHAnsi" w:cs="Arial"/>
                <w:b/>
                <w:bCs/>
                <w:sz w:val="18"/>
                <w:szCs w:val="18"/>
                <w:lang w:val="es-CO"/>
              </w:rPr>
              <w:t>Avance indicadores de Proyecto</w:t>
            </w:r>
          </w:p>
        </w:tc>
        <w:tc>
          <w:tcPr>
            <w:tcW w:w="874"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18"/>
                <w:szCs w:val="18"/>
              </w:rPr>
            </w:pPr>
            <w:r w:rsidRPr="00535E30">
              <w:rPr>
                <w:rFonts w:asciiTheme="minorHAnsi" w:hAnsiTheme="minorHAnsi" w:cs="Arial"/>
                <w:b/>
                <w:bCs/>
                <w:sz w:val="18"/>
                <w:szCs w:val="18"/>
                <w:lang w:val="es-CO"/>
              </w:rPr>
              <w:t>Total Promediado por Objetivo</w:t>
            </w:r>
          </w:p>
        </w:tc>
      </w:tr>
      <w:tr w:rsidR="00475419" w:rsidRPr="00535E30" w:rsidTr="005678E7">
        <w:trPr>
          <w:trHeight w:val="57"/>
          <w:jc w:val="center"/>
        </w:trPr>
        <w:tc>
          <w:tcPr>
            <w:tcW w:w="941" w:type="pct"/>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475419" w:rsidRPr="00535E30" w:rsidRDefault="00475419" w:rsidP="005678E7">
            <w:pPr>
              <w:spacing w:after="0" w:line="276" w:lineRule="auto"/>
              <w:rPr>
                <w:rFonts w:asciiTheme="minorHAnsi" w:hAnsiTheme="minorHAnsi" w:cs="Arial"/>
                <w:sz w:val="18"/>
                <w:szCs w:val="18"/>
              </w:rPr>
            </w:pPr>
            <w:r w:rsidRPr="00535E30">
              <w:rPr>
                <w:rFonts w:asciiTheme="minorHAnsi" w:hAnsiTheme="minorHAnsi" w:cs="Arial"/>
                <w:sz w:val="18"/>
                <w:szCs w:val="18"/>
                <w:lang w:val="es-CO"/>
              </w:rPr>
              <w:t>Investigación, innovación y extensión</w:t>
            </w:r>
          </w:p>
        </w:tc>
        <w:tc>
          <w:tcPr>
            <w:tcW w:w="226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475419" w:rsidRPr="00535E30" w:rsidRDefault="00475419" w:rsidP="005678E7">
            <w:pPr>
              <w:spacing w:after="0" w:line="276" w:lineRule="auto"/>
              <w:rPr>
                <w:rFonts w:asciiTheme="minorHAnsi" w:hAnsiTheme="minorHAnsi" w:cs="Arial"/>
                <w:sz w:val="18"/>
                <w:szCs w:val="18"/>
              </w:rPr>
            </w:pPr>
            <w:r w:rsidRPr="00535E30">
              <w:rPr>
                <w:rFonts w:asciiTheme="minorHAnsi" w:hAnsiTheme="minorHAnsi" w:cs="Arial"/>
                <w:sz w:val="18"/>
                <w:szCs w:val="18"/>
                <w:lang w:val="es-CO"/>
              </w:rPr>
              <w:t>Convocatorias internas y externas para financiación de proyectos</w:t>
            </w:r>
          </w:p>
        </w:tc>
        <w:tc>
          <w:tcPr>
            <w:tcW w:w="924" w:type="pct"/>
            <w:tcBorders>
              <w:top w:val="single" w:sz="4" w:space="0" w:color="000000"/>
              <w:left w:val="single" w:sz="4" w:space="0" w:color="000000"/>
              <w:bottom w:val="single" w:sz="4" w:space="0" w:color="000000"/>
              <w:right w:val="single" w:sz="4" w:space="0" w:color="000000"/>
            </w:tcBorders>
            <w:shd w:val="clear" w:color="auto" w:fill="D6E3BC"/>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18"/>
                <w:szCs w:val="18"/>
              </w:rPr>
            </w:pPr>
            <w:r w:rsidRPr="00535E30">
              <w:rPr>
                <w:rFonts w:asciiTheme="minorHAnsi" w:hAnsiTheme="minorHAnsi" w:cs="Arial"/>
                <w:sz w:val="18"/>
                <w:szCs w:val="18"/>
                <w:lang w:val="es-CO"/>
              </w:rPr>
              <w:t>89,96%</w:t>
            </w:r>
          </w:p>
        </w:tc>
        <w:tc>
          <w:tcPr>
            <w:tcW w:w="874" w:type="pct"/>
            <w:vMerge w:val="restart"/>
            <w:tcBorders>
              <w:top w:val="single" w:sz="4" w:space="0" w:color="000000"/>
              <w:left w:val="single" w:sz="4" w:space="0" w:color="000000"/>
              <w:bottom w:val="single" w:sz="4" w:space="0" w:color="000000"/>
              <w:right w:val="single" w:sz="4" w:space="0" w:color="000000"/>
            </w:tcBorders>
            <w:shd w:val="clear" w:color="auto" w:fill="D6E3BC"/>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b/>
                <w:sz w:val="24"/>
                <w:szCs w:val="24"/>
              </w:rPr>
            </w:pPr>
            <w:r w:rsidRPr="00535E30">
              <w:rPr>
                <w:rFonts w:asciiTheme="minorHAnsi" w:hAnsiTheme="minorHAnsi" w:cs="Arial"/>
                <w:b/>
                <w:sz w:val="24"/>
                <w:szCs w:val="24"/>
                <w:lang w:val="es-CO"/>
              </w:rPr>
              <w:t>88,83%</w:t>
            </w:r>
          </w:p>
        </w:tc>
      </w:tr>
      <w:tr w:rsidR="00475419" w:rsidRPr="00535E30" w:rsidTr="005678E7">
        <w:trPr>
          <w:trHeight w:val="57"/>
          <w:jc w:val="center"/>
        </w:trPr>
        <w:tc>
          <w:tcPr>
            <w:tcW w:w="941" w:type="pct"/>
            <w:vMerge/>
            <w:tcBorders>
              <w:top w:val="single" w:sz="4" w:space="0" w:color="000000"/>
              <w:left w:val="single" w:sz="4" w:space="0" w:color="000000"/>
              <w:bottom w:val="single" w:sz="4" w:space="0" w:color="000000"/>
              <w:right w:val="single" w:sz="4" w:space="0" w:color="000000"/>
            </w:tcBorders>
            <w:vAlign w:val="center"/>
            <w:hideMark/>
          </w:tcPr>
          <w:p w:rsidR="00475419" w:rsidRPr="00535E30" w:rsidRDefault="00475419" w:rsidP="005678E7">
            <w:pPr>
              <w:spacing w:after="0" w:line="276" w:lineRule="auto"/>
              <w:rPr>
                <w:rFonts w:asciiTheme="minorHAnsi" w:hAnsiTheme="minorHAnsi" w:cs="Arial"/>
                <w:sz w:val="18"/>
                <w:szCs w:val="18"/>
              </w:rPr>
            </w:pPr>
          </w:p>
        </w:tc>
        <w:tc>
          <w:tcPr>
            <w:tcW w:w="226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475419" w:rsidRPr="00535E30" w:rsidRDefault="00475419" w:rsidP="005678E7">
            <w:pPr>
              <w:spacing w:after="0" w:line="276" w:lineRule="auto"/>
              <w:rPr>
                <w:rFonts w:asciiTheme="minorHAnsi" w:hAnsiTheme="minorHAnsi" w:cs="Arial"/>
                <w:sz w:val="18"/>
                <w:szCs w:val="18"/>
              </w:rPr>
            </w:pPr>
            <w:r w:rsidRPr="00535E30">
              <w:rPr>
                <w:rFonts w:asciiTheme="minorHAnsi" w:hAnsiTheme="minorHAnsi" w:cs="Arial"/>
                <w:sz w:val="18"/>
                <w:szCs w:val="18"/>
                <w:lang w:val="es-CO"/>
              </w:rPr>
              <w:t xml:space="preserve"> Políticas de fomento de investigación, innovación y extensión</w:t>
            </w:r>
          </w:p>
        </w:tc>
        <w:tc>
          <w:tcPr>
            <w:tcW w:w="924" w:type="pct"/>
            <w:tcBorders>
              <w:top w:val="single" w:sz="4" w:space="0" w:color="000000"/>
              <w:left w:val="single" w:sz="4" w:space="0" w:color="000000"/>
              <w:bottom w:val="single" w:sz="4" w:space="0" w:color="000000"/>
              <w:right w:val="single" w:sz="4" w:space="0" w:color="000000"/>
            </w:tcBorders>
            <w:shd w:val="clear" w:color="auto" w:fill="D6E3BC"/>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18"/>
                <w:szCs w:val="18"/>
              </w:rPr>
            </w:pPr>
            <w:r w:rsidRPr="00535E30">
              <w:rPr>
                <w:rFonts w:asciiTheme="minorHAnsi" w:hAnsiTheme="minorHAnsi" w:cs="Arial"/>
                <w:sz w:val="18"/>
                <w:szCs w:val="18"/>
                <w:lang w:val="es-CO"/>
              </w:rPr>
              <w:t>80,00%</w:t>
            </w:r>
          </w:p>
        </w:tc>
        <w:tc>
          <w:tcPr>
            <w:tcW w:w="874" w:type="pct"/>
            <w:vMerge/>
            <w:tcBorders>
              <w:top w:val="single" w:sz="4" w:space="0" w:color="000000"/>
              <w:left w:val="single" w:sz="4" w:space="0" w:color="000000"/>
              <w:bottom w:val="single" w:sz="4" w:space="0" w:color="000000"/>
              <w:right w:val="single" w:sz="4" w:space="0" w:color="000000"/>
            </w:tcBorders>
            <w:shd w:val="clear" w:color="auto" w:fill="D6E3BC"/>
            <w:vAlign w:val="center"/>
            <w:hideMark/>
          </w:tcPr>
          <w:p w:rsidR="00475419" w:rsidRPr="00535E30" w:rsidRDefault="00475419" w:rsidP="005678E7">
            <w:pPr>
              <w:spacing w:after="0" w:line="276" w:lineRule="auto"/>
              <w:jc w:val="center"/>
              <w:rPr>
                <w:rFonts w:asciiTheme="minorHAnsi" w:hAnsiTheme="minorHAnsi" w:cs="Arial"/>
                <w:sz w:val="18"/>
                <w:szCs w:val="18"/>
              </w:rPr>
            </w:pPr>
          </w:p>
        </w:tc>
      </w:tr>
      <w:tr w:rsidR="00475419" w:rsidRPr="00535E30" w:rsidTr="005678E7">
        <w:trPr>
          <w:trHeight w:val="57"/>
          <w:jc w:val="center"/>
        </w:trPr>
        <w:tc>
          <w:tcPr>
            <w:tcW w:w="941" w:type="pct"/>
            <w:vMerge/>
            <w:tcBorders>
              <w:top w:val="single" w:sz="4" w:space="0" w:color="000000"/>
              <w:left w:val="single" w:sz="4" w:space="0" w:color="000000"/>
              <w:bottom w:val="single" w:sz="4" w:space="0" w:color="000000"/>
              <w:right w:val="single" w:sz="4" w:space="0" w:color="000000"/>
            </w:tcBorders>
            <w:vAlign w:val="center"/>
            <w:hideMark/>
          </w:tcPr>
          <w:p w:rsidR="00475419" w:rsidRPr="00535E30" w:rsidRDefault="00475419" w:rsidP="005678E7">
            <w:pPr>
              <w:spacing w:after="0" w:line="276" w:lineRule="auto"/>
              <w:rPr>
                <w:rFonts w:asciiTheme="minorHAnsi" w:hAnsiTheme="minorHAnsi" w:cs="Arial"/>
                <w:sz w:val="18"/>
                <w:szCs w:val="18"/>
              </w:rPr>
            </w:pPr>
          </w:p>
        </w:tc>
        <w:tc>
          <w:tcPr>
            <w:tcW w:w="226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475419" w:rsidRPr="00535E30" w:rsidRDefault="00475419" w:rsidP="005678E7">
            <w:pPr>
              <w:spacing w:after="0" w:line="276" w:lineRule="auto"/>
              <w:rPr>
                <w:rFonts w:asciiTheme="minorHAnsi" w:hAnsiTheme="minorHAnsi" w:cs="Arial"/>
                <w:sz w:val="18"/>
                <w:szCs w:val="18"/>
              </w:rPr>
            </w:pPr>
            <w:r w:rsidRPr="00535E30">
              <w:rPr>
                <w:rFonts w:asciiTheme="minorHAnsi" w:hAnsiTheme="minorHAnsi" w:cs="Arial"/>
                <w:sz w:val="18"/>
                <w:szCs w:val="18"/>
                <w:lang w:val="es-CO"/>
              </w:rPr>
              <w:t>Relación Universidad - Empresa - Estado</w:t>
            </w:r>
          </w:p>
        </w:tc>
        <w:tc>
          <w:tcPr>
            <w:tcW w:w="924" w:type="pct"/>
            <w:tcBorders>
              <w:top w:val="single" w:sz="4" w:space="0" w:color="000000"/>
              <w:left w:val="single" w:sz="4" w:space="0" w:color="000000"/>
              <w:bottom w:val="single" w:sz="4" w:space="0" w:color="000000"/>
              <w:right w:val="single" w:sz="4" w:space="0" w:color="000000"/>
            </w:tcBorders>
            <w:shd w:val="clear" w:color="auto" w:fill="D6E3BC"/>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18"/>
                <w:szCs w:val="18"/>
              </w:rPr>
            </w:pPr>
            <w:r w:rsidRPr="00535E30">
              <w:rPr>
                <w:rFonts w:asciiTheme="minorHAnsi" w:hAnsiTheme="minorHAnsi" w:cs="Arial"/>
                <w:sz w:val="18"/>
                <w:szCs w:val="18"/>
              </w:rPr>
              <w:t>96,59%</w:t>
            </w:r>
          </w:p>
        </w:tc>
        <w:tc>
          <w:tcPr>
            <w:tcW w:w="874" w:type="pct"/>
            <w:vMerge/>
            <w:tcBorders>
              <w:top w:val="single" w:sz="4" w:space="0" w:color="000000"/>
              <w:left w:val="single" w:sz="4" w:space="0" w:color="000000"/>
              <w:bottom w:val="single" w:sz="4" w:space="0" w:color="000000"/>
              <w:right w:val="single" w:sz="4" w:space="0" w:color="000000"/>
            </w:tcBorders>
            <w:shd w:val="clear" w:color="auto" w:fill="D6E3BC"/>
            <w:vAlign w:val="center"/>
            <w:hideMark/>
          </w:tcPr>
          <w:p w:rsidR="00475419" w:rsidRPr="00535E30" w:rsidRDefault="00475419" w:rsidP="005678E7">
            <w:pPr>
              <w:spacing w:after="0" w:line="276" w:lineRule="auto"/>
              <w:jc w:val="center"/>
              <w:rPr>
                <w:rFonts w:asciiTheme="minorHAnsi" w:hAnsiTheme="minorHAnsi" w:cs="Arial"/>
                <w:sz w:val="18"/>
                <w:szCs w:val="18"/>
              </w:rPr>
            </w:pPr>
          </w:p>
        </w:tc>
      </w:tr>
    </w:tbl>
    <w:p w:rsidR="00475419" w:rsidRPr="00535E30" w:rsidRDefault="00475419" w:rsidP="00475419">
      <w:pPr>
        <w:spacing w:after="0" w:line="276" w:lineRule="auto"/>
        <w:rPr>
          <w:rFonts w:asciiTheme="minorHAnsi" w:hAnsiTheme="minorHAnsi" w:cs="Arial"/>
        </w:rPr>
      </w:pP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color w:val="000000"/>
          <w:lang w:val="es-CO"/>
        </w:rPr>
        <w:t>Ninguno de los tres proyectos institucionales mostró un nivel de cumplimiento por debajo del avance esperado en el cronograma a la fecha de corte. Se presenta el cumplimiento final por cada uno de los planes operativos:</w:t>
      </w:r>
    </w:p>
    <w:tbl>
      <w:tblPr>
        <w:tblW w:w="5000" w:type="pct"/>
        <w:tblLayout w:type="fixed"/>
        <w:tblCellMar>
          <w:left w:w="70" w:type="dxa"/>
          <w:right w:w="70" w:type="dxa"/>
        </w:tblCellMar>
        <w:tblLook w:val="04A0" w:firstRow="1" w:lastRow="0" w:firstColumn="1" w:lastColumn="0" w:noHBand="0" w:noVBand="1"/>
      </w:tblPr>
      <w:tblGrid>
        <w:gridCol w:w="1205"/>
        <w:gridCol w:w="2128"/>
        <w:gridCol w:w="2677"/>
        <w:gridCol w:w="684"/>
        <w:gridCol w:w="873"/>
        <w:gridCol w:w="1411"/>
      </w:tblGrid>
      <w:tr w:rsidR="00475419" w:rsidRPr="00535E30" w:rsidTr="005678E7">
        <w:trPr>
          <w:trHeight w:val="158"/>
          <w:tblHeader/>
        </w:trPr>
        <w:tc>
          <w:tcPr>
            <w:tcW w:w="671" w:type="pct"/>
            <w:tcBorders>
              <w:top w:val="single" w:sz="4" w:space="0" w:color="auto"/>
              <w:left w:val="single" w:sz="4" w:space="0" w:color="auto"/>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theme="minorHAnsi"/>
                <w:b/>
                <w:bCs/>
                <w:color w:val="000000"/>
                <w:sz w:val="18"/>
                <w:szCs w:val="18"/>
                <w:lang w:val="es-CO" w:eastAsia="es-CO"/>
              </w:rPr>
            </w:pPr>
            <w:r w:rsidRPr="00535E30">
              <w:rPr>
                <w:rFonts w:asciiTheme="minorHAnsi" w:eastAsia="Times New Roman" w:hAnsiTheme="minorHAnsi" w:cstheme="minorHAnsi"/>
                <w:b/>
                <w:bCs/>
                <w:color w:val="000000"/>
                <w:sz w:val="18"/>
                <w:szCs w:val="18"/>
                <w:lang w:val="es-CO" w:eastAsia="es-CO"/>
              </w:rPr>
              <w:t>Proyecto</w:t>
            </w:r>
          </w:p>
        </w:tc>
        <w:tc>
          <w:tcPr>
            <w:tcW w:w="1185" w:type="pct"/>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theme="minorHAnsi"/>
                <w:b/>
                <w:bCs/>
                <w:color w:val="000000"/>
                <w:sz w:val="18"/>
                <w:szCs w:val="18"/>
                <w:lang w:val="es-CO" w:eastAsia="es-CO"/>
              </w:rPr>
            </w:pPr>
            <w:r w:rsidRPr="00535E30">
              <w:rPr>
                <w:rFonts w:asciiTheme="minorHAnsi" w:eastAsia="Times New Roman" w:hAnsiTheme="minorHAnsi" w:cstheme="minorHAnsi"/>
                <w:b/>
                <w:bCs/>
                <w:color w:val="000000"/>
                <w:sz w:val="18"/>
                <w:szCs w:val="18"/>
                <w:lang w:val="es-CO" w:eastAsia="es-CO"/>
              </w:rPr>
              <w:t>Plan Operativo</w:t>
            </w:r>
          </w:p>
        </w:tc>
        <w:tc>
          <w:tcPr>
            <w:tcW w:w="1491" w:type="pct"/>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theme="minorHAnsi"/>
                <w:b/>
                <w:bCs/>
                <w:color w:val="000000"/>
                <w:sz w:val="18"/>
                <w:szCs w:val="18"/>
                <w:lang w:val="es-CO" w:eastAsia="es-CO"/>
              </w:rPr>
            </w:pPr>
            <w:r w:rsidRPr="00535E30">
              <w:rPr>
                <w:rFonts w:asciiTheme="minorHAnsi" w:eastAsia="Times New Roman" w:hAnsiTheme="minorHAnsi" w:cstheme="minorHAnsi"/>
                <w:b/>
                <w:bCs/>
                <w:color w:val="000000"/>
                <w:sz w:val="18"/>
                <w:szCs w:val="18"/>
                <w:lang w:val="es-CO" w:eastAsia="es-CO"/>
              </w:rPr>
              <w:t>Indicadores</w:t>
            </w:r>
          </w:p>
        </w:tc>
        <w:tc>
          <w:tcPr>
            <w:tcW w:w="381" w:type="pct"/>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theme="minorHAnsi"/>
                <w:b/>
                <w:bCs/>
                <w:color w:val="000000"/>
                <w:sz w:val="18"/>
                <w:szCs w:val="18"/>
                <w:lang w:val="es-CO" w:eastAsia="es-CO"/>
              </w:rPr>
            </w:pPr>
            <w:r w:rsidRPr="00535E30">
              <w:rPr>
                <w:rFonts w:asciiTheme="minorHAnsi" w:eastAsia="Times New Roman" w:hAnsiTheme="minorHAnsi" w:cstheme="minorHAnsi"/>
                <w:b/>
                <w:bCs/>
                <w:color w:val="000000"/>
                <w:sz w:val="18"/>
                <w:szCs w:val="18"/>
                <w:lang w:val="es-CO" w:eastAsia="es-CO"/>
              </w:rPr>
              <w:t>Meta</w:t>
            </w:r>
          </w:p>
        </w:tc>
        <w:tc>
          <w:tcPr>
            <w:tcW w:w="486" w:type="pct"/>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theme="minorHAnsi"/>
                <w:b/>
                <w:bCs/>
                <w:color w:val="000000"/>
                <w:sz w:val="18"/>
                <w:szCs w:val="18"/>
                <w:lang w:val="es-CO" w:eastAsia="es-CO"/>
              </w:rPr>
            </w:pPr>
            <w:r w:rsidRPr="00535E30">
              <w:rPr>
                <w:rFonts w:asciiTheme="minorHAnsi" w:eastAsia="Times New Roman" w:hAnsiTheme="minorHAnsi" w:cstheme="minorHAnsi"/>
                <w:b/>
                <w:bCs/>
                <w:color w:val="000000"/>
                <w:sz w:val="18"/>
                <w:szCs w:val="18"/>
                <w:lang w:val="es-CO" w:eastAsia="es-CO"/>
              </w:rPr>
              <w:t>Avance</w:t>
            </w:r>
          </w:p>
        </w:tc>
        <w:tc>
          <w:tcPr>
            <w:tcW w:w="787" w:type="pct"/>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theme="minorHAnsi"/>
                <w:b/>
                <w:bCs/>
                <w:color w:val="000000"/>
                <w:sz w:val="18"/>
                <w:szCs w:val="18"/>
                <w:lang w:val="es-CO" w:eastAsia="es-CO"/>
              </w:rPr>
            </w:pPr>
            <w:r w:rsidRPr="00535E30">
              <w:rPr>
                <w:rFonts w:asciiTheme="minorHAnsi" w:eastAsia="Times New Roman" w:hAnsiTheme="minorHAnsi" w:cstheme="minorHAnsi"/>
                <w:b/>
                <w:bCs/>
                <w:color w:val="000000"/>
                <w:sz w:val="18"/>
                <w:szCs w:val="18"/>
                <w:lang w:val="es-CO" w:eastAsia="es-CO"/>
              </w:rPr>
              <w:t>% cumplimiento</w:t>
            </w:r>
          </w:p>
        </w:tc>
      </w:tr>
      <w:tr w:rsidR="00475419" w:rsidRPr="00535E30" w:rsidTr="005678E7">
        <w:trPr>
          <w:trHeight w:val="278"/>
        </w:trPr>
        <w:tc>
          <w:tcPr>
            <w:tcW w:w="671" w:type="pct"/>
            <w:vMerge w:val="restart"/>
            <w:tcBorders>
              <w:top w:val="nil"/>
              <w:left w:val="single" w:sz="4" w:space="0" w:color="auto"/>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Convocatorias internas y externas para financiación de proyectos</w:t>
            </w:r>
          </w:p>
        </w:tc>
        <w:tc>
          <w:tcPr>
            <w:tcW w:w="118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Proyectos de extensión enfocados en el tema socio-cultural</w:t>
            </w:r>
          </w:p>
        </w:tc>
        <w:tc>
          <w:tcPr>
            <w:tcW w:w="149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Número de proyectos socioculturales</w:t>
            </w:r>
          </w:p>
        </w:tc>
        <w:tc>
          <w:tcPr>
            <w:tcW w:w="38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36</w:t>
            </w:r>
          </w:p>
        </w:tc>
        <w:tc>
          <w:tcPr>
            <w:tcW w:w="486"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30</w:t>
            </w:r>
          </w:p>
        </w:tc>
        <w:tc>
          <w:tcPr>
            <w:tcW w:w="787" w:type="pct"/>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83,33%</w:t>
            </w:r>
          </w:p>
        </w:tc>
      </w:tr>
      <w:tr w:rsidR="00475419" w:rsidRPr="00535E30" w:rsidTr="005678E7">
        <w:trPr>
          <w:trHeight w:val="330"/>
        </w:trPr>
        <w:tc>
          <w:tcPr>
            <w:tcW w:w="671"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185" w:type="pct"/>
            <w:vMerge w:val="restart"/>
            <w:tcBorders>
              <w:top w:val="nil"/>
              <w:left w:val="single" w:sz="4" w:space="0" w:color="auto"/>
              <w:bottom w:val="single" w:sz="4" w:space="0" w:color="000000"/>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Proyectos aprobados en convocatorias interna y externas  nacionales e internacionales</w:t>
            </w:r>
          </w:p>
        </w:tc>
        <w:tc>
          <w:tcPr>
            <w:tcW w:w="149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 xml:space="preserve">Total de recursos  aprobados </w:t>
            </w:r>
          </w:p>
        </w:tc>
        <w:tc>
          <w:tcPr>
            <w:tcW w:w="38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1264</w:t>
            </w:r>
          </w:p>
        </w:tc>
        <w:tc>
          <w:tcPr>
            <w:tcW w:w="486"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1698,9</w:t>
            </w:r>
          </w:p>
        </w:tc>
        <w:tc>
          <w:tcPr>
            <w:tcW w:w="787" w:type="pct"/>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r w:rsidR="00475419" w:rsidRPr="00535E30" w:rsidTr="005678E7">
        <w:trPr>
          <w:trHeight w:val="308"/>
        </w:trPr>
        <w:tc>
          <w:tcPr>
            <w:tcW w:w="671"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185" w:type="pct"/>
            <w:vMerge/>
            <w:tcBorders>
              <w:top w:val="nil"/>
              <w:left w:val="single" w:sz="4" w:space="0" w:color="auto"/>
              <w:bottom w:val="single" w:sz="4" w:space="0" w:color="000000"/>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49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Número de proyectos aprobados</w:t>
            </w:r>
          </w:p>
        </w:tc>
        <w:tc>
          <w:tcPr>
            <w:tcW w:w="38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96</w:t>
            </w:r>
          </w:p>
        </w:tc>
        <w:tc>
          <w:tcPr>
            <w:tcW w:w="486"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82</w:t>
            </w:r>
          </w:p>
        </w:tc>
        <w:tc>
          <w:tcPr>
            <w:tcW w:w="787" w:type="pct"/>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85,42%</w:t>
            </w:r>
          </w:p>
        </w:tc>
      </w:tr>
      <w:tr w:rsidR="00475419" w:rsidRPr="00535E30" w:rsidTr="005678E7">
        <w:trPr>
          <w:trHeight w:val="70"/>
        </w:trPr>
        <w:tc>
          <w:tcPr>
            <w:tcW w:w="671"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18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Seguimiento a la calidad de los trabajos de grado y de tesis de los estudiantes</w:t>
            </w:r>
          </w:p>
        </w:tc>
        <w:tc>
          <w:tcPr>
            <w:tcW w:w="149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Porcentaje de los proyectos sobresalientes y laureados</w:t>
            </w:r>
          </w:p>
        </w:tc>
        <w:tc>
          <w:tcPr>
            <w:tcW w:w="38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42</w:t>
            </w:r>
          </w:p>
        </w:tc>
        <w:tc>
          <w:tcPr>
            <w:tcW w:w="486"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38,25</w:t>
            </w:r>
          </w:p>
        </w:tc>
        <w:tc>
          <w:tcPr>
            <w:tcW w:w="787" w:type="pct"/>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91,07%</w:t>
            </w:r>
          </w:p>
        </w:tc>
      </w:tr>
      <w:tr w:rsidR="00475419" w:rsidRPr="00535E30" w:rsidTr="005678E7">
        <w:trPr>
          <w:trHeight w:val="593"/>
        </w:trPr>
        <w:tc>
          <w:tcPr>
            <w:tcW w:w="671" w:type="pct"/>
            <w:vMerge w:val="restart"/>
            <w:tcBorders>
              <w:top w:val="nil"/>
              <w:left w:val="single" w:sz="4" w:space="0" w:color="auto"/>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Políticas de fomento de investigación, innovación y extensión</w:t>
            </w:r>
          </w:p>
        </w:tc>
        <w:tc>
          <w:tcPr>
            <w:tcW w:w="118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Programa para la publicación de libros resultado de Investigación y de texto,  obra o creación literaria, revistas indexadas y socialización del conocimiento.</w:t>
            </w:r>
          </w:p>
        </w:tc>
        <w:tc>
          <w:tcPr>
            <w:tcW w:w="149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 xml:space="preserve">Avance del programa para la publicación de libros resultado de investigación y de texto, obra o creación literaria </w:t>
            </w:r>
          </w:p>
        </w:tc>
        <w:tc>
          <w:tcPr>
            <w:tcW w:w="38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w:t>
            </w:r>
          </w:p>
        </w:tc>
        <w:tc>
          <w:tcPr>
            <w:tcW w:w="486"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w:t>
            </w:r>
          </w:p>
        </w:tc>
        <w:tc>
          <w:tcPr>
            <w:tcW w:w="787" w:type="pct"/>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r w:rsidR="00475419" w:rsidRPr="00535E30" w:rsidTr="005678E7">
        <w:trPr>
          <w:trHeight w:val="795"/>
        </w:trPr>
        <w:tc>
          <w:tcPr>
            <w:tcW w:w="671"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18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 xml:space="preserve">Participación en redes regionales, nacionales e internacionales </w:t>
            </w:r>
          </w:p>
        </w:tc>
        <w:tc>
          <w:tcPr>
            <w:tcW w:w="149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Número de acciones realizadas en red con entidades regionales, nacionales o internacionales</w:t>
            </w:r>
          </w:p>
        </w:tc>
        <w:tc>
          <w:tcPr>
            <w:tcW w:w="38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w:t>
            </w:r>
          </w:p>
        </w:tc>
        <w:tc>
          <w:tcPr>
            <w:tcW w:w="486"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w:t>
            </w:r>
          </w:p>
        </w:tc>
        <w:tc>
          <w:tcPr>
            <w:tcW w:w="787" w:type="pct"/>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r w:rsidR="00475419" w:rsidRPr="00535E30" w:rsidTr="005678E7">
        <w:trPr>
          <w:trHeight w:val="1335"/>
        </w:trPr>
        <w:tc>
          <w:tcPr>
            <w:tcW w:w="671"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18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 xml:space="preserve">Participación en espacios de decisión estratégica público o privado. Promoción, seguimiento y evaluación de políticas públicas </w:t>
            </w:r>
          </w:p>
        </w:tc>
        <w:tc>
          <w:tcPr>
            <w:tcW w:w="149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 xml:space="preserve">Número propuestas presentadas en espacios de decisión estratégica público o privado. Promoción, seguimiento y evaluación de políticas públicas </w:t>
            </w:r>
          </w:p>
        </w:tc>
        <w:tc>
          <w:tcPr>
            <w:tcW w:w="38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3</w:t>
            </w:r>
          </w:p>
        </w:tc>
        <w:tc>
          <w:tcPr>
            <w:tcW w:w="486"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3</w:t>
            </w:r>
          </w:p>
        </w:tc>
        <w:tc>
          <w:tcPr>
            <w:tcW w:w="787" w:type="pct"/>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r w:rsidR="00475419" w:rsidRPr="00535E30" w:rsidTr="005678E7">
        <w:trPr>
          <w:trHeight w:val="400"/>
        </w:trPr>
        <w:tc>
          <w:tcPr>
            <w:tcW w:w="671"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18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acciones que regulen la participación de los docentes en Investigación y extensión</w:t>
            </w:r>
          </w:p>
        </w:tc>
        <w:tc>
          <w:tcPr>
            <w:tcW w:w="149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Actualización del acuerdo de extensión y diseño de un acuerdo de innovación</w:t>
            </w:r>
          </w:p>
        </w:tc>
        <w:tc>
          <w:tcPr>
            <w:tcW w:w="38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w:t>
            </w:r>
          </w:p>
        </w:tc>
        <w:tc>
          <w:tcPr>
            <w:tcW w:w="486"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25</w:t>
            </w:r>
          </w:p>
        </w:tc>
        <w:tc>
          <w:tcPr>
            <w:tcW w:w="787" w:type="pct"/>
            <w:tcBorders>
              <w:top w:val="nil"/>
              <w:left w:val="nil"/>
              <w:bottom w:val="single" w:sz="4" w:space="0" w:color="auto"/>
              <w:right w:val="single" w:sz="4" w:space="0" w:color="auto"/>
            </w:tcBorders>
            <w:shd w:val="clear" w:color="auto" w:fill="D99594" w:themeFill="accent2" w:themeFillTint="99"/>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25,00%</w:t>
            </w:r>
          </w:p>
        </w:tc>
      </w:tr>
      <w:tr w:rsidR="00475419" w:rsidRPr="00535E30" w:rsidTr="005678E7">
        <w:trPr>
          <w:trHeight w:val="70"/>
        </w:trPr>
        <w:tc>
          <w:tcPr>
            <w:tcW w:w="671"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185" w:type="pct"/>
            <w:vMerge w:val="restart"/>
            <w:tcBorders>
              <w:top w:val="nil"/>
              <w:left w:val="single" w:sz="4" w:space="0" w:color="auto"/>
              <w:bottom w:val="single" w:sz="4" w:space="0" w:color="000000"/>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Programa de fortalecimiento para la búsqueda de información y manejo de software estadístico</w:t>
            </w:r>
          </w:p>
        </w:tc>
        <w:tc>
          <w:tcPr>
            <w:tcW w:w="149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No de docentes y estudiantes capacitados en el funcionamiento de las bases de datos científicas</w:t>
            </w:r>
          </w:p>
        </w:tc>
        <w:tc>
          <w:tcPr>
            <w:tcW w:w="38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500</w:t>
            </w:r>
          </w:p>
        </w:tc>
        <w:tc>
          <w:tcPr>
            <w:tcW w:w="486"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725</w:t>
            </w:r>
          </w:p>
        </w:tc>
        <w:tc>
          <w:tcPr>
            <w:tcW w:w="787" w:type="pct"/>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r w:rsidR="00475419" w:rsidRPr="00535E30" w:rsidTr="005678E7">
        <w:trPr>
          <w:trHeight w:val="255"/>
        </w:trPr>
        <w:tc>
          <w:tcPr>
            <w:tcW w:w="671"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185" w:type="pct"/>
            <w:vMerge/>
            <w:tcBorders>
              <w:top w:val="nil"/>
              <w:left w:val="single" w:sz="4" w:space="0" w:color="auto"/>
              <w:bottom w:val="single" w:sz="4" w:space="0" w:color="000000"/>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49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Sistema de información actualizado</w:t>
            </w:r>
          </w:p>
        </w:tc>
        <w:tc>
          <w:tcPr>
            <w:tcW w:w="38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50</w:t>
            </w:r>
          </w:p>
        </w:tc>
        <w:tc>
          <w:tcPr>
            <w:tcW w:w="486"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45</w:t>
            </w:r>
          </w:p>
        </w:tc>
        <w:tc>
          <w:tcPr>
            <w:tcW w:w="787" w:type="pct"/>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90,00%</w:t>
            </w:r>
          </w:p>
        </w:tc>
      </w:tr>
      <w:tr w:rsidR="00475419" w:rsidRPr="00535E30" w:rsidTr="005678E7">
        <w:trPr>
          <w:trHeight w:val="527"/>
        </w:trPr>
        <w:tc>
          <w:tcPr>
            <w:tcW w:w="671"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18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Programas de formación en investigación, innovación y emprendimiento para niños, jóvenes y semilleros</w:t>
            </w:r>
          </w:p>
        </w:tc>
        <w:tc>
          <w:tcPr>
            <w:tcW w:w="149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Número de estudiantes participantes en programas de formación</w:t>
            </w:r>
          </w:p>
        </w:tc>
        <w:tc>
          <w:tcPr>
            <w:tcW w:w="38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2660</w:t>
            </w:r>
          </w:p>
        </w:tc>
        <w:tc>
          <w:tcPr>
            <w:tcW w:w="486"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2555</w:t>
            </w:r>
          </w:p>
        </w:tc>
        <w:tc>
          <w:tcPr>
            <w:tcW w:w="787" w:type="pct"/>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96,05%</w:t>
            </w:r>
          </w:p>
        </w:tc>
      </w:tr>
      <w:tr w:rsidR="00475419" w:rsidRPr="00535E30" w:rsidTr="005678E7">
        <w:trPr>
          <w:trHeight w:val="765"/>
        </w:trPr>
        <w:tc>
          <w:tcPr>
            <w:tcW w:w="671"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18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Criterios de funcionamiento y operación  de los observatorios de la U.T.P</w:t>
            </w:r>
          </w:p>
        </w:tc>
        <w:tc>
          <w:tcPr>
            <w:tcW w:w="149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Actualización del acuerdo de investigación y del diseño del modelo de investigación UTP</w:t>
            </w:r>
          </w:p>
        </w:tc>
        <w:tc>
          <w:tcPr>
            <w:tcW w:w="38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w:t>
            </w:r>
          </w:p>
        </w:tc>
        <w:tc>
          <w:tcPr>
            <w:tcW w:w="486"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25</w:t>
            </w:r>
          </w:p>
        </w:tc>
        <w:tc>
          <w:tcPr>
            <w:tcW w:w="787" w:type="pct"/>
            <w:tcBorders>
              <w:top w:val="nil"/>
              <w:left w:val="nil"/>
              <w:bottom w:val="single" w:sz="4" w:space="0" w:color="auto"/>
              <w:right w:val="single" w:sz="4" w:space="0" w:color="auto"/>
            </w:tcBorders>
            <w:shd w:val="clear" w:color="auto" w:fill="D99594" w:themeFill="accent2" w:themeFillTint="99"/>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25,00%</w:t>
            </w:r>
          </w:p>
        </w:tc>
      </w:tr>
      <w:tr w:rsidR="00475419" w:rsidRPr="00535E30" w:rsidTr="005678E7">
        <w:trPr>
          <w:trHeight w:val="765"/>
        </w:trPr>
        <w:tc>
          <w:tcPr>
            <w:tcW w:w="671"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18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Política de propiedad intelectual</w:t>
            </w:r>
          </w:p>
        </w:tc>
        <w:tc>
          <w:tcPr>
            <w:tcW w:w="149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No de docentes, estudiantes y administrativos de las  facultades donde se socializará y retroalimentará  la  política sobre propiedad intelectual</w:t>
            </w:r>
          </w:p>
        </w:tc>
        <w:tc>
          <w:tcPr>
            <w:tcW w:w="38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500</w:t>
            </w:r>
          </w:p>
        </w:tc>
        <w:tc>
          <w:tcPr>
            <w:tcW w:w="486"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417</w:t>
            </w:r>
          </w:p>
        </w:tc>
        <w:tc>
          <w:tcPr>
            <w:tcW w:w="787" w:type="pct"/>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83,40%</w:t>
            </w:r>
          </w:p>
        </w:tc>
      </w:tr>
      <w:tr w:rsidR="00475419" w:rsidRPr="00535E30" w:rsidTr="005678E7">
        <w:trPr>
          <w:trHeight w:val="1620"/>
        </w:trPr>
        <w:tc>
          <w:tcPr>
            <w:tcW w:w="671" w:type="pct"/>
            <w:vMerge w:val="restart"/>
            <w:tcBorders>
              <w:top w:val="nil"/>
              <w:left w:val="single" w:sz="4" w:space="0" w:color="auto"/>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Relación Universidad - Empresa - Estado</w:t>
            </w:r>
          </w:p>
        </w:tc>
        <w:tc>
          <w:tcPr>
            <w:tcW w:w="118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Gestión y comercialización de productos y servicios tecnológicos  y sociales.</w:t>
            </w:r>
          </w:p>
        </w:tc>
        <w:tc>
          <w:tcPr>
            <w:tcW w:w="149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Número de proyectos de operación comercial   relacionados con comercialización y productos y servicios tecnológicos: Cursos de educación no formal. Asesorías, consultorías e interventorías. Servicios especializados de laboratorios.</w:t>
            </w:r>
          </w:p>
        </w:tc>
        <w:tc>
          <w:tcPr>
            <w:tcW w:w="38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323</w:t>
            </w:r>
          </w:p>
        </w:tc>
        <w:tc>
          <w:tcPr>
            <w:tcW w:w="486"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279</w:t>
            </w:r>
          </w:p>
        </w:tc>
        <w:tc>
          <w:tcPr>
            <w:tcW w:w="787" w:type="pct"/>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86,38%</w:t>
            </w:r>
          </w:p>
        </w:tc>
      </w:tr>
      <w:tr w:rsidR="00475419" w:rsidRPr="00535E30" w:rsidTr="005678E7">
        <w:trPr>
          <w:trHeight w:val="645"/>
        </w:trPr>
        <w:tc>
          <w:tcPr>
            <w:tcW w:w="671"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18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Programa colaborativos entre la empresa y la Universidad</w:t>
            </w:r>
          </w:p>
        </w:tc>
        <w:tc>
          <w:tcPr>
            <w:tcW w:w="149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Número de proyectos (incluye prácticas empresariales conducentes a trabajo de grado)</w:t>
            </w:r>
          </w:p>
        </w:tc>
        <w:tc>
          <w:tcPr>
            <w:tcW w:w="38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200</w:t>
            </w:r>
          </w:p>
        </w:tc>
        <w:tc>
          <w:tcPr>
            <w:tcW w:w="486"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322</w:t>
            </w:r>
          </w:p>
        </w:tc>
        <w:tc>
          <w:tcPr>
            <w:tcW w:w="787" w:type="pct"/>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r w:rsidR="00475419" w:rsidRPr="00535E30" w:rsidTr="005678E7">
        <w:trPr>
          <w:trHeight w:val="645"/>
        </w:trPr>
        <w:tc>
          <w:tcPr>
            <w:tcW w:w="671"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18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Programa de emprendedores y empresas de base tecnológica</w:t>
            </w:r>
          </w:p>
        </w:tc>
        <w:tc>
          <w:tcPr>
            <w:tcW w:w="149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 xml:space="preserve">No. De proyectos de base tecnológica  pre incubados </w:t>
            </w:r>
          </w:p>
        </w:tc>
        <w:tc>
          <w:tcPr>
            <w:tcW w:w="38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12</w:t>
            </w:r>
          </w:p>
        </w:tc>
        <w:tc>
          <w:tcPr>
            <w:tcW w:w="486"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12</w:t>
            </w:r>
          </w:p>
        </w:tc>
        <w:tc>
          <w:tcPr>
            <w:tcW w:w="787" w:type="pct"/>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r w:rsidR="00475419" w:rsidRPr="00535E30" w:rsidTr="005678E7">
        <w:trPr>
          <w:trHeight w:val="240"/>
        </w:trPr>
        <w:tc>
          <w:tcPr>
            <w:tcW w:w="671"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18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 xml:space="preserve">Programa de apoyo a prácticas empresariales </w:t>
            </w:r>
          </w:p>
        </w:tc>
        <w:tc>
          <w:tcPr>
            <w:tcW w:w="149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Número de estudiantes vinculados con empresas</w:t>
            </w:r>
          </w:p>
        </w:tc>
        <w:tc>
          <w:tcPr>
            <w:tcW w:w="381"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420</w:t>
            </w:r>
          </w:p>
        </w:tc>
        <w:tc>
          <w:tcPr>
            <w:tcW w:w="486"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684</w:t>
            </w:r>
          </w:p>
        </w:tc>
        <w:tc>
          <w:tcPr>
            <w:tcW w:w="787" w:type="pct"/>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bl>
    <w:p w:rsidR="00475419" w:rsidRPr="00535E30" w:rsidRDefault="00475419" w:rsidP="00475419">
      <w:pPr>
        <w:spacing w:line="276" w:lineRule="auto"/>
        <w:rPr>
          <w:rFonts w:asciiTheme="minorHAnsi" w:hAnsiTheme="minorHAnsi" w:cs="Arial"/>
          <w:color w:val="000000"/>
          <w:lang w:val="es-CO"/>
        </w:rPr>
      </w:pP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color w:val="000000"/>
          <w:lang w:val="es-CO"/>
        </w:rPr>
        <w:t>Sólo dos planes operativos tuvieron un desempeño por debajo del 80% de cumplimiento, el indicador de Actualización del acuerdo de extensión y diseño de un acuerdo de innovación (25%), y el indicador de Actualización del acuerdo de investigación y del diseño del modelo de investigación UTP (25%). A continuación se presenta la justificación y las acciones de mejora:</w:t>
      </w:r>
    </w:p>
    <w:p w:rsidR="00475419" w:rsidRPr="00535E30" w:rsidRDefault="00475419" w:rsidP="00475419">
      <w:pPr>
        <w:spacing w:line="276" w:lineRule="auto"/>
        <w:rPr>
          <w:rFonts w:asciiTheme="minorHAnsi" w:hAnsiTheme="minorHAnsi" w:cs="Arial"/>
          <w:color w:val="000000"/>
          <w:lang w:val="es-CO"/>
        </w:rPr>
      </w:pPr>
    </w:p>
    <w:tbl>
      <w:tblPr>
        <w:tblW w:w="5288" w:type="pct"/>
        <w:jc w:val="center"/>
        <w:shd w:val="clear" w:color="auto" w:fill="FFFFFF"/>
        <w:tblLayout w:type="fixed"/>
        <w:tblCellMar>
          <w:left w:w="0" w:type="dxa"/>
          <w:right w:w="0" w:type="dxa"/>
        </w:tblCellMar>
        <w:tblLook w:val="04A0" w:firstRow="1" w:lastRow="0" w:firstColumn="1" w:lastColumn="0" w:noHBand="0" w:noVBand="1"/>
      </w:tblPr>
      <w:tblGrid>
        <w:gridCol w:w="1748"/>
        <w:gridCol w:w="1984"/>
        <w:gridCol w:w="3118"/>
        <w:gridCol w:w="2645"/>
      </w:tblGrid>
      <w:tr w:rsidR="00475419" w:rsidRPr="00535E30" w:rsidTr="005678E7">
        <w:trPr>
          <w:trHeight w:val="57"/>
          <w:tblHeader/>
          <w:jc w:val="center"/>
        </w:trPr>
        <w:tc>
          <w:tcPr>
            <w:tcW w:w="920" w:type="pct"/>
            <w:tcBorders>
              <w:top w:val="single" w:sz="8" w:space="0" w:color="auto"/>
              <w:left w:val="single" w:sz="8" w:space="0" w:color="auto"/>
              <w:bottom w:val="single" w:sz="4" w:space="0" w:color="auto"/>
              <w:right w:val="single" w:sz="8" w:space="0" w:color="auto"/>
            </w:tcBorders>
            <w:shd w:val="clear" w:color="auto" w:fill="B8CCE4" w:themeFill="accent1" w:themeFillTint="66"/>
            <w:noWrap/>
            <w:tcMar>
              <w:top w:w="0" w:type="dxa"/>
              <w:left w:w="70" w:type="dxa"/>
              <w:bottom w:w="0" w:type="dxa"/>
              <w:right w:w="70" w:type="dxa"/>
            </w:tcMar>
            <w:vAlign w:val="center"/>
            <w:hideMark/>
          </w:tcPr>
          <w:p w:rsidR="00475419" w:rsidRPr="00535E30" w:rsidRDefault="00475419" w:rsidP="005678E7">
            <w:pPr>
              <w:spacing w:after="0" w:line="276" w:lineRule="auto"/>
              <w:jc w:val="center"/>
              <w:rPr>
                <w:rFonts w:asciiTheme="minorHAnsi" w:eastAsia="Times New Roman" w:hAnsiTheme="minorHAnsi" w:cs="Arial"/>
                <w:color w:val="222222"/>
                <w:sz w:val="18"/>
                <w:szCs w:val="18"/>
                <w:lang w:eastAsia="es-CO"/>
              </w:rPr>
            </w:pPr>
            <w:r w:rsidRPr="00535E30">
              <w:rPr>
                <w:rFonts w:asciiTheme="minorHAnsi" w:eastAsia="Times New Roman" w:hAnsiTheme="minorHAnsi" w:cs="Arial"/>
                <w:b/>
                <w:bCs/>
                <w:color w:val="222222"/>
                <w:sz w:val="18"/>
                <w:szCs w:val="18"/>
                <w:lang w:eastAsia="es-CO"/>
              </w:rPr>
              <w:t>Plan operativo</w:t>
            </w:r>
          </w:p>
        </w:tc>
        <w:tc>
          <w:tcPr>
            <w:tcW w:w="1044" w:type="pct"/>
            <w:tcBorders>
              <w:top w:val="single" w:sz="8" w:space="0" w:color="auto"/>
              <w:left w:val="nil"/>
              <w:bottom w:val="single" w:sz="4" w:space="0" w:color="auto"/>
              <w:right w:val="single" w:sz="8" w:space="0" w:color="auto"/>
            </w:tcBorders>
            <w:shd w:val="clear" w:color="auto" w:fill="B8CCE4" w:themeFill="accent1" w:themeFillTint="66"/>
            <w:noWrap/>
            <w:tcMar>
              <w:top w:w="0" w:type="dxa"/>
              <w:left w:w="70" w:type="dxa"/>
              <w:bottom w:w="0" w:type="dxa"/>
              <w:right w:w="70" w:type="dxa"/>
            </w:tcMar>
            <w:vAlign w:val="center"/>
            <w:hideMark/>
          </w:tcPr>
          <w:p w:rsidR="00475419" w:rsidRPr="00535E30" w:rsidRDefault="00475419" w:rsidP="005678E7">
            <w:pPr>
              <w:spacing w:after="0" w:line="276" w:lineRule="auto"/>
              <w:jc w:val="center"/>
              <w:rPr>
                <w:rFonts w:asciiTheme="minorHAnsi" w:eastAsia="Times New Roman" w:hAnsiTheme="minorHAnsi" w:cs="Arial"/>
                <w:color w:val="222222"/>
                <w:sz w:val="18"/>
                <w:szCs w:val="18"/>
                <w:lang w:eastAsia="es-CO"/>
              </w:rPr>
            </w:pPr>
            <w:r w:rsidRPr="00535E30">
              <w:rPr>
                <w:rFonts w:asciiTheme="minorHAnsi" w:eastAsia="Times New Roman" w:hAnsiTheme="minorHAnsi" w:cs="Arial"/>
                <w:b/>
                <w:bCs/>
                <w:color w:val="222222"/>
                <w:sz w:val="18"/>
                <w:szCs w:val="18"/>
                <w:lang w:eastAsia="es-CO"/>
              </w:rPr>
              <w:t>Indicador</w:t>
            </w:r>
          </w:p>
        </w:tc>
        <w:tc>
          <w:tcPr>
            <w:tcW w:w="1642" w:type="pct"/>
            <w:tcBorders>
              <w:top w:val="single" w:sz="8" w:space="0" w:color="auto"/>
              <w:left w:val="nil"/>
              <w:bottom w:val="single" w:sz="4" w:space="0" w:color="auto"/>
              <w:right w:val="single" w:sz="8" w:space="0" w:color="auto"/>
            </w:tcBorders>
            <w:shd w:val="clear" w:color="auto" w:fill="B8CCE4" w:themeFill="accent1" w:themeFillTint="66"/>
            <w:tcMar>
              <w:top w:w="0" w:type="dxa"/>
              <w:left w:w="70" w:type="dxa"/>
              <w:bottom w:w="0" w:type="dxa"/>
              <w:right w:w="70" w:type="dxa"/>
            </w:tcMar>
            <w:vAlign w:val="center"/>
            <w:hideMark/>
          </w:tcPr>
          <w:p w:rsidR="00475419" w:rsidRPr="00535E30" w:rsidRDefault="00475419" w:rsidP="005678E7">
            <w:pPr>
              <w:spacing w:after="0" w:line="276" w:lineRule="auto"/>
              <w:jc w:val="center"/>
              <w:rPr>
                <w:rFonts w:asciiTheme="minorHAnsi" w:eastAsia="Times New Roman" w:hAnsiTheme="minorHAnsi" w:cs="Arial"/>
                <w:color w:val="222222"/>
                <w:sz w:val="18"/>
                <w:szCs w:val="18"/>
                <w:lang w:eastAsia="es-CO"/>
              </w:rPr>
            </w:pPr>
            <w:r w:rsidRPr="00535E30">
              <w:rPr>
                <w:rFonts w:asciiTheme="minorHAnsi" w:eastAsia="Times New Roman" w:hAnsiTheme="minorHAnsi" w:cs="Arial"/>
                <w:b/>
                <w:bCs/>
                <w:color w:val="222222"/>
                <w:sz w:val="18"/>
                <w:szCs w:val="18"/>
                <w:lang w:eastAsia="es-CO"/>
              </w:rPr>
              <w:t>Justificación</w:t>
            </w:r>
          </w:p>
        </w:tc>
        <w:tc>
          <w:tcPr>
            <w:tcW w:w="1393" w:type="pct"/>
            <w:tcBorders>
              <w:top w:val="single" w:sz="8" w:space="0" w:color="auto"/>
              <w:left w:val="nil"/>
              <w:bottom w:val="single" w:sz="4" w:space="0" w:color="auto"/>
              <w:right w:val="single" w:sz="8" w:space="0" w:color="auto"/>
            </w:tcBorders>
            <w:shd w:val="clear" w:color="auto" w:fill="B8CCE4" w:themeFill="accent1" w:themeFillTint="66"/>
            <w:tcMar>
              <w:top w:w="0" w:type="dxa"/>
              <w:left w:w="70" w:type="dxa"/>
              <w:bottom w:w="0" w:type="dxa"/>
              <w:right w:w="70" w:type="dxa"/>
            </w:tcMar>
            <w:vAlign w:val="center"/>
            <w:hideMark/>
          </w:tcPr>
          <w:p w:rsidR="00475419" w:rsidRPr="00535E30" w:rsidRDefault="00475419" w:rsidP="005678E7">
            <w:pPr>
              <w:spacing w:after="0" w:line="276" w:lineRule="auto"/>
              <w:jc w:val="center"/>
              <w:rPr>
                <w:rFonts w:asciiTheme="minorHAnsi" w:eastAsia="Times New Roman" w:hAnsiTheme="minorHAnsi" w:cs="Arial"/>
                <w:color w:val="222222"/>
                <w:sz w:val="18"/>
                <w:szCs w:val="18"/>
                <w:lang w:eastAsia="es-CO"/>
              </w:rPr>
            </w:pPr>
            <w:r w:rsidRPr="00535E30">
              <w:rPr>
                <w:rFonts w:asciiTheme="minorHAnsi" w:eastAsia="Times New Roman" w:hAnsiTheme="minorHAnsi" w:cs="Arial"/>
                <w:b/>
                <w:bCs/>
                <w:color w:val="222222"/>
                <w:sz w:val="18"/>
                <w:szCs w:val="18"/>
                <w:lang w:eastAsia="es-CO"/>
              </w:rPr>
              <w:t>Acciones de mejora</w:t>
            </w:r>
          </w:p>
        </w:tc>
      </w:tr>
      <w:tr w:rsidR="00475419" w:rsidRPr="00535E30" w:rsidTr="005678E7">
        <w:trPr>
          <w:trHeight w:val="57"/>
          <w:jc w:val="center"/>
        </w:trPr>
        <w:tc>
          <w:tcPr>
            <w:tcW w:w="920" w:type="pct"/>
            <w:tcBorders>
              <w:top w:val="single" w:sz="4" w:space="0" w:color="auto"/>
              <w:left w:val="single" w:sz="4" w:space="0" w:color="auto"/>
              <w:bottom w:val="single" w:sz="4" w:space="0" w:color="auto"/>
              <w:right w:val="single" w:sz="4" w:space="0" w:color="auto"/>
            </w:tcBorders>
            <w:shd w:val="clear" w:color="auto" w:fill="FFFFFF"/>
            <w:noWrap/>
            <w:tcMar>
              <w:top w:w="0" w:type="dxa"/>
              <w:left w:w="70" w:type="dxa"/>
              <w:bottom w:w="0" w:type="dxa"/>
              <w:right w:w="70" w:type="dxa"/>
            </w:tcMar>
            <w:vAlign w:val="center"/>
          </w:tcPr>
          <w:p w:rsidR="00475419" w:rsidRPr="00535E30" w:rsidRDefault="00475419" w:rsidP="005678E7">
            <w:pPr>
              <w:spacing w:after="0" w:line="276" w:lineRule="auto"/>
              <w:jc w:val="center"/>
              <w:rPr>
                <w:rFonts w:asciiTheme="minorHAnsi" w:eastAsia="Times New Roman" w:hAnsiTheme="minorHAnsi" w:cs="Arial"/>
                <w:color w:val="222222"/>
                <w:sz w:val="18"/>
                <w:szCs w:val="18"/>
                <w:lang w:eastAsia="es-CO"/>
              </w:rPr>
            </w:pPr>
            <w:r w:rsidRPr="00535E30">
              <w:rPr>
                <w:rFonts w:asciiTheme="minorHAnsi" w:eastAsia="Times New Roman" w:hAnsiTheme="minorHAnsi" w:cstheme="minorHAnsi"/>
                <w:sz w:val="18"/>
                <w:szCs w:val="18"/>
                <w:lang w:eastAsia="es-CO"/>
              </w:rPr>
              <w:t>A</w:t>
            </w:r>
            <w:proofErr w:type="spellStart"/>
            <w:r w:rsidRPr="00535E30">
              <w:rPr>
                <w:rFonts w:asciiTheme="minorHAnsi" w:eastAsia="Times New Roman" w:hAnsiTheme="minorHAnsi" w:cstheme="minorHAnsi"/>
                <w:sz w:val="18"/>
                <w:szCs w:val="18"/>
                <w:lang w:val="es-CO" w:eastAsia="es-CO"/>
              </w:rPr>
              <w:t>cciones</w:t>
            </w:r>
            <w:proofErr w:type="spellEnd"/>
            <w:r w:rsidRPr="00535E30">
              <w:rPr>
                <w:rFonts w:asciiTheme="minorHAnsi" w:eastAsia="Times New Roman" w:hAnsiTheme="minorHAnsi" w:cstheme="minorHAnsi"/>
                <w:sz w:val="18"/>
                <w:szCs w:val="18"/>
                <w:lang w:val="es-CO" w:eastAsia="es-CO"/>
              </w:rPr>
              <w:t xml:space="preserve"> que regulen la participación de los docentes en Investigación y extensión</w:t>
            </w:r>
          </w:p>
        </w:tc>
        <w:tc>
          <w:tcPr>
            <w:tcW w:w="1044" w:type="pct"/>
            <w:tcBorders>
              <w:top w:val="single" w:sz="4" w:space="0" w:color="auto"/>
              <w:left w:val="single" w:sz="4" w:space="0" w:color="auto"/>
              <w:bottom w:val="single" w:sz="4" w:space="0" w:color="auto"/>
              <w:right w:val="single" w:sz="4" w:space="0" w:color="auto"/>
            </w:tcBorders>
            <w:shd w:val="clear" w:color="auto" w:fill="auto"/>
            <w:noWrap/>
            <w:tcMar>
              <w:top w:w="0" w:type="dxa"/>
              <w:left w:w="70" w:type="dxa"/>
              <w:bottom w:w="0" w:type="dxa"/>
              <w:right w:w="70" w:type="dxa"/>
            </w:tcMar>
            <w:vAlign w:val="center"/>
          </w:tcPr>
          <w:p w:rsidR="00475419" w:rsidRPr="00535E30" w:rsidRDefault="00475419" w:rsidP="005678E7">
            <w:pPr>
              <w:spacing w:after="0" w:line="276" w:lineRule="auto"/>
              <w:jc w:val="center"/>
              <w:rPr>
                <w:rFonts w:asciiTheme="minorHAnsi" w:eastAsia="Times New Roman" w:hAnsiTheme="minorHAnsi" w:cs="Arial"/>
                <w:sz w:val="18"/>
                <w:szCs w:val="18"/>
                <w:lang w:eastAsia="es-CO"/>
              </w:rPr>
            </w:pPr>
            <w:r w:rsidRPr="00535E30">
              <w:rPr>
                <w:rFonts w:asciiTheme="minorHAnsi" w:eastAsia="Times New Roman" w:hAnsiTheme="minorHAnsi" w:cstheme="minorHAnsi"/>
                <w:sz w:val="18"/>
                <w:szCs w:val="18"/>
                <w:lang w:val="es-CO" w:eastAsia="es-CO"/>
              </w:rPr>
              <w:t>Actualización del acuerdo de extensión y diseño de un acuerdo de innovación</w:t>
            </w:r>
          </w:p>
        </w:tc>
        <w:tc>
          <w:tcPr>
            <w:tcW w:w="1642" w:type="pct"/>
            <w:vMerge w:val="restart"/>
            <w:tcBorders>
              <w:top w:val="single" w:sz="4" w:space="0" w:color="auto"/>
              <w:left w:val="single" w:sz="4" w:space="0" w:color="auto"/>
              <w:right w:val="single" w:sz="4" w:space="0" w:color="auto"/>
            </w:tcBorders>
            <w:shd w:val="clear" w:color="auto" w:fill="FFFFFF"/>
            <w:tcMar>
              <w:top w:w="0" w:type="dxa"/>
              <w:left w:w="70" w:type="dxa"/>
              <w:bottom w:w="0" w:type="dxa"/>
              <w:right w:w="70" w:type="dxa"/>
            </w:tcMar>
            <w:vAlign w:val="center"/>
          </w:tcPr>
          <w:p w:rsidR="00475419" w:rsidRPr="00535E30" w:rsidRDefault="00475419" w:rsidP="005678E7">
            <w:pPr>
              <w:spacing w:after="0" w:line="276" w:lineRule="auto"/>
              <w:rPr>
                <w:rFonts w:asciiTheme="minorHAnsi" w:eastAsia="Times New Roman" w:hAnsiTheme="minorHAnsi" w:cs="Arial"/>
                <w:color w:val="222222"/>
                <w:sz w:val="18"/>
                <w:szCs w:val="18"/>
                <w:lang w:eastAsia="es-CO"/>
              </w:rPr>
            </w:pPr>
            <w:r w:rsidRPr="00535E30">
              <w:rPr>
                <w:rFonts w:asciiTheme="minorHAnsi" w:eastAsia="Times New Roman" w:hAnsiTheme="minorHAnsi" w:cs="Arial"/>
                <w:color w:val="222222"/>
                <w:sz w:val="18"/>
                <w:szCs w:val="18"/>
                <w:lang w:eastAsia="es-CO"/>
              </w:rPr>
              <w:t>La Vicerrectoría de Investigaciones, Innovación y Extensión en el año 2012 contrato al Doctor Samuel Ospina Marín, con el fin de realizar las actualizaciones de los Acuerdos de la dependencia, la cual se llevó a cabo hasta el desarrollo de la propuesta y su socialización con los miembros del equipo de trabajo, pero lamentablemente antes de llevar dichos acuerdos ante los comités establecidos el Doctor Marín falleció.</w:t>
            </w:r>
          </w:p>
        </w:tc>
        <w:tc>
          <w:tcPr>
            <w:tcW w:w="1393" w:type="pct"/>
            <w:vMerge w:val="restart"/>
            <w:tcBorders>
              <w:top w:val="single" w:sz="4" w:space="0" w:color="auto"/>
              <w:left w:val="single" w:sz="4" w:space="0" w:color="auto"/>
              <w:right w:val="single" w:sz="4" w:space="0" w:color="auto"/>
            </w:tcBorders>
            <w:shd w:val="clear" w:color="auto" w:fill="FFFFFF"/>
            <w:tcMar>
              <w:top w:w="0" w:type="dxa"/>
              <w:left w:w="70" w:type="dxa"/>
              <w:bottom w:w="0" w:type="dxa"/>
              <w:right w:w="70" w:type="dxa"/>
            </w:tcMar>
            <w:vAlign w:val="center"/>
          </w:tcPr>
          <w:p w:rsidR="00475419" w:rsidRPr="00535E30" w:rsidRDefault="00475419" w:rsidP="005678E7">
            <w:pPr>
              <w:spacing w:after="0" w:line="276" w:lineRule="auto"/>
              <w:rPr>
                <w:rFonts w:asciiTheme="minorHAnsi" w:eastAsia="Times New Roman" w:hAnsiTheme="minorHAnsi" w:cs="Arial"/>
                <w:color w:val="222222"/>
                <w:sz w:val="18"/>
                <w:szCs w:val="18"/>
                <w:lang w:eastAsia="es-CO"/>
              </w:rPr>
            </w:pPr>
            <w:r w:rsidRPr="00535E30">
              <w:rPr>
                <w:rFonts w:asciiTheme="minorHAnsi" w:eastAsia="Times New Roman" w:hAnsiTheme="minorHAnsi" w:cs="Arial"/>
                <w:color w:val="222222"/>
                <w:sz w:val="18"/>
                <w:szCs w:val="18"/>
                <w:lang w:eastAsia="es-CO"/>
              </w:rPr>
              <w:t>Se delegó la actualización del acuerdo de extensión a la profesional encargada de esa área (Ana María Mejía Jiménez), la cual se tiene previsto para el cumplimiento de la meta el primer semestre del año 2013.</w:t>
            </w:r>
          </w:p>
        </w:tc>
      </w:tr>
      <w:tr w:rsidR="00475419" w:rsidRPr="00535E30" w:rsidTr="005678E7">
        <w:trPr>
          <w:trHeight w:val="136"/>
          <w:jc w:val="center"/>
        </w:trPr>
        <w:tc>
          <w:tcPr>
            <w:tcW w:w="920" w:type="pct"/>
            <w:tcBorders>
              <w:top w:val="single" w:sz="4" w:space="0" w:color="auto"/>
              <w:left w:val="single" w:sz="4" w:space="0" w:color="auto"/>
              <w:bottom w:val="single" w:sz="4" w:space="0" w:color="auto"/>
              <w:right w:val="single" w:sz="4" w:space="0" w:color="auto"/>
            </w:tcBorders>
            <w:shd w:val="clear" w:color="auto" w:fill="FFFFFF"/>
            <w:noWrap/>
            <w:tcMar>
              <w:top w:w="0" w:type="dxa"/>
              <w:left w:w="70" w:type="dxa"/>
              <w:bottom w:w="0" w:type="dxa"/>
              <w:right w:w="70" w:type="dxa"/>
            </w:tcMar>
            <w:vAlign w:val="center"/>
          </w:tcPr>
          <w:p w:rsidR="00475419" w:rsidRPr="00535E30" w:rsidRDefault="00475419" w:rsidP="005678E7">
            <w:pPr>
              <w:spacing w:after="0" w:line="276" w:lineRule="auto"/>
              <w:jc w:val="center"/>
              <w:rPr>
                <w:rFonts w:asciiTheme="minorHAnsi" w:eastAsia="Times New Roman" w:hAnsiTheme="minorHAnsi" w:cs="Arial"/>
                <w:color w:val="222222"/>
                <w:sz w:val="18"/>
                <w:szCs w:val="18"/>
                <w:lang w:eastAsia="es-CO"/>
              </w:rPr>
            </w:pPr>
            <w:r w:rsidRPr="00535E30">
              <w:rPr>
                <w:rFonts w:asciiTheme="minorHAnsi" w:eastAsia="Times New Roman" w:hAnsiTheme="minorHAnsi" w:cstheme="minorHAnsi"/>
                <w:sz w:val="18"/>
                <w:szCs w:val="18"/>
                <w:lang w:val="es-CO" w:eastAsia="es-CO"/>
              </w:rPr>
              <w:t>Criterios de funcionamiento y operación  de los observatorios de la U.T.P</w:t>
            </w:r>
          </w:p>
        </w:tc>
        <w:tc>
          <w:tcPr>
            <w:tcW w:w="1044" w:type="pct"/>
            <w:tcBorders>
              <w:top w:val="single" w:sz="4" w:space="0" w:color="auto"/>
              <w:left w:val="single" w:sz="4" w:space="0" w:color="auto"/>
              <w:bottom w:val="single" w:sz="4" w:space="0" w:color="auto"/>
              <w:right w:val="single" w:sz="4" w:space="0" w:color="auto"/>
            </w:tcBorders>
            <w:shd w:val="clear" w:color="auto" w:fill="auto"/>
            <w:noWrap/>
            <w:tcMar>
              <w:top w:w="0" w:type="dxa"/>
              <w:left w:w="70" w:type="dxa"/>
              <w:bottom w:w="0" w:type="dxa"/>
              <w:right w:w="70" w:type="dxa"/>
            </w:tcMar>
            <w:vAlign w:val="center"/>
          </w:tcPr>
          <w:p w:rsidR="00475419" w:rsidRPr="00535E30" w:rsidRDefault="00475419" w:rsidP="005678E7">
            <w:pPr>
              <w:spacing w:after="0" w:line="276" w:lineRule="auto"/>
              <w:jc w:val="center"/>
              <w:rPr>
                <w:rFonts w:asciiTheme="minorHAnsi" w:eastAsia="Times New Roman" w:hAnsiTheme="minorHAnsi" w:cs="Arial"/>
                <w:sz w:val="18"/>
                <w:szCs w:val="18"/>
                <w:highlight w:val="darkYellow"/>
                <w:lang w:eastAsia="es-CO"/>
              </w:rPr>
            </w:pPr>
            <w:r w:rsidRPr="00535E30">
              <w:rPr>
                <w:rFonts w:asciiTheme="minorHAnsi" w:eastAsia="Times New Roman" w:hAnsiTheme="minorHAnsi" w:cstheme="minorHAnsi"/>
                <w:sz w:val="18"/>
                <w:szCs w:val="18"/>
                <w:lang w:val="es-CO" w:eastAsia="es-CO"/>
              </w:rPr>
              <w:t>Actualización del acuerdo de investigación y del diseño del modelo de investigación UTP</w:t>
            </w:r>
          </w:p>
        </w:tc>
        <w:tc>
          <w:tcPr>
            <w:tcW w:w="1642" w:type="pct"/>
            <w:vMerge/>
            <w:tcBorders>
              <w:left w:val="single" w:sz="4" w:space="0" w:color="auto"/>
              <w:bottom w:val="single" w:sz="4" w:space="0" w:color="auto"/>
              <w:right w:val="single" w:sz="4" w:space="0" w:color="auto"/>
            </w:tcBorders>
            <w:shd w:val="clear" w:color="auto" w:fill="FFFFFF"/>
            <w:tcMar>
              <w:top w:w="0" w:type="dxa"/>
              <w:left w:w="70" w:type="dxa"/>
              <w:bottom w:w="0" w:type="dxa"/>
              <w:right w:w="70" w:type="dxa"/>
            </w:tcMar>
            <w:vAlign w:val="center"/>
          </w:tcPr>
          <w:p w:rsidR="00475419" w:rsidRPr="00535E30" w:rsidRDefault="00475419" w:rsidP="005678E7">
            <w:pPr>
              <w:spacing w:after="0" w:line="276" w:lineRule="auto"/>
              <w:rPr>
                <w:rFonts w:asciiTheme="minorHAnsi" w:eastAsia="Times New Roman" w:hAnsiTheme="minorHAnsi" w:cs="Arial"/>
                <w:color w:val="222222"/>
                <w:sz w:val="18"/>
                <w:szCs w:val="18"/>
                <w:highlight w:val="darkYellow"/>
                <w:lang w:eastAsia="es-CO"/>
              </w:rPr>
            </w:pPr>
          </w:p>
        </w:tc>
        <w:tc>
          <w:tcPr>
            <w:tcW w:w="1393" w:type="pct"/>
            <w:vMerge/>
            <w:tcBorders>
              <w:left w:val="single" w:sz="4" w:space="0" w:color="auto"/>
              <w:bottom w:val="single" w:sz="4" w:space="0" w:color="auto"/>
              <w:right w:val="single" w:sz="4" w:space="0" w:color="auto"/>
            </w:tcBorders>
            <w:shd w:val="clear" w:color="auto" w:fill="FFFFFF"/>
            <w:tcMar>
              <w:top w:w="0" w:type="dxa"/>
              <w:left w:w="70" w:type="dxa"/>
              <w:bottom w:w="0" w:type="dxa"/>
              <w:right w:w="70" w:type="dxa"/>
            </w:tcMar>
            <w:vAlign w:val="center"/>
          </w:tcPr>
          <w:p w:rsidR="00475419" w:rsidRPr="00535E30" w:rsidRDefault="00475419" w:rsidP="005678E7">
            <w:pPr>
              <w:spacing w:after="0" w:line="276" w:lineRule="auto"/>
              <w:rPr>
                <w:rFonts w:asciiTheme="minorHAnsi" w:eastAsia="Times New Roman" w:hAnsiTheme="minorHAnsi" w:cs="Arial"/>
                <w:color w:val="222222"/>
                <w:sz w:val="18"/>
                <w:szCs w:val="18"/>
                <w:highlight w:val="darkYellow"/>
                <w:lang w:eastAsia="es-CO"/>
              </w:rPr>
            </w:pPr>
          </w:p>
        </w:tc>
      </w:tr>
    </w:tbl>
    <w:p w:rsidR="00475419" w:rsidRDefault="00475419" w:rsidP="00475419">
      <w:pPr>
        <w:spacing w:line="276" w:lineRule="auto"/>
        <w:rPr>
          <w:rFonts w:asciiTheme="minorHAnsi" w:hAnsiTheme="minorHAnsi" w:cs="Arial"/>
          <w:color w:val="000000"/>
        </w:rPr>
      </w:pPr>
    </w:p>
    <w:p w:rsidR="00475419" w:rsidRPr="00535E30" w:rsidRDefault="00475419" w:rsidP="00475419">
      <w:pPr>
        <w:pStyle w:val="Ttulo2"/>
        <w:spacing w:line="276" w:lineRule="auto"/>
      </w:pPr>
      <w:bookmarkStart w:id="216" w:name="_Toc347392863"/>
      <w:bookmarkStart w:id="217" w:name="_Toc350957799"/>
      <w:bookmarkStart w:id="218" w:name="_Toc354671392"/>
      <w:r w:rsidRPr="00535E30">
        <w:rPr>
          <w:caps w:val="0"/>
        </w:rPr>
        <w:t>PROYECTOS INTERNACIONALIZACIÓN</w:t>
      </w:r>
      <w:bookmarkEnd w:id="216"/>
      <w:bookmarkEnd w:id="217"/>
      <w:bookmarkEnd w:id="218"/>
    </w:p>
    <w:p w:rsidR="00475419" w:rsidRPr="00535E30" w:rsidRDefault="00475419" w:rsidP="00475419">
      <w:pPr>
        <w:spacing w:line="276" w:lineRule="auto"/>
        <w:rPr>
          <w:rFonts w:asciiTheme="minorHAnsi" w:hAnsiTheme="minorHAnsi"/>
        </w:rPr>
      </w:pP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color w:val="000000"/>
          <w:lang w:val="es-CO"/>
        </w:rPr>
        <w:t xml:space="preserve">El objetivo de internacionalización se encuentra conformado por los siguientes proyectos: bilingüismo, movilidad estudiantil y pares académicos. </w:t>
      </w:r>
    </w:p>
    <w:p w:rsidR="00475419" w:rsidRPr="00535E30" w:rsidRDefault="00475419" w:rsidP="00475419">
      <w:pPr>
        <w:spacing w:line="276" w:lineRule="auto"/>
        <w:rPr>
          <w:rFonts w:asciiTheme="minorHAnsi" w:hAnsiTheme="minorHAnsi" w:cs="Arial"/>
          <w:color w:val="000000"/>
          <w:lang w:val="es-CO"/>
        </w:rPr>
      </w:pP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i/>
          <w:color w:val="000000"/>
          <w:u w:val="single"/>
          <w:lang w:val="es-CO"/>
        </w:rPr>
        <w:t>El proyecto de Bilingüismo</w:t>
      </w:r>
      <w:r w:rsidRPr="00535E30">
        <w:rPr>
          <w:rFonts w:asciiTheme="minorHAnsi" w:hAnsiTheme="minorHAnsi" w:cs="Arial"/>
          <w:color w:val="000000"/>
          <w:lang w:val="es-CO"/>
        </w:rPr>
        <w:t xml:space="preserve"> se desarrolla a través del Instituto de Lenguas Extranjeras ILEX. El ILEX Es el espacio académico que desarrolla y ofrece capacitación en diferentes lenguas extranjeras, tanto para estudiantes de pregrado y posgrado de la UTP, como para la comunidad en general, a través de los cursos de extensión. El ILEX apoya las políticas académicas de la Universidad, donde se asume la formación integral y permanente de su comunidad en las dimensiones científica, tecnológica y humanística. </w:t>
      </w: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i/>
          <w:color w:val="000000"/>
          <w:u w:val="single"/>
          <w:lang w:val="es-CO"/>
        </w:rPr>
        <w:t>La movilidad estudiantil</w:t>
      </w:r>
      <w:r w:rsidRPr="00535E30">
        <w:rPr>
          <w:rFonts w:asciiTheme="minorHAnsi" w:hAnsiTheme="minorHAnsi" w:cs="Arial"/>
          <w:color w:val="000000"/>
          <w:lang w:val="es-CO"/>
        </w:rPr>
        <w:t xml:space="preserve"> abarca los procesos de entrada de estudiantes extranjeros a la Universidad y la salida de estudiantes UTP hacia instituciones extranjeros. Corresponde a pasantías, intercambios y/o dobles titulaciones en ambos sentidos.</w:t>
      </w: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i/>
          <w:color w:val="000000"/>
          <w:u w:val="single"/>
          <w:lang w:val="es-CO"/>
        </w:rPr>
        <w:t>Los pares académicos</w:t>
      </w:r>
      <w:r w:rsidRPr="00535E30">
        <w:rPr>
          <w:rFonts w:asciiTheme="minorHAnsi" w:hAnsiTheme="minorHAnsi" w:cs="Arial"/>
          <w:color w:val="000000"/>
          <w:lang w:val="es-CO"/>
        </w:rPr>
        <w:t xml:space="preserve"> surgen gracias a la gestión de los docentes, investigadores y/o coordinadores de proyectos, quienes establecen vínculos académicos y/o de investigación, se  generan relaciones con Instituciones Extranjeras, las cuales se consolidan en el establecimiento de convenios macro y específicos que facilitan los procesos de internacionalización de la Universidad y concretamente relacionados con la  movilidad docente y estudiantil.</w:t>
      </w:r>
    </w:p>
    <w:p w:rsidR="00475419" w:rsidRPr="00535E30" w:rsidRDefault="00475419" w:rsidP="00475419">
      <w:pPr>
        <w:spacing w:line="276" w:lineRule="auto"/>
        <w:rPr>
          <w:rFonts w:asciiTheme="minorHAnsi" w:hAnsiTheme="minorHAnsi" w:cs="Arial"/>
          <w:color w:val="000000"/>
          <w:lang w:val="es-CO"/>
        </w:rPr>
      </w:pP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color w:val="000000"/>
          <w:lang w:val="es-CO"/>
        </w:rPr>
        <w:t>El cumplimiento final del objetivo institucional  a nivel de proyectos fue del 99,94%, avance muy satisfactorio y por encima del nivel mínimo esperado (80%)</w:t>
      </w:r>
    </w:p>
    <w:p w:rsidR="00475419" w:rsidRPr="00535E30" w:rsidRDefault="00475419" w:rsidP="00475419">
      <w:pPr>
        <w:spacing w:line="276" w:lineRule="auto"/>
        <w:rPr>
          <w:rFonts w:asciiTheme="minorHAnsi" w:hAnsiTheme="minorHAnsi" w:cs="Arial"/>
          <w:color w:val="000000"/>
          <w:lang w:val="es-CO"/>
        </w:rPr>
      </w:pP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color w:val="000000"/>
          <w:lang w:val="es-CO"/>
        </w:rPr>
        <w:t>El cumplimiento a nivel de proyectos es:</w:t>
      </w:r>
    </w:p>
    <w:p w:rsidR="00475419" w:rsidRPr="00535E30" w:rsidRDefault="00475419" w:rsidP="00475419">
      <w:pPr>
        <w:spacing w:line="276" w:lineRule="auto"/>
        <w:rPr>
          <w:rFonts w:asciiTheme="minorHAnsi" w:hAnsiTheme="minorHAnsi" w:cs="Arial"/>
          <w:color w:val="000000"/>
          <w:lang w:val="es-CO"/>
        </w:rPr>
      </w:pPr>
    </w:p>
    <w:tbl>
      <w:tblPr>
        <w:tblW w:w="3857" w:type="pct"/>
        <w:jc w:val="center"/>
        <w:tblInd w:w="-255" w:type="dxa"/>
        <w:tblLayout w:type="fixed"/>
        <w:tblCellMar>
          <w:left w:w="0" w:type="dxa"/>
          <w:right w:w="0" w:type="dxa"/>
        </w:tblCellMar>
        <w:tblLook w:val="04A0" w:firstRow="1" w:lastRow="0" w:firstColumn="1" w:lastColumn="0" w:noHBand="0" w:noVBand="1"/>
      </w:tblPr>
      <w:tblGrid>
        <w:gridCol w:w="1871"/>
        <w:gridCol w:w="1686"/>
        <w:gridCol w:w="1497"/>
        <w:gridCol w:w="1787"/>
      </w:tblGrid>
      <w:tr w:rsidR="00475419" w:rsidRPr="00535E30" w:rsidTr="005678E7">
        <w:trPr>
          <w:trHeight w:val="57"/>
          <w:tblHeader/>
          <w:jc w:val="center"/>
        </w:trPr>
        <w:tc>
          <w:tcPr>
            <w:tcW w:w="1368"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18"/>
                <w:szCs w:val="18"/>
              </w:rPr>
            </w:pPr>
            <w:r w:rsidRPr="00535E30">
              <w:rPr>
                <w:rFonts w:asciiTheme="minorHAnsi" w:hAnsiTheme="minorHAnsi" w:cs="Arial"/>
                <w:b/>
                <w:bCs/>
                <w:sz w:val="18"/>
                <w:szCs w:val="18"/>
                <w:lang w:val="es-CO"/>
              </w:rPr>
              <w:t>Objetivo</w:t>
            </w:r>
          </w:p>
        </w:tc>
        <w:tc>
          <w:tcPr>
            <w:tcW w:w="1232"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18"/>
                <w:szCs w:val="18"/>
              </w:rPr>
            </w:pPr>
            <w:r w:rsidRPr="00535E30">
              <w:rPr>
                <w:rFonts w:asciiTheme="minorHAnsi" w:hAnsiTheme="minorHAnsi" w:cs="Arial"/>
                <w:b/>
                <w:bCs/>
                <w:sz w:val="18"/>
                <w:szCs w:val="18"/>
                <w:lang w:val="es-CO"/>
              </w:rPr>
              <w:t>Proyecto</w:t>
            </w:r>
          </w:p>
        </w:tc>
        <w:tc>
          <w:tcPr>
            <w:tcW w:w="1094"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18"/>
                <w:szCs w:val="18"/>
              </w:rPr>
            </w:pPr>
            <w:r w:rsidRPr="00535E30">
              <w:rPr>
                <w:rFonts w:asciiTheme="minorHAnsi" w:hAnsiTheme="minorHAnsi" w:cs="Arial"/>
                <w:b/>
                <w:bCs/>
                <w:sz w:val="18"/>
                <w:szCs w:val="18"/>
                <w:lang w:val="es-CO"/>
              </w:rPr>
              <w:t>Avance indicadores de Proyecto</w:t>
            </w:r>
          </w:p>
        </w:tc>
        <w:tc>
          <w:tcPr>
            <w:tcW w:w="1306"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18"/>
                <w:szCs w:val="18"/>
              </w:rPr>
            </w:pPr>
            <w:r w:rsidRPr="00535E30">
              <w:rPr>
                <w:rFonts w:asciiTheme="minorHAnsi" w:hAnsiTheme="minorHAnsi" w:cs="Arial"/>
                <w:b/>
                <w:bCs/>
                <w:sz w:val="18"/>
                <w:szCs w:val="18"/>
                <w:lang w:val="es-CO"/>
              </w:rPr>
              <w:t>Total Promediado por Objetivo</w:t>
            </w:r>
          </w:p>
        </w:tc>
      </w:tr>
      <w:tr w:rsidR="00475419" w:rsidRPr="00535E30" w:rsidTr="005678E7">
        <w:trPr>
          <w:trHeight w:val="57"/>
          <w:jc w:val="center"/>
        </w:trPr>
        <w:tc>
          <w:tcPr>
            <w:tcW w:w="1368" w:type="pct"/>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18"/>
                <w:szCs w:val="18"/>
              </w:rPr>
            </w:pPr>
            <w:r w:rsidRPr="00535E30">
              <w:rPr>
                <w:rFonts w:asciiTheme="minorHAnsi" w:hAnsiTheme="minorHAnsi" w:cs="Arial"/>
                <w:sz w:val="18"/>
                <w:szCs w:val="18"/>
                <w:lang w:val="es-CO"/>
              </w:rPr>
              <w:t>Internacionalización</w:t>
            </w:r>
          </w:p>
        </w:tc>
        <w:tc>
          <w:tcPr>
            <w:tcW w:w="123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475419" w:rsidRPr="00535E30" w:rsidRDefault="00475419" w:rsidP="005678E7">
            <w:pPr>
              <w:spacing w:after="0" w:line="276" w:lineRule="auto"/>
              <w:rPr>
                <w:rFonts w:asciiTheme="minorHAnsi" w:hAnsiTheme="minorHAnsi" w:cs="Arial"/>
                <w:sz w:val="18"/>
                <w:szCs w:val="18"/>
              </w:rPr>
            </w:pPr>
            <w:r w:rsidRPr="00535E30">
              <w:rPr>
                <w:rFonts w:asciiTheme="minorHAnsi" w:hAnsiTheme="minorHAnsi" w:cs="Arial"/>
                <w:sz w:val="18"/>
                <w:szCs w:val="18"/>
                <w:lang w:val="es-CO"/>
              </w:rPr>
              <w:t>Bilingüismo</w:t>
            </w:r>
          </w:p>
        </w:tc>
        <w:tc>
          <w:tcPr>
            <w:tcW w:w="1094" w:type="pct"/>
            <w:tcBorders>
              <w:top w:val="single" w:sz="4" w:space="0" w:color="000000"/>
              <w:left w:val="single" w:sz="4" w:space="0" w:color="000000"/>
              <w:bottom w:val="single" w:sz="4" w:space="0" w:color="000000"/>
              <w:right w:val="single" w:sz="4" w:space="0" w:color="000000"/>
            </w:tcBorders>
            <w:shd w:val="clear" w:color="auto" w:fill="C2D69B" w:themeFill="accent3" w:themeFillTint="99"/>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18"/>
                <w:szCs w:val="18"/>
              </w:rPr>
            </w:pPr>
            <w:r w:rsidRPr="00535E30">
              <w:rPr>
                <w:rFonts w:asciiTheme="minorHAnsi" w:hAnsiTheme="minorHAnsi" w:cs="Arial"/>
                <w:sz w:val="18"/>
                <w:szCs w:val="18"/>
                <w:lang w:val="es-CO"/>
              </w:rPr>
              <w:t>99,82%</w:t>
            </w:r>
          </w:p>
        </w:tc>
        <w:tc>
          <w:tcPr>
            <w:tcW w:w="1306" w:type="pct"/>
            <w:vMerge w:val="restart"/>
            <w:tcBorders>
              <w:top w:val="single" w:sz="4" w:space="0" w:color="000000"/>
              <w:left w:val="single" w:sz="4" w:space="0" w:color="000000"/>
              <w:bottom w:val="single" w:sz="4" w:space="0" w:color="000000"/>
              <w:right w:val="single" w:sz="4" w:space="0" w:color="000000"/>
            </w:tcBorders>
            <w:shd w:val="clear" w:color="auto" w:fill="C2D69B" w:themeFill="accent3" w:themeFillTint="99"/>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b/>
                <w:sz w:val="24"/>
                <w:szCs w:val="24"/>
              </w:rPr>
            </w:pPr>
            <w:r w:rsidRPr="00535E30">
              <w:rPr>
                <w:rFonts w:asciiTheme="minorHAnsi" w:hAnsiTheme="minorHAnsi" w:cs="Arial"/>
                <w:b/>
                <w:sz w:val="24"/>
                <w:szCs w:val="24"/>
                <w:lang w:val="es-CO"/>
              </w:rPr>
              <w:t>99,94%</w:t>
            </w:r>
          </w:p>
        </w:tc>
      </w:tr>
      <w:tr w:rsidR="00475419" w:rsidRPr="00535E30" w:rsidTr="005678E7">
        <w:trPr>
          <w:trHeight w:val="57"/>
          <w:jc w:val="center"/>
        </w:trPr>
        <w:tc>
          <w:tcPr>
            <w:tcW w:w="1368" w:type="pct"/>
            <w:vMerge/>
            <w:tcBorders>
              <w:top w:val="single" w:sz="4" w:space="0" w:color="000000"/>
              <w:left w:val="single" w:sz="4" w:space="0" w:color="000000"/>
              <w:bottom w:val="single" w:sz="4" w:space="0" w:color="000000"/>
              <w:right w:val="single" w:sz="4" w:space="0" w:color="000000"/>
            </w:tcBorders>
            <w:vAlign w:val="center"/>
            <w:hideMark/>
          </w:tcPr>
          <w:p w:rsidR="00475419" w:rsidRPr="00535E30" w:rsidRDefault="00475419" w:rsidP="005678E7">
            <w:pPr>
              <w:spacing w:after="0" w:line="276" w:lineRule="auto"/>
              <w:rPr>
                <w:rFonts w:asciiTheme="minorHAnsi" w:hAnsiTheme="minorHAnsi" w:cs="Arial"/>
                <w:sz w:val="18"/>
                <w:szCs w:val="18"/>
              </w:rPr>
            </w:pPr>
          </w:p>
        </w:tc>
        <w:tc>
          <w:tcPr>
            <w:tcW w:w="123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475419" w:rsidRPr="00535E30" w:rsidRDefault="00475419" w:rsidP="005678E7">
            <w:pPr>
              <w:spacing w:after="0" w:line="276" w:lineRule="auto"/>
              <w:rPr>
                <w:rFonts w:asciiTheme="minorHAnsi" w:hAnsiTheme="minorHAnsi" w:cs="Arial"/>
                <w:sz w:val="18"/>
                <w:szCs w:val="18"/>
              </w:rPr>
            </w:pPr>
            <w:r w:rsidRPr="00535E30">
              <w:rPr>
                <w:rFonts w:asciiTheme="minorHAnsi" w:hAnsiTheme="minorHAnsi" w:cs="Arial"/>
                <w:sz w:val="18"/>
                <w:szCs w:val="18"/>
                <w:lang w:val="es-CO"/>
              </w:rPr>
              <w:t>Movilidad estudiantil</w:t>
            </w:r>
          </w:p>
        </w:tc>
        <w:tc>
          <w:tcPr>
            <w:tcW w:w="1094" w:type="pct"/>
            <w:tcBorders>
              <w:top w:val="single" w:sz="4" w:space="0" w:color="000000"/>
              <w:left w:val="single" w:sz="4" w:space="0" w:color="000000"/>
              <w:bottom w:val="single" w:sz="4" w:space="0" w:color="000000"/>
              <w:right w:val="single" w:sz="4" w:space="0" w:color="000000"/>
            </w:tcBorders>
            <w:shd w:val="clear" w:color="auto" w:fill="C2D69B" w:themeFill="accent3" w:themeFillTint="99"/>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18"/>
                <w:szCs w:val="18"/>
              </w:rPr>
            </w:pPr>
            <w:r w:rsidRPr="00535E30">
              <w:rPr>
                <w:rFonts w:asciiTheme="minorHAnsi" w:hAnsiTheme="minorHAnsi" w:cs="Arial"/>
                <w:sz w:val="18"/>
                <w:szCs w:val="18"/>
                <w:lang w:val="es-CO"/>
              </w:rPr>
              <w:t>100%</w:t>
            </w:r>
          </w:p>
        </w:tc>
        <w:tc>
          <w:tcPr>
            <w:tcW w:w="1306" w:type="pct"/>
            <w:vMerge/>
            <w:tcBorders>
              <w:top w:val="single" w:sz="4" w:space="0" w:color="000000"/>
              <w:left w:val="single" w:sz="4" w:space="0" w:color="000000"/>
              <w:bottom w:val="single" w:sz="4" w:space="0" w:color="000000"/>
              <w:right w:val="single" w:sz="4" w:space="0" w:color="000000"/>
            </w:tcBorders>
            <w:shd w:val="clear" w:color="auto" w:fill="C2D69B" w:themeFill="accent3" w:themeFillTint="99"/>
            <w:vAlign w:val="center"/>
            <w:hideMark/>
          </w:tcPr>
          <w:p w:rsidR="00475419" w:rsidRPr="00535E30" w:rsidRDefault="00475419" w:rsidP="005678E7">
            <w:pPr>
              <w:spacing w:after="0" w:line="276" w:lineRule="auto"/>
              <w:jc w:val="center"/>
              <w:rPr>
                <w:rFonts w:asciiTheme="minorHAnsi" w:hAnsiTheme="minorHAnsi" w:cs="Arial"/>
                <w:sz w:val="18"/>
                <w:szCs w:val="18"/>
              </w:rPr>
            </w:pPr>
          </w:p>
        </w:tc>
      </w:tr>
      <w:tr w:rsidR="00475419" w:rsidRPr="00535E30" w:rsidTr="005678E7">
        <w:trPr>
          <w:trHeight w:val="57"/>
          <w:jc w:val="center"/>
        </w:trPr>
        <w:tc>
          <w:tcPr>
            <w:tcW w:w="1368" w:type="pct"/>
            <w:vMerge/>
            <w:tcBorders>
              <w:top w:val="single" w:sz="4" w:space="0" w:color="000000"/>
              <w:left w:val="single" w:sz="4" w:space="0" w:color="000000"/>
              <w:bottom w:val="single" w:sz="4" w:space="0" w:color="000000"/>
              <w:right w:val="single" w:sz="4" w:space="0" w:color="000000"/>
            </w:tcBorders>
            <w:vAlign w:val="center"/>
            <w:hideMark/>
          </w:tcPr>
          <w:p w:rsidR="00475419" w:rsidRPr="00535E30" w:rsidRDefault="00475419" w:rsidP="005678E7">
            <w:pPr>
              <w:spacing w:after="0" w:line="276" w:lineRule="auto"/>
              <w:rPr>
                <w:rFonts w:asciiTheme="minorHAnsi" w:hAnsiTheme="minorHAnsi" w:cs="Arial"/>
                <w:sz w:val="18"/>
                <w:szCs w:val="18"/>
              </w:rPr>
            </w:pPr>
          </w:p>
        </w:tc>
        <w:tc>
          <w:tcPr>
            <w:tcW w:w="123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475419" w:rsidRPr="00535E30" w:rsidRDefault="00475419" w:rsidP="005678E7">
            <w:pPr>
              <w:spacing w:after="0" w:line="276" w:lineRule="auto"/>
              <w:rPr>
                <w:rFonts w:asciiTheme="minorHAnsi" w:hAnsiTheme="minorHAnsi" w:cs="Arial"/>
                <w:sz w:val="18"/>
                <w:szCs w:val="18"/>
              </w:rPr>
            </w:pPr>
            <w:r w:rsidRPr="00535E30">
              <w:rPr>
                <w:rFonts w:asciiTheme="minorHAnsi" w:hAnsiTheme="minorHAnsi" w:cs="Arial"/>
                <w:sz w:val="18"/>
                <w:szCs w:val="18"/>
                <w:lang w:val="es-CO"/>
              </w:rPr>
              <w:t>Pares académicos</w:t>
            </w:r>
          </w:p>
        </w:tc>
        <w:tc>
          <w:tcPr>
            <w:tcW w:w="1094" w:type="pct"/>
            <w:tcBorders>
              <w:top w:val="single" w:sz="4" w:space="0" w:color="000000"/>
              <w:left w:val="single" w:sz="4" w:space="0" w:color="000000"/>
              <w:bottom w:val="single" w:sz="4" w:space="0" w:color="000000"/>
              <w:right w:val="single" w:sz="4" w:space="0" w:color="000000"/>
            </w:tcBorders>
            <w:shd w:val="clear" w:color="auto" w:fill="C2D69B" w:themeFill="accent3" w:themeFillTint="99"/>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18"/>
                <w:szCs w:val="18"/>
              </w:rPr>
            </w:pPr>
            <w:r w:rsidRPr="00535E30">
              <w:rPr>
                <w:rFonts w:asciiTheme="minorHAnsi" w:hAnsiTheme="minorHAnsi" w:cs="Arial"/>
                <w:sz w:val="18"/>
                <w:szCs w:val="18"/>
                <w:lang w:val="es-CO"/>
              </w:rPr>
              <w:t>100%</w:t>
            </w:r>
          </w:p>
        </w:tc>
        <w:tc>
          <w:tcPr>
            <w:tcW w:w="1306" w:type="pct"/>
            <w:vMerge/>
            <w:tcBorders>
              <w:top w:val="single" w:sz="4" w:space="0" w:color="000000"/>
              <w:left w:val="single" w:sz="4" w:space="0" w:color="000000"/>
              <w:bottom w:val="single" w:sz="4" w:space="0" w:color="000000"/>
              <w:right w:val="single" w:sz="4" w:space="0" w:color="000000"/>
            </w:tcBorders>
            <w:shd w:val="clear" w:color="auto" w:fill="C2D69B" w:themeFill="accent3" w:themeFillTint="99"/>
            <w:vAlign w:val="center"/>
            <w:hideMark/>
          </w:tcPr>
          <w:p w:rsidR="00475419" w:rsidRPr="00535E30" w:rsidRDefault="00475419" w:rsidP="005678E7">
            <w:pPr>
              <w:spacing w:after="0" w:line="276" w:lineRule="auto"/>
              <w:jc w:val="center"/>
              <w:rPr>
                <w:rFonts w:asciiTheme="minorHAnsi" w:hAnsiTheme="minorHAnsi" w:cs="Arial"/>
                <w:sz w:val="18"/>
                <w:szCs w:val="18"/>
              </w:rPr>
            </w:pPr>
          </w:p>
        </w:tc>
      </w:tr>
    </w:tbl>
    <w:p w:rsidR="00475419" w:rsidRDefault="00475419" w:rsidP="00475419">
      <w:pPr>
        <w:spacing w:after="0" w:line="276" w:lineRule="auto"/>
        <w:rPr>
          <w:rFonts w:asciiTheme="minorHAnsi" w:hAnsiTheme="minorHAnsi" w:cs="Arial"/>
        </w:rPr>
      </w:pPr>
    </w:p>
    <w:p w:rsidR="00475419" w:rsidRPr="006D5E19" w:rsidRDefault="00475419" w:rsidP="00475419">
      <w:pPr>
        <w:spacing w:after="200" w:line="276" w:lineRule="auto"/>
        <w:jc w:val="left"/>
        <w:rPr>
          <w:rFonts w:asciiTheme="minorHAnsi" w:hAnsiTheme="minorHAnsi" w:cs="Arial"/>
        </w:rPr>
      </w:pPr>
      <w:r>
        <w:rPr>
          <w:rFonts w:asciiTheme="minorHAnsi" w:hAnsiTheme="minorHAnsi" w:cs="Arial"/>
        </w:rPr>
        <w:br w:type="page"/>
      </w:r>
      <w:r w:rsidRPr="00535E30">
        <w:rPr>
          <w:rFonts w:asciiTheme="minorHAnsi" w:hAnsiTheme="minorHAnsi" w:cs="Arial"/>
          <w:color w:val="000000"/>
          <w:lang w:val="es-CO"/>
        </w:rPr>
        <w:lastRenderedPageBreak/>
        <w:t>Todos los tres proyectos institucionales mostraron un cumplimiento final satisfactorio. Se presenta el cumplimiento a nivel de planes operativos.</w:t>
      </w:r>
    </w:p>
    <w:tbl>
      <w:tblPr>
        <w:tblW w:w="5000" w:type="pct"/>
        <w:tblCellMar>
          <w:left w:w="70" w:type="dxa"/>
          <w:right w:w="70" w:type="dxa"/>
        </w:tblCellMar>
        <w:tblLook w:val="04A0" w:firstRow="1" w:lastRow="0" w:firstColumn="1" w:lastColumn="0" w:noHBand="0" w:noVBand="1"/>
      </w:tblPr>
      <w:tblGrid>
        <w:gridCol w:w="1726"/>
        <w:gridCol w:w="2312"/>
        <w:gridCol w:w="2270"/>
        <w:gridCol w:w="709"/>
        <w:gridCol w:w="709"/>
        <w:gridCol w:w="1252"/>
      </w:tblGrid>
      <w:tr w:rsidR="00475419" w:rsidRPr="00535E30" w:rsidTr="005678E7">
        <w:trPr>
          <w:trHeight w:val="435"/>
        </w:trPr>
        <w:tc>
          <w:tcPr>
            <w:tcW w:w="961" w:type="pct"/>
            <w:tcBorders>
              <w:top w:val="single" w:sz="4" w:space="0" w:color="auto"/>
              <w:left w:val="single" w:sz="4" w:space="0" w:color="auto"/>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theme="minorHAnsi"/>
                <w:b/>
                <w:bCs/>
                <w:color w:val="000000"/>
                <w:sz w:val="18"/>
                <w:szCs w:val="18"/>
                <w:lang w:val="es-CO" w:eastAsia="es-CO"/>
              </w:rPr>
            </w:pPr>
            <w:r w:rsidRPr="00535E30">
              <w:rPr>
                <w:rFonts w:asciiTheme="minorHAnsi" w:eastAsia="Times New Roman" w:hAnsiTheme="minorHAnsi" w:cstheme="minorHAnsi"/>
                <w:b/>
                <w:bCs/>
                <w:color w:val="000000"/>
                <w:sz w:val="18"/>
                <w:szCs w:val="18"/>
                <w:lang w:val="es-CO" w:eastAsia="es-CO"/>
              </w:rPr>
              <w:t>Proyecto</w:t>
            </w:r>
          </w:p>
        </w:tc>
        <w:tc>
          <w:tcPr>
            <w:tcW w:w="1288" w:type="pct"/>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theme="minorHAnsi"/>
                <w:b/>
                <w:bCs/>
                <w:color w:val="000000"/>
                <w:sz w:val="18"/>
                <w:szCs w:val="18"/>
                <w:lang w:val="es-CO" w:eastAsia="es-CO"/>
              </w:rPr>
            </w:pPr>
            <w:r w:rsidRPr="00535E30">
              <w:rPr>
                <w:rFonts w:asciiTheme="minorHAnsi" w:eastAsia="Times New Roman" w:hAnsiTheme="minorHAnsi" w:cstheme="minorHAnsi"/>
                <w:b/>
                <w:bCs/>
                <w:color w:val="000000"/>
                <w:sz w:val="18"/>
                <w:szCs w:val="18"/>
                <w:lang w:val="es-CO" w:eastAsia="es-CO"/>
              </w:rPr>
              <w:t>Plan Operativo</w:t>
            </w:r>
          </w:p>
        </w:tc>
        <w:tc>
          <w:tcPr>
            <w:tcW w:w="1264" w:type="pct"/>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theme="minorHAnsi"/>
                <w:b/>
                <w:bCs/>
                <w:color w:val="000000"/>
                <w:sz w:val="18"/>
                <w:szCs w:val="18"/>
                <w:lang w:val="es-CO" w:eastAsia="es-CO"/>
              </w:rPr>
            </w:pPr>
            <w:r w:rsidRPr="00535E30">
              <w:rPr>
                <w:rFonts w:asciiTheme="minorHAnsi" w:eastAsia="Times New Roman" w:hAnsiTheme="minorHAnsi" w:cstheme="minorHAnsi"/>
                <w:b/>
                <w:bCs/>
                <w:color w:val="000000"/>
                <w:sz w:val="18"/>
                <w:szCs w:val="18"/>
                <w:lang w:val="es-CO" w:eastAsia="es-CO"/>
              </w:rPr>
              <w:t>Indicadores</w:t>
            </w:r>
          </w:p>
        </w:tc>
        <w:tc>
          <w:tcPr>
            <w:tcW w:w="395" w:type="pct"/>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theme="minorHAnsi"/>
                <w:b/>
                <w:bCs/>
                <w:color w:val="000000"/>
                <w:sz w:val="18"/>
                <w:szCs w:val="18"/>
                <w:lang w:val="es-CO" w:eastAsia="es-CO"/>
              </w:rPr>
            </w:pPr>
            <w:r w:rsidRPr="00535E30">
              <w:rPr>
                <w:rFonts w:asciiTheme="minorHAnsi" w:eastAsia="Times New Roman" w:hAnsiTheme="minorHAnsi" w:cstheme="minorHAnsi"/>
                <w:b/>
                <w:bCs/>
                <w:color w:val="000000"/>
                <w:sz w:val="18"/>
                <w:szCs w:val="18"/>
                <w:lang w:val="es-CO" w:eastAsia="es-CO"/>
              </w:rPr>
              <w:t>Meta</w:t>
            </w:r>
          </w:p>
        </w:tc>
        <w:tc>
          <w:tcPr>
            <w:tcW w:w="395" w:type="pct"/>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theme="minorHAnsi"/>
                <w:b/>
                <w:bCs/>
                <w:color w:val="000000"/>
                <w:sz w:val="18"/>
                <w:szCs w:val="18"/>
                <w:lang w:val="es-CO" w:eastAsia="es-CO"/>
              </w:rPr>
            </w:pPr>
            <w:r w:rsidRPr="00535E30">
              <w:rPr>
                <w:rFonts w:asciiTheme="minorHAnsi" w:eastAsia="Times New Roman" w:hAnsiTheme="minorHAnsi" w:cstheme="minorHAnsi"/>
                <w:b/>
                <w:bCs/>
                <w:color w:val="000000"/>
                <w:sz w:val="18"/>
                <w:szCs w:val="18"/>
                <w:lang w:val="es-CO" w:eastAsia="es-CO"/>
              </w:rPr>
              <w:t>Avance</w:t>
            </w:r>
          </w:p>
        </w:tc>
        <w:tc>
          <w:tcPr>
            <w:tcW w:w="697" w:type="pct"/>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theme="minorHAnsi"/>
                <w:b/>
                <w:bCs/>
                <w:color w:val="000000"/>
                <w:sz w:val="18"/>
                <w:szCs w:val="18"/>
                <w:lang w:val="es-CO" w:eastAsia="es-CO"/>
              </w:rPr>
            </w:pPr>
            <w:r w:rsidRPr="00535E30">
              <w:rPr>
                <w:rFonts w:asciiTheme="minorHAnsi" w:eastAsia="Times New Roman" w:hAnsiTheme="minorHAnsi" w:cstheme="minorHAnsi"/>
                <w:b/>
                <w:bCs/>
                <w:color w:val="000000"/>
                <w:sz w:val="18"/>
                <w:szCs w:val="18"/>
                <w:lang w:val="es-CO" w:eastAsia="es-CO"/>
              </w:rPr>
              <w:t>% cumplimiento</w:t>
            </w:r>
          </w:p>
        </w:tc>
      </w:tr>
      <w:tr w:rsidR="00475419" w:rsidRPr="00535E30" w:rsidTr="005678E7">
        <w:trPr>
          <w:trHeight w:val="413"/>
        </w:trPr>
        <w:tc>
          <w:tcPr>
            <w:tcW w:w="961"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 xml:space="preserve"> Bilingüismo</w:t>
            </w:r>
          </w:p>
        </w:tc>
        <w:tc>
          <w:tcPr>
            <w:tcW w:w="12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Realización de pruebas clasificatorias en programas de pregrado</w:t>
            </w:r>
          </w:p>
        </w:tc>
        <w:tc>
          <w:tcPr>
            <w:tcW w:w="1264"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Participación en pruebas clasificatorias de lengua inglesa</w:t>
            </w:r>
          </w:p>
        </w:tc>
        <w:tc>
          <w:tcPr>
            <w:tcW w:w="39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35</w:t>
            </w:r>
          </w:p>
        </w:tc>
        <w:tc>
          <w:tcPr>
            <w:tcW w:w="39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35,5</w:t>
            </w:r>
          </w:p>
        </w:tc>
        <w:tc>
          <w:tcPr>
            <w:tcW w:w="697" w:type="pct"/>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r w:rsidR="00475419" w:rsidRPr="00535E30" w:rsidTr="005678E7">
        <w:trPr>
          <w:trHeight w:val="784"/>
        </w:trPr>
        <w:tc>
          <w:tcPr>
            <w:tcW w:w="961"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2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Participación de estudiantes de pregrado en los cursos ofrecidos por el ILEX</w:t>
            </w:r>
          </w:p>
        </w:tc>
        <w:tc>
          <w:tcPr>
            <w:tcW w:w="1264"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Participación en los cursos de inglés</w:t>
            </w:r>
          </w:p>
        </w:tc>
        <w:tc>
          <w:tcPr>
            <w:tcW w:w="39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40</w:t>
            </w:r>
          </w:p>
        </w:tc>
        <w:tc>
          <w:tcPr>
            <w:tcW w:w="39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42</w:t>
            </w:r>
          </w:p>
        </w:tc>
        <w:tc>
          <w:tcPr>
            <w:tcW w:w="697" w:type="pct"/>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r w:rsidR="00475419" w:rsidRPr="00535E30" w:rsidTr="005678E7">
        <w:trPr>
          <w:trHeight w:val="124"/>
        </w:trPr>
        <w:tc>
          <w:tcPr>
            <w:tcW w:w="961"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2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Realización de pruebas remediales de inglés en programas de pregrado</w:t>
            </w:r>
          </w:p>
        </w:tc>
        <w:tc>
          <w:tcPr>
            <w:tcW w:w="1264"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Participación en pruebas remediales de inglés</w:t>
            </w:r>
          </w:p>
        </w:tc>
        <w:tc>
          <w:tcPr>
            <w:tcW w:w="39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60</w:t>
            </w:r>
          </w:p>
        </w:tc>
        <w:tc>
          <w:tcPr>
            <w:tcW w:w="39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74</w:t>
            </w:r>
          </w:p>
        </w:tc>
        <w:tc>
          <w:tcPr>
            <w:tcW w:w="697" w:type="pct"/>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r w:rsidR="00475419" w:rsidRPr="00535E30" w:rsidTr="005678E7">
        <w:trPr>
          <w:trHeight w:val="70"/>
        </w:trPr>
        <w:tc>
          <w:tcPr>
            <w:tcW w:w="961"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2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Realización de pruebas de suficiencia de lengua inglesa en programas de pregrado (Requisito de grado)</w:t>
            </w:r>
          </w:p>
        </w:tc>
        <w:tc>
          <w:tcPr>
            <w:tcW w:w="1264"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Participación en pruebas de suficiencia de lengua inglesa</w:t>
            </w:r>
          </w:p>
        </w:tc>
        <w:tc>
          <w:tcPr>
            <w:tcW w:w="39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85</w:t>
            </w:r>
          </w:p>
        </w:tc>
        <w:tc>
          <w:tcPr>
            <w:tcW w:w="39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102</w:t>
            </w:r>
          </w:p>
        </w:tc>
        <w:tc>
          <w:tcPr>
            <w:tcW w:w="697" w:type="pct"/>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r w:rsidR="00475419" w:rsidRPr="00535E30" w:rsidTr="005678E7">
        <w:trPr>
          <w:trHeight w:val="784"/>
        </w:trPr>
        <w:tc>
          <w:tcPr>
            <w:tcW w:w="961"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2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Realización de pruebas de comprensión de lectura en lengua inglesa para estudiantes de postgrado</w:t>
            </w:r>
          </w:p>
        </w:tc>
        <w:tc>
          <w:tcPr>
            <w:tcW w:w="1264"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Realización de pruebas de comprensión de lectura en lengua inglesa para estudiantes de postgrado</w:t>
            </w:r>
          </w:p>
        </w:tc>
        <w:tc>
          <w:tcPr>
            <w:tcW w:w="39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90</w:t>
            </w:r>
          </w:p>
        </w:tc>
        <w:tc>
          <w:tcPr>
            <w:tcW w:w="39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114</w:t>
            </w:r>
          </w:p>
        </w:tc>
        <w:tc>
          <w:tcPr>
            <w:tcW w:w="697" w:type="pct"/>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r w:rsidR="00475419" w:rsidRPr="00535E30" w:rsidTr="005678E7">
        <w:trPr>
          <w:trHeight w:val="784"/>
        </w:trPr>
        <w:tc>
          <w:tcPr>
            <w:tcW w:w="961"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2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Aplicación de estrategias de bilingüismo para funcionarios administrativos</w:t>
            </w:r>
          </w:p>
        </w:tc>
        <w:tc>
          <w:tcPr>
            <w:tcW w:w="1264"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Desarrollo y promoción del bilingüismo (administrativos)</w:t>
            </w:r>
          </w:p>
        </w:tc>
        <w:tc>
          <w:tcPr>
            <w:tcW w:w="39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40</w:t>
            </w:r>
          </w:p>
        </w:tc>
        <w:tc>
          <w:tcPr>
            <w:tcW w:w="39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61</w:t>
            </w:r>
          </w:p>
        </w:tc>
        <w:tc>
          <w:tcPr>
            <w:tcW w:w="697" w:type="pct"/>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r w:rsidR="00475419" w:rsidRPr="00535E30" w:rsidTr="005678E7">
        <w:trPr>
          <w:trHeight w:val="784"/>
        </w:trPr>
        <w:tc>
          <w:tcPr>
            <w:tcW w:w="961"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2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Aplicación de estrategias de bilingüismo para docentes planteadas desde la Vicerrectoría Académica</w:t>
            </w:r>
          </w:p>
        </w:tc>
        <w:tc>
          <w:tcPr>
            <w:tcW w:w="1264"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Desarrollo y promoción del bilingüismo (docentes)</w:t>
            </w:r>
          </w:p>
        </w:tc>
        <w:tc>
          <w:tcPr>
            <w:tcW w:w="39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80</w:t>
            </w:r>
          </w:p>
        </w:tc>
        <w:tc>
          <w:tcPr>
            <w:tcW w:w="39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79</w:t>
            </w:r>
          </w:p>
        </w:tc>
        <w:tc>
          <w:tcPr>
            <w:tcW w:w="697" w:type="pct"/>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98,75%</w:t>
            </w:r>
          </w:p>
        </w:tc>
      </w:tr>
      <w:tr w:rsidR="00475419" w:rsidRPr="00535E30" w:rsidTr="005678E7">
        <w:trPr>
          <w:trHeight w:val="338"/>
        </w:trPr>
        <w:tc>
          <w:tcPr>
            <w:tcW w:w="961"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 xml:space="preserve"> Movilidad estudiantil</w:t>
            </w:r>
          </w:p>
        </w:tc>
        <w:tc>
          <w:tcPr>
            <w:tcW w:w="1288" w:type="pct"/>
            <w:vMerge w:val="restart"/>
            <w:tcBorders>
              <w:top w:val="nil"/>
              <w:left w:val="single" w:sz="4" w:space="0" w:color="auto"/>
              <w:bottom w:val="single" w:sz="4" w:space="0" w:color="000000"/>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Movilidad de estudiantes</w:t>
            </w:r>
          </w:p>
        </w:tc>
        <w:tc>
          <w:tcPr>
            <w:tcW w:w="1264"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Movilidad de estudiantes (estudiantes UTP en el extranjero)</w:t>
            </w:r>
          </w:p>
        </w:tc>
        <w:tc>
          <w:tcPr>
            <w:tcW w:w="39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20</w:t>
            </w:r>
          </w:p>
        </w:tc>
        <w:tc>
          <w:tcPr>
            <w:tcW w:w="39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28</w:t>
            </w:r>
          </w:p>
        </w:tc>
        <w:tc>
          <w:tcPr>
            <w:tcW w:w="697" w:type="pct"/>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r w:rsidR="00475419" w:rsidRPr="00535E30" w:rsidTr="005678E7">
        <w:trPr>
          <w:trHeight w:val="234"/>
        </w:trPr>
        <w:tc>
          <w:tcPr>
            <w:tcW w:w="961"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288" w:type="pct"/>
            <w:vMerge/>
            <w:tcBorders>
              <w:top w:val="nil"/>
              <w:left w:val="single" w:sz="4" w:space="0" w:color="auto"/>
              <w:bottom w:val="single" w:sz="4" w:space="0" w:color="000000"/>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264"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Movilidad de estudiantes (estudiantes extranjeros en la UTP)</w:t>
            </w:r>
          </w:p>
        </w:tc>
        <w:tc>
          <w:tcPr>
            <w:tcW w:w="39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12</w:t>
            </w:r>
          </w:p>
        </w:tc>
        <w:tc>
          <w:tcPr>
            <w:tcW w:w="39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20</w:t>
            </w:r>
          </w:p>
        </w:tc>
        <w:tc>
          <w:tcPr>
            <w:tcW w:w="697" w:type="pct"/>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r w:rsidR="00475419" w:rsidRPr="00535E30" w:rsidTr="005678E7">
        <w:trPr>
          <w:trHeight w:val="70"/>
        </w:trPr>
        <w:tc>
          <w:tcPr>
            <w:tcW w:w="961" w:type="pct"/>
            <w:tcBorders>
              <w:top w:val="nil"/>
              <w:left w:val="single" w:sz="4" w:space="0" w:color="auto"/>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Pares académicos</w:t>
            </w:r>
          </w:p>
        </w:tc>
        <w:tc>
          <w:tcPr>
            <w:tcW w:w="12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Búsqueda y consolidación de pares académicos en el exterior</w:t>
            </w:r>
          </w:p>
        </w:tc>
        <w:tc>
          <w:tcPr>
            <w:tcW w:w="1264"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Pares académicos</w:t>
            </w:r>
          </w:p>
        </w:tc>
        <w:tc>
          <w:tcPr>
            <w:tcW w:w="39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15</w:t>
            </w:r>
          </w:p>
        </w:tc>
        <w:tc>
          <w:tcPr>
            <w:tcW w:w="39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16</w:t>
            </w:r>
          </w:p>
        </w:tc>
        <w:tc>
          <w:tcPr>
            <w:tcW w:w="697" w:type="pct"/>
            <w:tcBorders>
              <w:top w:val="nil"/>
              <w:left w:val="nil"/>
              <w:bottom w:val="single" w:sz="4" w:space="0" w:color="auto"/>
              <w:right w:val="single" w:sz="4" w:space="0" w:color="auto"/>
            </w:tcBorders>
            <w:shd w:val="clear" w:color="auto" w:fill="C2D69B" w:themeFill="accent3" w:themeFillTint="99"/>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bl>
    <w:p w:rsidR="00475419" w:rsidRPr="00535E30" w:rsidRDefault="00475419" w:rsidP="00475419">
      <w:pPr>
        <w:spacing w:line="276" w:lineRule="auto"/>
        <w:rPr>
          <w:rFonts w:asciiTheme="minorHAnsi" w:hAnsiTheme="minorHAnsi" w:cs="Arial"/>
          <w:color w:val="000000"/>
          <w:lang w:val="es-CO"/>
        </w:rPr>
      </w:pPr>
    </w:p>
    <w:p w:rsidR="00475419" w:rsidRPr="00535E30" w:rsidRDefault="00475419" w:rsidP="00475419">
      <w:pPr>
        <w:pStyle w:val="Ttulo2"/>
        <w:spacing w:line="276" w:lineRule="auto"/>
        <w:rPr>
          <w:lang w:val="es-CO"/>
        </w:rPr>
      </w:pPr>
      <w:bookmarkStart w:id="219" w:name="_Toc347392864"/>
      <w:bookmarkStart w:id="220" w:name="_Toc350957800"/>
      <w:bookmarkStart w:id="221" w:name="_Toc354671393"/>
      <w:r w:rsidRPr="00535E30">
        <w:rPr>
          <w:caps w:val="0"/>
        </w:rPr>
        <w:t>PROYECTOS</w:t>
      </w:r>
      <w:r w:rsidRPr="00535E30">
        <w:rPr>
          <w:caps w:val="0"/>
          <w:lang w:val="es-CO"/>
        </w:rPr>
        <w:t xml:space="preserve"> IMPACTO REGIONAL</w:t>
      </w:r>
      <w:bookmarkEnd w:id="219"/>
      <w:bookmarkEnd w:id="220"/>
      <w:bookmarkEnd w:id="221"/>
    </w:p>
    <w:p w:rsidR="00475419" w:rsidRPr="00535E30" w:rsidRDefault="00475419" w:rsidP="00475419">
      <w:pPr>
        <w:spacing w:line="276" w:lineRule="auto"/>
        <w:ind w:firstLine="708"/>
        <w:rPr>
          <w:rFonts w:asciiTheme="minorHAnsi" w:hAnsiTheme="minorHAnsi" w:cs="Arial"/>
          <w:b/>
          <w:color w:val="000000"/>
          <w:lang w:val="es-CO"/>
        </w:rPr>
      </w:pP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color w:val="000000"/>
          <w:lang w:val="es-CO"/>
        </w:rPr>
        <w:t xml:space="preserve">Seis proyectos son los que soportan este objetivo:   alianza Universidad - empresa - estado para la transferencia del conocimiento para los sectores y tecnologías más promisorias de la Ecorregión; contribución a la consolidación de una red de observatorios para la Ecorregión; sistema universitario para la formulación y gestión de políticas públicas; Integración académica; Aporte de </w:t>
      </w:r>
      <w:r w:rsidRPr="00535E30">
        <w:rPr>
          <w:rFonts w:asciiTheme="minorHAnsi" w:hAnsiTheme="minorHAnsi" w:cs="Arial"/>
          <w:color w:val="000000"/>
          <w:lang w:val="es-CO"/>
        </w:rPr>
        <w:lastRenderedPageBreak/>
        <w:t xml:space="preserve">la UTP al proyecto de paisaje cultural cafetero; Plataforma natural del territorio como base para el desarrollo sostenible. </w:t>
      </w: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color w:val="000000"/>
          <w:u w:val="single"/>
          <w:lang w:val="es-CO"/>
        </w:rPr>
        <w:t xml:space="preserve">El proyecto </w:t>
      </w:r>
      <w:r w:rsidRPr="00535E30">
        <w:rPr>
          <w:rFonts w:asciiTheme="minorHAnsi" w:hAnsiTheme="minorHAnsi" w:cs="Arial"/>
          <w:i/>
          <w:color w:val="000000"/>
          <w:u w:val="single"/>
          <w:lang w:val="es-CO"/>
        </w:rPr>
        <w:t>Alianza Universidad – Empresa – Estado</w:t>
      </w:r>
      <w:r w:rsidRPr="00535E30">
        <w:rPr>
          <w:rFonts w:asciiTheme="minorHAnsi" w:hAnsiTheme="minorHAnsi" w:cs="Arial"/>
          <w:color w:val="000000"/>
          <w:lang w:val="es-CO"/>
        </w:rPr>
        <w:t xml:space="preserve">, promueve la participación de la UTP en la formulación y gestión de  planes, programas y proyectos que llevan a la transferencia de conocimiento en alianza universidad empresa estado.  </w:t>
      </w: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color w:val="000000"/>
          <w:lang w:val="es-CO"/>
        </w:rPr>
        <w:t xml:space="preserve">Con el proyecto </w:t>
      </w:r>
      <w:r w:rsidRPr="00535E30">
        <w:rPr>
          <w:rFonts w:asciiTheme="minorHAnsi" w:hAnsiTheme="minorHAnsi" w:cs="Arial"/>
          <w:i/>
          <w:color w:val="000000"/>
          <w:u w:val="single"/>
          <w:lang w:val="es-CO"/>
        </w:rPr>
        <w:t>contribución a la consolidación de una red de observatorios para la Ecorregión,</w:t>
      </w:r>
      <w:r w:rsidRPr="00535E30">
        <w:rPr>
          <w:rFonts w:asciiTheme="minorHAnsi" w:hAnsiTheme="minorHAnsi" w:cs="Arial"/>
          <w:color w:val="000000"/>
          <w:lang w:val="es-CO"/>
        </w:rPr>
        <w:t xml:space="preserve"> la Universidad se incorpora en escenarios de generación de conocimiento e información para la toma de decisiones que impacten la región, mediante su participación dentro de observaciones de carácter regional y la generación de información como insumo para el Sistema de Información Regional SIR.</w:t>
      </w: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color w:val="000000"/>
          <w:lang w:val="es-CO"/>
        </w:rPr>
        <w:t xml:space="preserve">Mediante el </w:t>
      </w:r>
      <w:r w:rsidRPr="00535E30">
        <w:rPr>
          <w:rFonts w:asciiTheme="minorHAnsi" w:hAnsiTheme="minorHAnsi" w:cs="Arial"/>
          <w:i/>
          <w:color w:val="000000"/>
          <w:u w:val="single"/>
          <w:lang w:val="es-CO"/>
        </w:rPr>
        <w:t>sistema universitario para la formulación y gestión de políticas públicas,</w:t>
      </w:r>
      <w:r w:rsidRPr="00535E30">
        <w:rPr>
          <w:rFonts w:asciiTheme="minorHAnsi" w:hAnsiTheme="minorHAnsi" w:cs="Arial"/>
          <w:color w:val="000000"/>
          <w:lang w:val="es-CO"/>
        </w:rPr>
        <w:t xml:space="preserve"> la Universidad interviene y participa en el desarrollo de acciones que incidan en la política pública regional, mediante la participación de las facultades en procesos de construcción de este alcance.</w:t>
      </w: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color w:val="000000"/>
          <w:lang w:val="es-CO"/>
        </w:rPr>
        <w:t xml:space="preserve">Con la </w:t>
      </w:r>
      <w:r w:rsidRPr="00535E30">
        <w:rPr>
          <w:rFonts w:asciiTheme="minorHAnsi" w:hAnsiTheme="minorHAnsi" w:cs="Arial"/>
          <w:i/>
          <w:color w:val="000000"/>
          <w:u w:val="single"/>
          <w:lang w:val="es-CO"/>
        </w:rPr>
        <w:t>Integración académica</w:t>
      </w:r>
      <w:r w:rsidRPr="00535E30">
        <w:rPr>
          <w:rFonts w:asciiTheme="minorHAnsi" w:hAnsiTheme="minorHAnsi" w:cs="Arial"/>
          <w:color w:val="000000"/>
          <w:lang w:val="es-CO"/>
        </w:rPr>
        <w:t>, se busca consolidar la Región Académica, mediante el impulso y fortalecimiento a iniciativas gestadas al interior de las universidades que trabajan en Red. Persigue apoyar la conformación y fortalecimiento de los postgrados en Red. Se incluye el Fondo Regional de Investigaciones por medio del cual se gestionan proyectos de investigación en los que participan grupos de investigación de las universidades de la Ecorregión, promoviendo el trabajo conjunto.</w:t>
      </w: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color w:val="000000"/>
          <w:lang w:val="es-CO"/>
        </w:rPr>
        <w:t xml:space="preserve">Con el </w:t>
      </w:r>
      <w:r w:rsidRPr="00535E30">
        <w:rPr>
          <w:rFonts w:asciiTheme="minorHAnsi" w:hAnsiTheme="minorHAnsi" w:cs="Arial"/>
          <w:i/>
          <w:color w:val="000000"/>
          <w:u w:val="single"/>
          <w:lang w:val="es-CO"/>
        </w:rPr>
        <w:t>Aporte de la UTP al proyecto de paisaje cultural cafetero</w:t>
      </w:r>
      <w:r w:rsidRPr="00535E30">
        <w:rPr>
          <w:rFonts w:asciiTheme="minorHAnsi" w:hAnsiTheme="minorHAnsi" w:cs="Arial"/>
          <w:color w:val="000000"/>
          <w:lang w:val="es-CO"/>
        </w:rPr>
        <w:t>, la universidad promueve la investigación en temas de Paisaje Cultural, y la realización de múltiples actividades académicas de capacitación, difusión y discusión alrededor de este patrimonio cultural.</w:t>
      </w: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color w:val="000000"/>
          <w:lang w:val="es-CO"/>
        </w:rPr>
        <w:t xml:space="preserve">El proyecto </w:t>
      </w:r>
      <w:r w:rsidRPr="00535E30">
        <w:rPr>
          <w:rFonts w:asciiTheme="minorHAnsi" w:hAnsiTheme="minorHAnsi" w:cs="Arial"/>
          <w:i/>
          <w:color w:val="000000"/>
          <w:u w:val="single"/>
          <w:lang w:val="es-CO"/>
        </w:rPr>
        <w:t>Plataforma natural del territorio como base para el desarrollo sostenible</w:t>
      </w:r>
      <w:r w:rsidRPr="00535E30">
        <w:rPr>
          <w:rFonts w:asciiTheme="minorHAnsi" w:hAnsiTheme="minorHAnsi" w:cs="Arial"/>
          <w:color w:val="000000"/>
          <w:lang w:val="es-CO"/>
        </w:rPr>
        <w:t>, la universidad desarrolla o aporta en el desarrollo de proyectos y/o actividades a nivel regional del componente ambiental de la agenda de la Ecorregión.</w:t>
      </w:r>
    </w:p>
    <w:p w:rsidR="00475419" w:rsidRPr="00535E30" w:rsidRDefault="00475419" w:rsidP="00475419">
      <w:pPr>
        <w:spacing w:line="276" w:lineRule="auto"/>
        <w:rPr>
          <w:rFonts w:asciiTheme="minorHAnsi" w:hAnsiTheme="minorHAnsi" w:cs="Arial"/>
          <w:color w:val="000000"/>
          <w:lang w:val="es-CO"/>
        </w:rPr>
      </w:pP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color w:val="000000"/>
          <w:lang w:val="es-CO"/>
        </w:rPr>
        <w:t>El nivel de cumplimiento final del objetivo institucional a nivel de proyectos fue del 98,48%, evidenciándose un cumplimiento muy satisfactorio. El desempeño final de los proyectos del objetivo de impacto regional se muestra a continuación:</w:t>
      </w:r>
    </w:p>
    <w:p w:rsidR="00475419" w:rsidRPr="00535E30" w:rsidRDefault="00475419" w:rsidP="00475419">
      <w:pPr>
        <w:spacing w:line="276" w:lineRule="auto"/>
        <w:rPr>
          <w:rFonts w:asciiTheme="minorHAnsi" w:hAnsiTheme="minorHAnsi" w:cs="Arial"/>
          <w:color w:val="000000"/>
          <w:lang w:val="es-CO"/>
        </w:rPr>
      </w:pPr>
    </w:p>
    <w:tbl>
      <w:tblPr>
        <w:tblW w:w="4722" w:type="pct"/>
        <w:jc w:val="center"/>
        <w:tblInd w:w="-615" w:type="dxa"/>
        <w:tblCellMar>
          <w:left w:w="0" w:type="dxa"/>
          <w:right w:w="0" w:type="dxa"/>
        </w:tblCellMar>
        <w:tblLook w:val="04A0" w:firstRow="1" w:lastRow="0" w:firstColumn="1" w:lastColumn="0" w:noHBand="0" w:noVBand="1"/>
      </w:tblPr>
      <w:tblGrid>
        <w:gridCol w:w="1187"/>
        <w:gridCol w:w="3826"/>
        <w:gridCol w:w="1660"/>
        <w:gridCol w:w="1702"/>
      </w:tblGrid>
      <w:tr w:rsidR="00475419" w:rsidRPr="00535E30" w:rsidTr="005678E7">
        <w:trPr>
          <w:trHeight w:val="57"/>
          <w:tblHeader/>
          <w:jc w:val="center"/>
        </w:trPr>
        <w:tc>
          <w:tcPr>
            <w:tcW w:w="709"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18"/>
                <w:szCs w:val="18"/>
              </w:rPr>
            </w:pPr>
            <w:r w:rsidRPr="00535E30">
              <w:rPr>
                <w:rFonts w:asciiTheme="minorHAnsi" w:hAnsiTheme="minorHAnsi" w:cs="Arial"/>
                <w:b/>
                <w:bCs/>
                <w:sz w:val="18"/>
                <w:szCs w:val="18"/>
                <w:lang w:val="es-CO"/>
              </w:rPr>
              <w:t>Objetivo</w:t>
            </w:r>
          </w:p>
        </w:tc>
        <w:tc>
          <w:tcPr>
            <w:tcW w:w="2284"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18"/>
                <w:szCs w:val="18"/>
              </w:rPr>
            </w:pPr>
            <w:r w:rsidRPr="00535E30">
              <w:rPr>
                <w:rFonts w:asciiTheme="minorHAnsi" w:hAnsiTheme="minorHAnsi" w:cs="Arial"/>
                <w:b/>
                <w:bCs/>
                <w:sz w:val="18"/>
                <w:szCs w:val="18"/>
                <w:lang w:val="es-CO"/>
              </w:rPr>
              <w:t>Proyecto</w:t>
            </w:r>
          </w:p>
        </w:tc>
        <w:tc>
          <w:tcPr>
            <w:tcW w:w="991"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18"/>
                <w:szCs w:val="18"/>
              </w:rPr>
            </w:pPr>
            <w:r w:rsidRPr="00535E30">
              <w:rPr>
                <w:rFonts w:asciiTheme="minorHAnsi" w:hAnsiTheme="minorHAnsi" w:cs="Arial"/>
                <w:b/>
                <w:bCs/>
                <w:sz w:val="18"/>
                <w:szCs w:val="18"/>
                <w:lang w:val="es-CO"/>
              </w:rPr>
              <w:t>Avance indicadores de Proyecto</w:t>
            </w:r>
          </w:p>
        </w:tc>
        <w:tc>
          <w:tcPr>
            <w:tcW w:w="1016"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18"/>
                <w:szCs w:val="18"/>
              </w:rPr>
            </w:pPr>
            <w:r w:rsidRPr="00535E30">
              <w:rPr>
                <w:rFonts w:asciiTheme="minorHAnsi" w:hAnsiTheme="minorHAnsi" w:cs="Arial"/>
                <w:b/>
                <w:bCs/>
                <w:sz w:val="18"/>
                <w:szCs w:val="18"/>
                <w:lang w:val="es-CO"/>
              </w:rPr>
              <w:t>Total Promediado por Objetivo</w:t>
            </w:r>
          </w:p>
        </w:tc>
      </w:tr>
      <w:tr w:rsidR="00475419" w:rsidRPr="00535E30" w:rsidTr="005678E7">
        <w:trPr>
          <w:trHeight w:val="57"/>
          <w:jc w:val="center"/>
        </w:trPr>
        <w:tc>
          <w:tcPr>
            <w:tcW w:w="709" w:type="pct"/>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18"/>
                <w:szCs w:val="18"/>
              </w:rPr>
            </w:pPr>
            <w:r w:rsidRPr="00535E30">
              <w:rPr>
                <w:rFonts w:asciiTheme="minorHAnsi" w:hAnsiTheme="minorHAnsi" w:cs="Arial"/>
                <w:sz w:val="18"/>
                <w:szCs w:val="18"/>
                <w:lang w:val="es-CO"/>
              </w:rPr>
              <w:t>Impacto regional</w:t>
            </w:r>
          </w:p>
        </w:tc>
        <w:tc>
          <w:tcPr>
            <w:tcW w:w="228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475419" w:rsidRPr="00535E30" w:rsidRDefault="00475419" w:rsidP="005678E7">
            <w:pPr>
              <w:spacing w:after="0" w:line="276" w:lineRule="auto"/>
              <w:rPr>
                <w:rFonts w:asciiTheme="minorHAnsi" w:hAnsiTheme="minorHAnsi" w:cs="Arial"/>
                <w:sz w:val="18"/>
                <w:szCs w:val="18"/>
              </w:rPr>
            </w:pPr>
            <w:r w:rsidRPr="00535E30">
              <w:rPr>
                <w:rFonts w:asciiTheme="minorHAnsi" w:hAnsiTheme="minorHAnsi" w:cs="Arial"/>
                <w:sz w:val="18"/>
                <w:szCs w:val="18"/>
                <w:lang w:val="es-CO"/>
              </w:rPr>
              <w:t xml:space="preserve">Alianza Universidad - empresa - estado para la transferencia del conocimiento para los sectores y tecnologías más promisorias de la Ecorregión </w:t>
            </w:r>
          </w:p>
        </w:tc>
        <w:tc>
          <w:tcPr>
            <w:tcW w:w="991" w:type="pct"/>
            <w:tcBorders>
              <w:top w:val="single" w:sz="4" w:space="0" w:color="000000"/>
              <w:left w:val="single" w:sz="4" w:space="0" w:color="000000"/>
              <w:bottom w:val="single" w:sz="4" w:space="0" w:color="000000"/>
              <w:right w:val="single" w:sz="4" w:space="0" w:color="000000"/>
            </w:tcBorders>
            <w:shd w:val="clear" w:color="auto" w:fill="C2D69B" w:themeFill="accent3" w:themeFillTint="99"/>
            <w:tcMar>
              <w:top w:w="15" w:type="dxa"/>
              <w:left w:w="15" w:type="dxa"/>
              <w:bottom w:w="0" w:type="dxa"/>
              <w:right w:w="15" w:type="dxa"/>
            </w:tcMar>
            <w:vAlign w:val="center"/>
          </w:tcPr>
          <w:p w:rsidR="00475419" w:rsidRPr="00535E30" w:rsidRDefault="00475419" w:rsidP="005678E7">
            <w:pPr>
              <w:spacing w:after="0" w:line="276" w:lineRule="auto"/>
              <w:jc w:val="center"/>
              <w:rPr>
                <w:rFonts w:asciiTheme="minorHAnsi" w:hAnsiTheme="minorHAnsi" w:cs="Arial"/>
                <w:sz w:val="18"/>
                <w:szCs w:val="18"/>
              </w:rPr>
            </w:pPr>
            <w:r w:rsidRPr="00535E30">
              <w:rPr>
                <w:rFonts w:asciiTheme="minorHAnsi" w:hAnsiTheme="minorHAnsi" w:cs="Arial"/>
                <w:sz w:val="18"/>
                <w:szCs w:val="18"/>
              </w:rPr>
              <w:t>90,91%</w:t>
            </w:r>
          </w:p>
        </w:tc>
        <w:tc>
          <w:tcPr>
            <w:tcW w:w="1016" w:type="pct"/>
            <w:vMerge w:val="restart"/>
            <w:tcBorders>
              <w:top w:val="single" w:sz="4" w:space="0" w:color="000000"/>
              <w:left w:val="single" w:sz="4" w:space="0" w:color="000000"/>
              <w:bottom w:val="single" w:sz="4" w:space="0" w:color="000000"/>
              <w:right w:val="single" w:sz="4" w:space="0" w:color="000000"/>
            </w:tcBorders>
            <w:shd w:val="clear" w:color="auto" w:fill="C2D69B" w:themeFill="accent3" w:themeFillTint="99"/>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b/>
                <w:sz w:val="24"/>
                <w:szCs w:val="24"/>
              </w:rPr>
            </w:pPr>
            <w:r w:rsidRPr="00535E30">
              <w:rPr>
                <w:rFonts w:asciiTheme="minorHAnsi" w:hAnsiTheme="minorHAnsi" w:cs="Arial"/>
                <w:b/>
                <w:sz w:val="24"/>
                <w:szCs w:val="24"/>
                <w:lang w:val="es-CO"/>
              </w:rPr>
              <w:t>98,48%</w:t>
            </w:r>
          </w:p>
        </w:tc>
      </w:tr>
      <w:tr w:rsidR="00475419" w:rsidRPr="00535E30" w:rsidTr="005678E7">
        <w:trPr>
          <w:trHeight w:val="57"/>
          <w:jc w:val="center"/>
        </w:trPr>
        <w:tc>
          <w:tcPr>
            <w:tcW w:w="709" w:type="pct"/>
            <w:vMerge/>
            <w:tcBorders>
              <w:top w:val="single" w:sz="4" w:space="0" w:color="000000"/>
              <w:left w:val="single" w:sz="4" w:space="0" w:color="000000"/>
              <w:bottom w:val="single" w:sz="4" w:space="0" w:color="000000"/>
              <w:right w:val="single" w:sz="4" w:space="0" w:color="000000"/>
            </w:tcBorders>
            <w:vAlign w:val="center"/>
            <w:hideMark/>
          </w:tcPr>
          <w:p w:rsidR="00475419" w:rsidRPr="00535E30" w:rsidRDefault="00475419" w:rsidP="005678E7">
            <w:pPr>
              <w:spacing w:after="0" w:line="276" w:lineRule="auto"/>
              <w:rPr>
                <w:rFonts w:asciiTheme="minorHAnsi" w:hAnsiTheme="minorHAnsi" w:cs="Arial"/>
                <w:sz w:val="18"/>
                <w:szCs w:val="18"/>
              </w:rPr>
            </w:pPr>
          </w:p>
        </w:tc>
        <w:tc>
          <w:tcPr>
            <w:tcW w:w="228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475419" w:rsidRPr="00535E30" w:rsidRDefault="00475419" w:rsidP="005678E7">
            <w:pPr>
              <w:spacing w:after="0" w:line="276" w:lineRule="auto"/>
              <w:rPr>
                <w:rFonts w:asciiTheme="minorHAnsi" w:hAnsiTheme="minorHAnsi" w:cs="Arial"/>
                <w:sz w:val="18"/>
                <w:szCs w:val="18"/>
              </w:rPr>
            </w:pPr>
            <w:r w:rsidRPr="00535E30">
              <w:rPr>
                <w:rFonts w:asciiTheme="minorHAnsi" w:hAnsiTheme="minorHAnsi" w:cs="Arial"/>
                <w:sz w:val="18"/>
                <w:szCs w:val="18"/>
                <w:lang w:val="es-CO"/>
              </w:rPr>
              <w:t>Contribución a la consolidación de una red de observatorios para la Ecorregión</w:t>
            </w:r>
          </w:p>
        </w:tc>
        <w:tc>
          <w:tcPr>
            <w:tcW w:w="991" w:type="pct"/>
            <w:tcBorders>
              <w:top w:val="single" w:sz="4" w:space="0" w:color="000000"/>
              <w:left w:val="single" w:sz="4" w:space="0" w:color="000000"/>
              <w:bottom w:val="single" w:sz="4" w:space="0" w:color="000000"/>
              <w:right w:val="single" w:sz="4" w:space="0" w:color="000000"/>
            </w:tcBorders>
            <w:shd w:val="clear" w:color="auto" w:fill="C2D69B" w:themeFill="accent3" w:themeFillTint="99"/>
            <w:tcMar>
              <w:top w:w="15" w:type="dxa"/>
              <w:left w:w="15" w:type="dxa"/>
              <w:bottom w:w="0" w:type="dxa"/>
              <w:right w:w="15" w:type="dxa"/>
            </w:tcMar>
            <w:vAlign w:val="center"/>
          </w:tcPr>
          <w:p w:rsidR="00475419" w:rsidRPr="00535E30" w:rsidRDefault="00475419" w:rsidP="005678E7">
            <w:pPr>
              <w:spacing w:after="0" w:line="276" w:lineRule="auto"/>
              <w:jc w:val="center"/>
              <w:rPr>
                <w:rFonts w:asciiTheme="minorHAnsi" w:hAnsiTheme="minorHAnsi" w:cs="Arial"/>
                <w:sz w:val="18"/>
                <w:szCs w:val="18"/>
              </w:rPr>
            </w:pPr>
            <w:r w:rsidRPr="00535E30">
              <w:rPr>
                <w:rFonts w:asciiTheme="minorHAnsi" w:hAnsiTheme="minorHAnsi" w:cs="Arial"/>
                <w:sz w:val="18"/>
                <w:szCs w:val="18"/>
              </w:rPr>
              <w:t>100%</w:t>
            </w:r>
          </w:p>
        </w:tc>
        <w:tc>
          <w:tcPr>
            <w:tcW w:w="1016" w:type="pct"/>
            <w:vMerge/>
            <w:tcBorders>
              <w:top w:val="single" w:sz="4" w:space="0" w:color="000000"/>
              <w:left w:val="single" w:sz="4" w:space="0" w:color="000000"/>
              <w:bottom w:val="single" w:sz="4" w:space="0" w:color="000000"/>
              <w:right w:val="single" w:sz="4" w:space="0" w:color="000000"/>
            </w:tcBorders>
            <w:shd w:val="clear" w:color="auto" w:fill="C2D69B" w:themeFill="accent3" w:themeFillTint="99"/>
            <w:vAlign w:val="center"/>
            <w:hideMark/>
          </w:tcPr>
          <w:p w:rsidR="00475419" w:rsidRPr="00535E30" w:rsidRDefault="00475419" w:rsidP="005678E7">
            <w:pPr>
              <w:spacing w:after="0" w:line="276" w:lineRule="auto"/>
              <w:jc w:val="center"/>
              <w:rPr>
                <w:rFonts w:asciiTheme="minorHAnsi" w:hAnsiTheme="minorHAnsi" w:cs="Arial"/>
                <w:sz w:val="18"/>
                <w:szCs w:val="18"/>
              </w:rPr>
            </w:pPr>
          </w:p>
        </w:tc>
      </w:tr>
      <w:tr w:rsidR="00475419" w:rsidRPr="00535E30" w:rsidTr="005678E7">
        <w:trPr>
          <w:trHeight w:val="57"/>
          <w:jc w:val="center"/>
        </w:trPr>
        <w:tc>
          <w:tcPr>
            <w:tcW w:w="709" w:type="pct"/>
            <w:vMerge/>
            <w:tcBorders>
              <w:top w:val="single" w:sz="4" w:space="0" w:color="000000"/>
              <w:left w:val="single" w:sz="4" w:space="0" w:color="000000"/>
              <w:bottom w:val="single" w:sz="4" w:space="0" w:color="000000"/>
              <w:right w:val="single" w:sz="4" w:space="0" w:color="000000"/>
            </w:tcBorders>
            <w:vAlign w:val="center"/>
            <w:hideMark/>
          </w:tcPr>
          <w:p w:rsidR="00475419" w:rsidRPr="00535E30" w:rsidRDefault="00475419" w:rsidP="005678E7">
            <w:pPr>
              <w:spacing w:after="0" w:line="276" w:lineRule="auto"/>
              <w:rPr>
                <w:rFonts w:asciiTheme="minorHAnsi" w:hAnsiTheme="minorHAnsi" w:cs="Arial"/>
                <w:sz w:val="18"/>
                <w:szCs w:val="18"/>
              </w:rPr>
            </w:pPr>
          </w:p>
        </w:tc>
        <w:tc>
          <w:tcPr>
            <w:tcW w:w="228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475419" w:rsidRPr="00535E30" w:rsidRDefault="00475419" w:rsidP="005678E7">
            <w:pPr>
              <w:spacing w:after="0" w:line="276" w:lineRule="auto"/>
              <w:rPr>
                <w:rFonts w:asciiTheme="minorHAnsi" w:hAnsiTheme="minorHAnsi" w:cs="Arial"/>
                <w:sz w:val="18"/>
                <w:szCs w:val="18"/>
              </w:rPr>
            </w:pPr>
            <w:r w:rsidRPr="00535E30">
              <w:rPr>
                <w:rFonts w:asciiTheme="minorHAnsi" w:hAnsiTheme="minorHAnsi" w:cs="Arial"/>
                <w:sz w:val="18"/>
                <w:szCs w:val="18"/>
                <w:lang w:val="es-CO"/>
              </w:rPr>
              <w:t xml:space="preserve">Sistema universitario para la formulación y gestión </w:t>
            </w:r>
            <w:r w:rsidRPr="00535E30">
              <w:rPr>
                <w:rFonts w:asciiTheme="minorHAnsi" w:hAnsiTheme="minorHAnsi" w:cs="Arial"/>
                <w:sz w:val="18"/>
                <w:szCs w:val="18"/>
                <w:lang w:val="es-CO"/>
              </w:rPr>
              <w:lastRenderedPageBreak/>
              <w:t>de políticas públicas</w:t>
            </w:r>
          </w:p>
        </w:tc>
        <w:tc>
          <w:tcPr>
            <w:tcW w:w="991" w:type="pct"/>
            <w:tcBorders>
              <w:top w:val="single" w:sz="4" w:space="0" w:color="000000"/>
              <w:left w:val="single" w:sz="4" w:space="0" w:color="000000"/>
              <w:bottom w:val="single" w:sz="4" w:space="0" w:color="000000"/>
              <w:right w:val="single" w:sz="4" w:space="0" w:color="000000"/>
            </w:tcBorders>
            <w:shd w:val="clear" w:color="auto" w:fill="C2D69B" w:themeFill="accent3" w:themeFillTint="99"/>
            <w:tcMar>
              <w:top w:w="15" w:type="dxa"/>
              <w:left w:w="15" w:type="dxa"/>
              <w:bottom w:w="0" w:type="dxa"/>
              <w:right w:w="15" w:type="dxa"/>
            </w:tcMar>
            <w:vAlign w:val="center"/>
          </w:tcPr>
          <w:p w:rsidR="00475419" w:rsidRPr="00535E30" w:rsidRDefault="00475419" w:rsidP="005678E7">
            <w:pPr>
              <w:spacing w:after="0" w:line="276" w:lineRule="auto"/>
              <w:jc w:val="center"/>
              <w:rPr>
                <w:rFonts w:asciiTheme="minorHAnsi" w:hAnsiTheme="minorHAnsi" w:cs="Arial"/>
                <w:sz w:val="18"/>
                <w:szCs w:val="18"/>
              </w:rPr>
            </w:pPr>
            <w:r w:rsidRPr="00535E30">
              <w:rPr>
                <w:rFonts w:asciiTheme="minorHAnsi" w:hAnsiTheme="minorHAnsi" w:cs="Arial"/>
                <w:sz w:val="18"/>
                <w:szCs w:val="18"/>
              </w:rPr>
              <w:lastRenderedPageBreak/>
              <w:t>100%</w:t>
            </w:r>
          </w:p>
        </w:tc>
        <w:tc>
          <w:tcPr>
            <w:tcW w:w="1016" w:type="pct"/>
            <w:vMerge/>
            <w:tcBorders>
              <w:top w:val="single" w:sz="4" w:space="0" w:color="000000"/>
              <w:left w:val="single" w:sz="4" w:space="0" w:color="000000"/>
              <w:bottom w:val="single" w:sz="4" w:space="0" w:color="000000"/>
              <w:right w:val="single" w:sz="4" w:space="0" w:color="000000"/>
            </w:tcBorders>
            <w:shd w:val="clear" w:color="auto" w:fill="C2D69B" w:themeFill="accent3" w:themeFillTint="99"/>
            <w:vAlign w:val="center"/>
            <w:hideMark/>
          </w:tcPr>
          <w:p w:rsidR="00475419" w:rsidRPr="00535E30" w:rsidRDefault="00475419" w:rsidP="005678E7">
            <w:pPr>
              <w:spacing w:after="0" w:line="276" w:lineRule="auto"/>
              <w:jc w:val="center"/>
              <w:rPr>
                <w:rFonts w:asciiTheme="minorHAnsi" w:hAnsiTheme="minorHAnsi" w:cs="Arial"/>
                <w:sz w:val="18"/>
                <w:szCs w:val="18"/>
              </w:rPr>
            </w:pPr>
          </w:p>
        </w:tc>
      </w:tr>
      <w:tr w:rsidR="00475419" w:rsidRPr="00535E30" w:rsidTr="005678E7">
        <w:trPr>
          <w:trHeight w:val="57"/>
          <w:jc w:val="center"/>
        </w:trPr>
        <w:tc>
          <w:tcPr>
            <w:tcW w:w="709" w:type="pct"/>
            <w:vMerge/>
            <w:tcBorders>
              <w:top w:val="single" w:sz="4" w:space="0" w:color="000000"/>
              <w:left w:val="single" w:sz="4" w:space="0" w:color="000000"/>
              <w:bottom w:val="single" w:sz="4" w:space="0" w:color="000000"/>
              <w:right w:val="single" w:sz="4" w:space="0" w:color="000000"/>
            </w:tcBorders>
            <w:vAlign w:val="center"/>
            <w:hideMark/>
          </w:tcPr>
          <w:p w:rsidR="00475419" w:rsidRPr="00535E30" w:rsidRDefault="00475419" w:rsidP="005678E7">
            <w:pPr>
              <w:spacing w:after="0" w:line="276" w:lineRule="auto"/>
              <w:rPr>
                <w:rFonts w:asciiTheme="minorHAnsi" w:hAnsiTheme="minorHAnsi" w:cs="Arial"/>
                <w:sz w:val="18"/>
                <w:szCs w:val="18"/>
              </w:rPr>
            </w:pPr>
          </w:p>
        </w:tc>
        <w:tc>
          <w:tcPr>
            <w:tcW w:w="228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475419" w:rsidRPr="00535E30" w:rsidRDefault="00475419" w:rsidP="005678E7">
            <w:pPr>
              <w:spacing w:after="0" w:line="276" w:lineRule="auto"/>
              <w:rPr>
                <w:rFonts w:asciiTheme="minorHAnsi" w:hAnsiTheme="minorHAnsi" w:cs="Arial"/>
                <w:sz w:val="18"/>
                <w:szCs w:val="18"/>
              </w:rPr>
            </w:pPr>
            <w:r w:rsidRPr="00535E30">
              <w:rPr>
                <w:rFonts w:asciiTheme="minorHAnsi" w:hAnsiTheme="minorHAnsi" w:cs="Arial"/>
                <w:sz w:val="18"/>
                <w:szCs w:val="18"/>
                <w:lang w:val="es-CO"/>
              </w:rPr>
              <w:t>Integración académica</w:t>
            </w:r>
          </w:p>
        </w:tc>
        <w:tc>
          <w:tcPr>
            <w:tcW w:w="991" w:type="pct"/>
            <w:tcBorders>
              <w:top w:val="single" w:sz="4" w:space="0" w:color="000000"/>
              <w:left w:val="single" w:sz="4" w:space="0" w:color="000000"/>
              <w:bottom w:val="single" w:sz="4" w:space="0" w:color="000000"/>
              <w:right w:val="single" w:sz="4" w:space="0" w:color="000000"/>
            </w:tcBorders>
            <w:shd w:val="clear" w:color="auto" w:fill="C2D69B" w:themeFill="accent3" w:themeFillTint="99"/>
            <w:tcMar>
              <w:top w:w="15" w:type="dxa"/>
              <w:left w:w="15" w:type="dxa"/>
              <w:bottom w:w="0" w:type="dxa"/>
              <w:right w:w="15" w:type="dxa"/>
            </w:tcMar>
            <w:vAlign w:val="center"/>
          </w:tcPr>
          <w:p w:rsidR="00475419" w:rsidRPr="00535E30" w:rsidRDefault="00475419" w:rsidP="005678E7">
            <w:pPr>
              <w:spacing w:after="0" w:line="276" w:lineRule="auto"/>
              <w:jc w:val="center"/>
              <w:rPr>
                <w:rFonts w:asciiTheme="minorHAnsi" w:hAnsiTheme="minorHAnsi" w:cs="Arial"/>
                <w:sz w:val="18"/>
                <w:szCs w:val="18"/>
              </w:rPr>
            </w:pPr>
            <w:r w:rsidRPr="00535E30">
              <w:rPr>
                <w:rFonts w:asciiTheme="minorHAnsi" w:hAnsiTheme="minorHAnsi" w:cs="Arial"/>
                <w:sz w:val="18"/>
                <w:szCs w:val="18"/>
              </w:rPr>
              <w:t>100%</w:t>
            </w:r>
          </w:p>
        </w:tc>
        <w:tc>
          <w:tcPr>
            <w:tcW w:w="1016" w:type="pct"/>
            <w:vMerge/>
            <w:tcBorders>
              <w:top w:val="single" w:sz="4" w:space="0" w:color="000000"/>
              <w:left w:val="single" w:sz="4" w:space="0" w:color="000000"/>
              <w:bottom w:val="single" w:sz="4" w:space="0" w:color="000000"/>
              <w:right w:val="single" w:sz="4" w:space="0" w:color="000000"/>
            </w:tcBorders>
            <w:shd w:val="clear" w:color="auto" w:fill="C2D69B" w:themeFill="accent3" w:themeFillTint="99"/>
            <w:vAlign w:val="center"/>
            <w:hideMark/>
          </w:tcPr>
          <w:p w:rsidR="00475419" w:rsidRPr="00535E30" w:rsidRDefault="00475419" w:rsidP="005678E7">
            <w:pPr>
              <w:spacing w:after="0" w:line="276" w:lineRule="auto"/>
              <w:jc w:val="center"/>
              <w:rPr>
                <w:rFonts w:asciiTheme="minorHAnsi" w:hAnsiTheme="minorHAnsi" w:cs="Arial"/>
                <w:sz w:val="18"/>
                <w:szCs w:val="18"/>
              </w:rPr>
            </w:pPr>
          </w:p>
        </w:tc>
      </w:tr>
      <w:tr w:rsidR="00475419" w:rsidRPr="00535E30" w:rsidTr="005678E7">
        <w:trPr>
          <w:trHeight w:val="57"/>
          <w:jc w:val="center"/>
        </w:trPr>
        <w:tc>
          <w:tcPr>
            <w:tcW w:w="709" w:type="pct"/>
            <w:vMerge/>
            <w:tcBorders>
              <w:top w:val="single" w:sz="4" w:space="0" w:color="000000"/>
              <w:left w:val="single" w:sz="4" w:space="0" w:color="000000"/>
              <w:bottom w:val="single" w:sz="4" w:space="0" w:color="000000"/>
              <w:right w:val="single" w:sz="4" w:space="0" w:color="000000"/>
            </w:tcBorders>
            <w:vAlign w:val="center"/>
            <w:hideMark/>
          </w:tcPr>
          <w:p w:rsidR="00475419" w:rsidRPr="00535E30" w:rsidRDefault="00475419" w:rsidP="005678E7">
            <w:pPr>
              <w:spacing w:after="0" w:line="276" w:lineRule="auto"/>
              <w:rPr>
                <w:rFonts w:asciiTheme="minorHAnsi" w:hAnsiTheme="minorHAnsi" w:cs="Arial"/>
                <w:sz w:val="18"/>
                <w:szCs w:val="18"/>
              </w:rPr>
            </w:pPr>
          </w:p>
        </w:tc>
        <w:tc>
          <w:tcPr>
            <w:tcW w:w="228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475419" w:rsidRPr="00535E30" w:rsidRDefault="00475419" w:rsidP="005678E7">
            <w:pPr>
              <w:spacing w:after="0" w:line="276" w:lineRule="auto"/>
              <w:rPr>
                <w:rFonts w:asciiTheme="minorHAnsi" w:hAnsiTheme="minorHAnsi" w:cs="Arial"/>
                <w:sz w:val="18"/>
                <w:szCs w:val="18"/>
              </w:rPr>
            </w:pPr>
            <w:r w:rsidRPr="00535E30">
              <w:rPr>
                <w:rFonts w:asciiTheme="minorHAnsi" w:hAnsiTheme="minorHAnsi" w:cs="Arial"/>
                <w:sz w:val="18"/>
                <w:szCs w:val="18"/>
                <w:lang w:val="es-CO"/>
              </w:rPr>
              <w:t>Aporte de la UTP al proyecto de paisaje cultural cafetero</w:t>
            </w:r>
          </w:p>
        </w:tc>
        <w:tc>
          <w:tcPr>
            <w:tcW w:w="991" w:type="pct"/>
            <w:tcBorders>
              <w:top w:val="single" w:sz="4" w:space="0" w:color="000000"/>
              <w:left w:val="single" w:sz="4" w:space="0" w:color="000000"/>
              <w:bottom w:val="single" w:sz="4" w:space="0" w:color="000000"/>
              <w:right w:val="single" w:sz="4" w:space="0" w:color="000000"/>
            </w:tcBorders>
            <w:shd w:val="clear" w:color="auto" w:fill="C2D69B" w:themeFill="accent3" w:themeFillTint="99"/>
            <w:tcMar>
              <w:top w:w="15" w:type="dxa"/>
              <w:left w:w="15" w:type="dxa"/>
              <w:bottom w:w="0" w:type="dxa"/>
              <w:right w:w="15" w:type="dxa"/>
            </w:tcMar>
            <w:vAlign w:val="center"/>
          </w:tcPr>
          <w:p w:rsidR="00475419" w:rsidRPr="00535E30" w:rsidRDefault="00475419" w:rsidP="005678E7">
            <w:pPr>
              <w:spacing w:after="0" w:line="276" w:lineRule="auto"/>
              <w:jc w:val="center"/>
              <w:rPr>
                <w:rFonts w:asciiTheme="minorHAnsi" w:hAnsiTheme="minorHAnsi" w:cs="Arial"/>
                <w:sz w:val="18"/>
                <w:szCs w:val="18"/>
              </w:rPr>
            </w:pPr>
            <w:r w:rsidRPr="00535E30">
              <w:rPr>
                <w:rFonts w:asciiTheme="minorHAnsi" w:hAnsiTheme="minorHAnsi" w:cs="Arial"/>
                <w:sz w:val="18"/>
                <w:szCs w:val="18"/>
              </w:rPr>
              <w:t>100%</w:t>
            </w:r>
          </w:p>
        </w:tc>
        <w:tc>
          <w:tcPr>
            <w:tcW w:w="1016" w:type="pct"/>
            <w:vMerge/>
            <w:tcBorders>
              <w:top w:val="single" w:sz="4" w:space="0" w:color="000000"/>
              <w:left w:val="single" w:sz="4" w:space="0" w:color="000000"/>
              <w:bottom w:val="single" w:sz="4" w:space="0" w:color="000000"/>
              <w:right w:val="single" w:sz="4" w:space="0" w:color="000000"/>
            </w:tcBorders>
            <w:shd w:val="clear" w:color="auto" w:fill="C2D69B" w:themeFill="accent3" w:themeFillTint="99"/>
            <w:vAlign w:val="center"/>
            <w:hideMark/>
          </w:tcPr>
          <w:p w:rsidR="00475419" w:rsidRPr="00535E30" w:rsidRDefault="00475419" w:rsidP="005678E7">
            <w:pPr>
              <w:spacing w:after="0" w:line="276" w:lineRule="auto"/>
              <w:jc w:val="center"/>
              <w:rPr>
                <w:rFonts w:asciiTheme="minorHAnsi" w:hAnsiTheme="minorHAnsi" w:cs="Arial"/>
                <w:sz w:val="18"/>
                <w:szCs w:val="18"/>
              </w:rPr>
            </w:pPr>
          </w:p>
        </w:tc>
      </w:tr>
      <w:tr w:rsidR="00475419" w:rsidRPr="00535E30" w:rsidTr="005678E7">
        <w:trPr>
          <w:trHeight w:val="57"/>
          <w:jc w:val="center"/>
        </w:trPr>
        <w:tc>
          <w:tcPr>
            <w:tcW w:w="709" w:type="pct"/>
            <w:vMerge/>
            <w:tcBorders>
              <w:top w:val="single" w:sz="4" w:space="0" w:color="000000"/>
              <w:left w:val="single" w:sz="4" w:space="0" w:color="000000"/>
              <w:bottom w:val="single" w:sz="4" w:space="0" w:color="000000"/>
              <w:right w:val="single" w:sz="4" w:space="0" w:color="000000"/>
            </w:tcBorders>
            <w:vAlign w:val="center"/>
            <w:hideMark/>
          </w:tcPr>
          <w:p w:rsidR="00475419" w:rsidRPr="00535E30" w:rsidRDefault="00475419" w:rsidP="005678E7">
            <w:pPr>
              <w:spacing w:after="0" w:line="276" w:lineRule="auto"/>
              <w:rPr>
                <w:rFonts w:asciiTheme="minorHAnsi" w:hAnsiTheme="minorHAnsi" w:cs="Arial"/>
                <w:sz w:val="18"/>
                <w:szCs w:val="18"/>
              </w:rPr>
            </w:pPr>
          </w:p>
        </w:tc>
        <w:tc>
          <w:tcPr>
            <w:tcW w:w="228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475419" w:rsidRPr="00535E30" w:rsidRDefault="00475419" w:rsidP="005678E7">
            <w:pPr>
              <w:spacing w:after="0" w:line="276" w:lineRule="auto"/>
              <w:rPr>
                <w:rFonts w:asciiTheme="minorHAnsi" w:hAnsiTheme="minorHAnsi" w:cs="Arial"/>
                <w:sz w:val="18"/>
                <w:szCs w:val="18"/>
              </w:rPr>
            </w:pPr>
            <w:r w:rsidRPr="00535E30">
              <w:rPr>
                <w:rFonts w:asciiTheme="minorHAnsi" w:hAnsiTheme="minorHAnsi" w:cs="Arial"/>
                <w:sz w:val="18"/>
                <w:szCs w:val="18"/>
                <w:lang w:val="es-CO"/>
              </w:rPr>
              <w:t>Plataforma natural del territorio como base para el desarrollo sostenible</w:t>
            </w:r>
          </w:p>
        </w:tc>
        <w:tc>
          <w:tcPr>
            <w:tcW w:w="991" w:type="pct"/>
            <w:tcBorders>
              <w:top w:val="single" w:sz="4" w:space="0" w:color="000000"/>
              <w:left w:val="single" w:sz="4" w:space="0" w:color="000000"/>
              <w:bottom w:val="single" w:sz="4" w:space="0" w:color="000000"/>
              <w:right w:val="single" w:sz="4" w:space="0" w:color="000000"/>
            </w:tcBorders>
            <w:shd w:val="clear" w:color="auto" w:fill="C2D69B" w:themeFill="accent3" w:themeFillTint="99"/>
            <w:tcMar>
              <w:top w:w="15" w:type="dxa"/>
              <w:left w:w="15" w:type="dxa"/>
              <w:bottom w:w="0" w:type="dxa"/>
              <w:right w:w="15" w:type="dxa"/>
            </w:tcMar>
            <w:vAlign w:val="center"/>
          </w:tcPr>
          <w:p w:rsidR="00475419" w:rsidRPr="00535E30" w:rsidRDefault="00475419" w:rsidP="005678E7">
            <w:pPr>
              <w:spacing w:after="0" w:line="276" w:lineRule="auto"/>
              <w:jc w:val="center"/>
              <w:rPr>
                <w:rFonts w:asciiTheme="minorHAnsi" w:hAnsiTheme="minorHAnsi" w:cs="Arial"/>
                <w:sz w:val="18"/>
                <w:szCs w:val="18"/>
              </w:rPr>
            </w:pPr>
            <w:r w:rsidRPr="00535E30">
              <w:rPr>
                <w:rFonts w:asciiTheme="minorHAnsi" w:hAnsiTheme="minorHAnsi" w:cs="Arial"/>
                <w:sz w:val="18"/>
                <w:szCs w:val="18"/>
              </w:rPr>
              <w:t>100%</w:t>
            </w:r>
          </w:p>
        </w:tc>
        <w:tc>
          <w:tcPr>
            <w:tcW w:w="1016" w:type="pct"/>
            <w:vMerge/>
            <w:tcBorders>
              <w:top w:val="single" w:sz="4" w:space="0" w:color="000000"/>
              <w:left w:val="single" w:sz="4" w:space="0" w:color="000000"/>
              <w:bottom w:val="single" w:sz="4" w:space="0" w:color="000000"/>
              <w:right w:val="single" w:sz="4" w:space="0" w:color="000000"/>
            </w:tcBorders>
            <w:shd w:val="clear" w:color="auto" w:fill="C2D69B" w:themeFill="accent3" w:themeFillTint="99"/>
            <w:vAlign w:val="center"/>
            <w:hideMark/>
          </w:tcPr>
          <w:p w:rsidR="00475419" w:rsidRPr="00535E30" w:rsidRDefault="00475419" w:rsidP="005678E7">
            <w:pPr>
              <w:spacing w:after="0" w:line="276" w:lineRule="auto"/>
              <w:jc w:val="center"/>
              <w:rPr>
                <w:rFonts w:asciiTheme="minorHAnsi" w:hAnsiTheme="minorHAnsi" w:cs="Arial"/>
                <w:sz w:val="18"/>
                <w:szCs w:val="18"/>
              </w:rPr>
            </w:pPr>
          </w:p>
        </w:tc>
      </w:tr>
    </w:tbl>
    <w:p w:rsidR="00475419" w:rsidRPr="00535E30" w:rsidRDefault="00475419" w:rsidP="00475419">
      <w:pPr>
        <w:spacing w:after="0" w:line="276" w:lineRule="auto"/>
        <w:rPr>
          <w:rFonts w:asciiTheme="minorHAnsi" w:hAnsiTheme="minorHAnsi" w:cs="Arial"/>
          <w:color w:val="000000"/>
          <w:lang w:val="es-CO"/>
        </w:rPr>
      </w:pP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color w:val="000000"/>
          <w:lang w:val="es-CO"/>
        </w:rPr>
        <w:t>El desempeño final de los planes operativos se presenta a continuación:</w:t>
      </w:r>
    </w:p>
    <w:p w:rsidR="00475419" w:rsidRPr="00535E30" w:rsidRDefault="00475419" w:rsidP="00475419">
      <w:pPr>
        <w:spacing w:line="276" w:lineRule="auto"/>
        <w:rPr>
          <w:rFonts w:asciiTheme="minorHAnsi" w:hAnsiTheme="minorHAnsi" w:cs="Arial"/>
          <w:lang w:val="es-CO"/>
        </w:rPr>
      </w:pPr>
    </w:p>
    <w:tbl>
      <w:tblPr>
        <w:tblW w:w="5554" w:type="pct"/>
        <w:tblInd w:w="-356" w:type="dxa"/>
        <w:tblCellMar>
          <w:left w:w="70" w:type="dxa"/>
          <w:right w:w="70" w:type="dxa"/>
        </w:tblCellMar>
        <w:tblLook w:val="04A0" w:firstRow="1" w:lastRow="0" w:firstColumn="1" w:lastColumn="0" w:noHBand="0" w:noVBand="1"/>
      </w:tblPr>
      <w:tblGrid>
        <w:gridCol w:w="2412"/>
        <w:gridCol w:w="2268"/>
        <w:gridCol w:w="2409"/>
        <w:gridCol w:w="708"/>
        <w:gridCol w:w="993"/>
        <w:gridCol w:w="1183"/>
      </w:tblGrid>
      <w:tr w:rsidR="00475419" w:rsidRPr="00535E30" w:rsidTr="005678E7">
        <w:trPr>
          <w:trHeight w:val="406"/>
        </w:trPr>
        <w:tc>
          <w:tcPr>
            <w:tcW w:w="1209" w:type="pct"/>
            <w:tcBorders>
              <w:top w:val="single" w:sz="4" w:space="0" w:color="auto"/>
              <w:left w:val="single" w:sz="4" w:space="0" w:color="auto"/>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theme="minorHAnsi"/>
                <w:b/>
                <w:bCs/>
                <w:color w:val="000000"/>
                <w:sz w:val="18"/>
                <w:szCs w:val="18"/>
                <w:lang w:val="es-CO" w:eastAsia="es-CO"/>
              </w:rPr>
            </w:pPr>
            <w:r w:rsidRPr="00535E30">
              <w:rPr>
                <w:rFonts w:asciiTheme="minorHAnsi" w:eastAsia="Times New Roman" w:hAnsiTheme="minorHAnsi" w:cstheme="minorHAnsi"/>
                <w:b/>
                <w:bCs/>
                <w:color w:val="000000"/>
                <w:sz w:val="18"/>
                <w:szCs w:val="18"/>
                <w:lang w:val="es-CO" w:eastAsia="es-CO"/>
              </w:rPr>
              <w:t>Proyecto</w:t>
            </w:r>
          </w:p>
        </w:tc>
        <w:tc>
          <w:tcPr>
            <w:tcW w:w="1137" w:type="pct"/>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theme="minorHAnsi"/>
                <w:b/>
                <w:bCs/>
                <w:color w:val="000000"/>
                <w:sz w:val="18"/>
                <w:szCs w:val="18"/>
                <w:lang w:val="es-CO" w:eastAsia="es-CO"/>
              </w:rPr>
            </w:pPr>
            <w:r w:rsidRPr="00535E30">
              <w:rPr>
                <w:rFonts w:asciiTheme="minorHAnsi" w:eastAsia="Times New Roman" w:hAnsiTheme="minorHAnsi" w:cstheme="minorHAnsi"/>
                <w:b/>
                <w:bCs/>
                <w:color w:val="000000"/>
                <w:sz w:val="18"/>
                <w:szCs w:val="18"/>
                <w:lang w:val="es-CO" w:eastAsia="es-CO"/>
              </w:rPr>
              <w:t>Plan Operativo</w:t>
            </w:r>
          </w:p>
        </w:tc>
        <w:tc>
          <w:tcPr>
            <w:tcW w:w="1208" w:type="pct"/>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theme="minorHAnsi"/>
                <w:b/>
                <w:bCs/>
                <w:color w:val="000000"/>
                <w:sz w:val="18"/>
                <w:szCs w:val="18"/>
                <w:lang w:val="es-CO" w:eastAsia="es-CO"/>
              </w:rPr>
            </w:pPr>
            <w:r w:rsidRPr="00535E30">
              <w:rPr>
                <w:rFonts w:asciiTheme="minorHAnsi" w:eastAsia="Times New Roman" w:hAnsiTheme="minorHAnsi" w:cstheme="minorHAnsi"/>
                <w:b/>
                <w:bCs/>
                <w:color w:val="000000"/>
                <w:sz w:val="18"/>
                <w:szCs w:val="18"/>
                <w:lang w:val="es-CO" w:eastAsia="es-CO"/>
              </w:rPr>
              <w:t>Indicadores</w:t>
            </w:r>
          </w:p>
        </w:tc>
        <w:tc>
          <w:tcPr>
            <w:tcW w:w="355" w:type="pct"/>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theme="minorHAnsi"/>
                <w:b/>
                <w:bCs/>
                <w:color w:val="000000"/>
                <w:sz w:val="18"/>
                <w:szCs w:val="18"/>
                <w:lang w:val="es-CO" w:eastAsia="es-CO"/>
              </w:rPr>
            </w:pPr>
            <w:r w:rsidRPr="00535E30">
              <w:rPr>
                <w:rFonts w:asciiTheme="minorHAnsi" w:eastAsia="Times New Roman" w:hAnsiTheme="minorHAnsi" w:cstheme="minorHAnsi"/>
                <w:b/>
                <w:bCs/>
                <w:color w:val="000000"/>
                <w:sz w:val="18"/>
                <w:szCs w:val="18"/>
                <w:lang w:val="es-CO" w:eastAsia="es-CO"/>
              </w:rPr>
              <w:t>Meta</w:t>
            </w:r>
          </w:p>
        </w:tc>
        <w:tc>
          <w:tcPr>
            <w:tcW w:w="498" w:type="pct"/>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theme="minorHAnsi"/>
                <w:b/>
                <w:bCs/>
                <w:color w:val="000000"/>
                <w:sz w:val="18"/>
                <w:szCs w:val="18"/>
                <w:lang w:val="es-CO" w:eastAsia="es-CO"/>
              </w:rPr>
            </w:pPr>
            <w:r w:rsidRPr="00535E30">
              <w:rPr>
                <w:rFonts w:asciiTheme="minorHAnsi" w:eastAsia="Times New Roman" w:hAnsiTheme="minorHAnsi" w:cstheme="minorHAnsi"/>
                <w:b/>
                <w:bCs/>
                <w:color w:val="000000"/>
                <w:sz w:val="18"/>
                <w:szCs w:val="18"/>
                <w:lang w:val="es-CO" w:eastAsia="es-CO"/>
              </w:rPr>
              <w:t>Avance</w:t>
            </w:r>
          </w:p>
        </w:tc>
        <w:tc>
          <w:tcPr>
            <w:tcW w:w="593" w:type="pct"/>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theme="minorHAnsi"/>
                <w:b/>
                <w:bCs/>
                <w:color w:val="000000"/>
                <w:sz w:val="18"/>
                <w:szCs w:val="18"/>
                <w:lang w:val="es-CO" w:eastAsia="es-CO"/>
              </w:rPr>
            </w:pPr>
            <w:r w:rsidRPr="00535E30">
              <w:rPr>
                <w:rFonts w:asciiTheme="minorHAnsi" w:eastAsia="Times New Roman" w:hAnsiTheme="minorHAnsi" w:cstheme="minorHAnsi"/>
                <w:b/>
                <w:bCs/>
                <w:color w:val="000000"/>
                <w:sz w:val="18"/>
                <w:szCs w:val="18"/>
                <w:lang w:val="es-CO" w:eastAsia="es-CO"/>
              </w:rPr>
              <w:t>% cumplimiento</w:t>
            </w:r>
          </w:p>
        </w:tc>
      </w:tr>
      <w:tr w:rsidR="00475419" w:rsidRPr="00535E30" w:rsidTr="005678E7">
        <w:trPr>
          <w:trHeight w:val="1320"/>
        </w:trPr>
        <w:tc>
          <w:tcPr>
            <w:tcW w:w="1209" w:type="pct"/>
            <w:tcBorders>
              <w:top w:val="nil"/>
              <w:left w:val="single" w:sz="4" w:space="0" w:color="auto"/>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Alianza Universidad - empresa - estado para la transferencia del conocimiento para los sectores y tecnologías más promisorias de la Ecorregión</w:t>
            </w:r>
          </w:p>
        </w:tc>
        <w:tc>
          <w:tcPr>
            <w:tcW w:w="1137"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Alianza Universidad - empresa - estado para la transferencia del conocimiento para los sectores y tecnologías más promisorias de la Ecorregión</w:t>
            </w:r>
          </w:p>
        </w:tc>
        <w:tc>
          <w:tcPr>
            <w:tcW w:w="120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Acciones que contribuyan a la transferencia de conocimiento en alianza Universidad - Empresa – Estado</w:t>
            </w:r>
          </w:p>
        </w:tc>
        <w:tc>
          <w:tcPr>
            <w:tcW w:w="35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22</w:t>
            </w:r>
          </w:p>
        </w:tc>
        <w:tc>
          <w:tcPr>
            <w:tcW w:w="49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20</w:t>
            </w:r>
          </w:p>
        </w:tc>
        <w:tc>
          <w:tcPr>
            <w:tcW w:w="593" w:type="pct"/>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90,91%</w:t>
            </w:r>
          </w:p>
        </w:tc>
      </w:tr>
      <w:tr w:rsidR="00475419" w:rsidRPr="00535E30" w:rsidTr="005678E7">
        <w:trPr>
          <w:trHeight w:val="102"/>
        </w:trPr>
        <w:tc>
          <w:tcPr>
            <w:tcW w:w="1209" w:type="pct"/>
            <w:vMerge w:val="restart"/>
            <w:tcBorders>
              <w:top w:val="nil"/>
              <w:left w:val="single" w:sz="4" w:space="0" w:color="auto"/>
              <w:bottom w:val="single" w:sz="4" w:space="0" w:color="000000"/>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Contribución a la consolidación de una red de observatorios para la Ecorregión</w:t>
            </w:r>
          </w:p>
        </w:tc>
        <w:tc>
          <w:tcPr>
            <w:tcW w:w="1137" w:type="pct"/>
            <w:vMerge w:val="restart"/>
            <w:tcBorders>
              <w:top w:val="nil"/>
              <w:left w:val="single" w:sz="4" w:space="0" w:color="auto"/>
              <w:bottom w:val="single" w:sz="4" w:space="0" w:color="000000"/>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Contribución a la consolidación de una red de observatorios para la Ecorregión</w:t>
            </w:r>
          </w:p>
        </w:tc>
        <w:tc>
          <w:tcPr>
            <w:tcW w:w="120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No. de Observatorios en los cuales participa la UTP</w:t>
            </w:r>
          </w:p>
        </w:tc>
        <w:tc>
          <w:tcPr>
            <w:tcW w:w="355" w:type="pct"/>
            <w:tcBorders>
              <w:top w:val="nil"/>
              <w:left w:val="nil"/>
              <w:bottom w:val="single" w:sz="4" w:space="0" w:color="auto"/>
              <w:right w:val="single" w:sz="4" w:space="0" w:color="auto"/>
            </w:tcBorders>
            <w:shd w:val="clear" w:color="auto" w:fill="auto"/>
            <w:noWrap/>
            <w:vAlign w:val="bottom"/>
            <w:hideMark/>
          </w:tcPr>
          <w:p w:rsidR="00475419" w:rsidRPr="00535E30" w:rsidRDefault="00475419" w:rsidP="005678E7">
            <w:pPr>
              <w:spacing w:after="0" w:line="276" w:lineRule="auto"/>
              <w:jc w:val="center"/>
              <w:rPr>
                <w:rFonts w:asciiTheme="minorHAnsi" w:eastAsia="Times New Roman" w:hAnsiTheme="minorHAnsi" w:cstheme="minorHAnsi"/>
                <w:color w:val="000000"/>
                <w:sz w:val="18"/>
                <w:szCs w:val="18"/>
                <w:lang w:val="es-CO" w:eastAsia="es-CO"/>
              </w:rPr>
            </w:pPr>
            <w:r w:rsidRPr="00535E30">
              <w:rPr>
                <w:rFonts w:asciiTheme="minorHAnsi" w:eastAsia="Times New Roman" w:hAnsiTheme="minorHAnsi" w:cstheme="minorHAnsi"/>
                <w:color w:val="000000"/>
                <w:sz w:val="18"/>
                <w:szCs w:val="18"/>
                <w:lang w:val="es-CO" w:eastAsia="es-CO"/>
              </w:rPr>
              <w:t>8</w:t>
            </w:r>
          </w:p>
        </w:tc>
        <w:tc>
          <w:tcPr>
            <w:tcW w:w="498" w:type="pct"/>
            <w:tcBorders>
              <w:top w:val="nil"/>
              <w:left w:val="nil"/>
              <w:bottom w:val="single" w:sz="4" w:space="0" w:color="auto"/>
              <w:right w:val="single" w:sz="4" w:space="0" w:color="auto"/>
            </w:tcBorders>
            <w:shd w:val="clear" w:color="auto" w:fill="auto"/>
            <w:noWrap/>
            <w:vAlign w:val="bottom"/>
            <w:hideMark/>
          </w:tcPr>
          <w:p w:rsidR="00475419" w:rsidRPr="00535E30" w:rsidRDefault="00475419" w:rsidP="005678E7">
            <w:pPr>
              <w:spacing w:after="0" w:line="276" w:lineRule="auto"/>
              <w:jc w:val="center"/>
              <w:rPr>
                <w:rFonts w:asciiTheme="minorHAnsi" w:eastAsia="Times New Roman" w:hAnsiTheme="minorHAnsi" w:cstheme="minorHAnsi"/>
                <w:color w:val="000000"/>
                <w:sz w:val="18"/>
                <w:szCs w:val="18"/>
                <w:lang w:val="es-CO" w:eastAsia="es-CO"/>
              </w:rPr>
            </w:pPr>
            <w:r w:rsidRPr="00535E30">
              <w:rPr>
                <w:rFonts w:asciiTheme="minorHAnsi" w:eastAsia="Times New Roman" w:hAnsiTheme="minorHAnsi" w:cstheme="minorHAnsi"/>
                <w:color w:val="000000"/>
                <w:sz w:val="18"/>
                <w:szCs w:val="18"/>
                <w:lang w:val="es-CO" w:eastAsia="es-CO"/>
              </w:rPr>
              <w:t>8</w:t>
            </w:r>
          </w:p>
        </w:tc>
        <w:tc>
          <w:tcPr>
            <w:tcW w:w="593" w:type="pct"/>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r w:rsidR="00475419" w:rsidRPr="00535E30" w:rsidTr="005678E7">
        <w:trPr>
          <w:trHeight w:val="133"/>
        </w:trPr>
        <w:tc>
          <w:tcPr>
            <w:tcW w:w="1209" w:type="pct"/>
            <w:vMerge/>
            <w:tcBorders>
              <w:top w:val="nil"/>
              <w:left w:val="single" w:sz="4" w:space="0" w:color="auto"/>
              <w:bottom w:val="single" w:sz="4" w:space="0" w:color="000000"/>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137" w:type="pct"/>
            <w:vMerge/>
            <w:tcBorders>
              <w:top w:val="nil"/>
              <w:left w:val="single" w:sz="4" w:space="0" w:color="auto"/>
              <w:bottom w:val="single" w:sz="4" w:space="0" w:color="000000"/>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20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No de observatorios que vinculan información producida al SIR</w:t>
            </w:r>
          </w:p>
        </w:tc>
        <w:tc>
          <w:tcPr>
            <w:tcW w:w="355" w:type="pct"/>
            <w:tcBorders>
              <w:top w:val="nil"/>
              <w:left w:val="nil"/>
              <w:bottom w:val="single" w:sz="4" w:space="0" w:color="auto"/>
              <w:right w:val="single" w:sz="4" w:space="0" w:color="auto"/>
            </w:tcBorders>
            <w:shd w:val="clear" w:color="auto" w:fill="auto"/>
            <w:vAlign w:val="bottom"/>
            <w:hideMark/>
          </w:tcPr>
          <w:p w:rsidR="00475419" w:rsidRPr="00535E30" w:rsidRDefault="00475419" w:rsidP="005678E7">
            <w:pPr>
              <w:spacing w:after="0" w:line="276" w:lineRule="auto"/>
              <w:jc w:val="center"/>
              <w:rPr>
                <w:rFonts w:asciiTheme="minorHAnsi" w:eastAsia="Times New Roman" w:hAnsiTheme="minorHAnsi" w:cstheme="minorHAnsi"/>
                <w:color w:val="000000"/>
                <w:sz w:val="18"/>
                <w:szCs w:val="18"/>
                <w:lang w:val="es-CO" w:eastAsia="es-CO"/>
              </w:rPr>
            </w:pPr>
            <w:r w:rsidRPr="00535E30">
              <w:rPr>
                <w:rFonts w:asciiTheme="minorHAnsi" w:eastAsia="Times New Roman" w:hAnsiTheme="minorHAnsi" w:cstheme="minorHAnsi"/>
                <w:color w:val="000000"/>
                <w:sz w:val="18"/>
                <w:szCs w:val="18"/>
                <w:lang w:val="es-CO" w:eastAsia="es-CO"/>
              </w:rPr>
              <w:t>4</w:t>
            </w:r>
          </w:p>
        </w:tc>
        <w:tc>
          <w:tcPr>
            <w:tcW w:w="498" w:type="pct"/>
            <w:tcBorders>
              <w:top w:val="nil"/>
              <w:left w:val="nil"/>
              <w:bottom w:val="single" w:sz="4" w:space="0" w:color="auto"/>
              <w:right w:val="single" w:sz="4" w:space="0" w:color="auto"/>
            </w:tcBorders>
            <w:shd w:val="clear" w:color="auto" w:fill="auto"/>
            <w:vAlign w:val="bottom"/>
            <w:hideMark/>
          </w:tcPr>
          <w:p w:rsidR="00475419" w:rsidRPr="00535E30" w:rsidRDefault="00475419" w:rsidP="005678E7">
            <w:pPr>
              <w:spacing w:after="0" w:line="276" w:lineRule="auto"/>
              <w:jc w:val="center"/>
              <w:rPr>
                <w:rFonts w:asciiTheme="minorHAnsi" w:eastAsia="Times New Roman" w:hAnsiTheme="minorHAnsi" w:cstheme="minorHAnsi"/>
                <w:color w:val="000000"/>
                <w:sz w:val="18"/>
                <w:szCs w:val="18"/>
                <w:lang w:val="es-CO" w:eastAsia="es-CO"/>
              </w:rPr>
            </w:pPr>
            <w:r w:rsidRPr="00535E30">
              <w:rPr>
                <w:rFonts w:asciiTheme="minorHAnsi" w:eastAsia="Times New Roman" w:hAnsiTheme="minorHAnsi" w:cstheme="minorHAnsi"/>
                <w:color w:val="000000"/>
                <w:sz w:val="18"/>
                <w:szCs w:val="18"/>
                <w:lang w:val="es-CO" w:eastAsia="es-CO"/>
              </w:rPr>
              <w:t>4</w:t>
            </w:r>
          </w:p>
        </w:tc>
        <w:tc>
          <w:tcPr>
            <w:tcW w:w="593" w:type="pct"/>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r w:rsidR="00475419" w:rsidRPr="00535E30" w:rsidTr="005678E7">
        <w:trPr>
          <w:trHeight w:val="765"/>
        </w:trPr>
        <w:tc>
          <w:tcPr>
            <w:tcW w:w="1209" w:type="pct"/>
            <w:tcBorders>
              <w:top w:val="nil"/>
              <w:left w:val="single" w:sz="4" w:space="0" w:color="auto"/>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Sistema universitario para la formulación y gestión de políticas públicas</w:t>
            </w:r>
          </w:p>
        </w:tc>
        <w:tc>
          <w:tcPr>
            <w:tcW w:w="1137"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Sistema universitario para la formulación y gestión de políticas públicas</w:t>
            </w:r>
          </w:p>
        </w:tc>
        <w:tc>
          <w:tcPr>
            <w:tcW w:w="120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Facultades de la UTP que participan en procesos de construcción y/o actualización de política pública</w:t>
            </w:r>
          </w:p>
        </w:tc>
        <w:tc>
          <w:tcPr>
            <w:tcW w:w="35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4</w:t>
            </w:r>
          </w:p>
        </w:tc>
        <w:tc>
          <w:tcPr>
            <w:tcW w:w="49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4</w:t>
            </w:r>
          </w:p>
        </w:tc>
        <w:tc>
          <w:tcPr>
            <w:tcW w:w="593" w:type="pct"/>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r w:rsidR="00475419" w:rsidRPr="00535E30" w:rsidTr="005678E7">
        <w:trPr>
          <w:trHeight w:val="510"/>
        </w:trPr>
        <w:tc>
          <w:tcPr>
            <w:tcW w:w="1209" w:type="pct"/>
            <w:vMerge w:val="restart"/>
            <w:tcBorders>
              <w:top w:val="nil"/>
              <w:left w:val="single" w:sz="4" w:space="0" w:color="auto"/>
              <w:bottom w:val="single" w:sz="4" w:space="0" w:color="000000"/>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Integración académica</w:t>
            </w:r>
          </w:p>
        </w:tc>
        <w:tc>
          <w:tcPr>
            <w:tcW w:w="1137" w:type="pct"/>
            <w:vMerge w:val="restart"/>
            <w:tcBorders>
              <w:top w:val="nil"/>
              <w:left w:val="single" w:sz="4" w:space="0" w:color="auto"/>
              <w:bottom w:val="single" w:sz="4" w:space="0" w:color="000000"/>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Integración académica</w:t>
            </w:r>
          </w:p>
        </w:tc>
        <w:tc>
          <w:tcPr>
            <w:tcW w:w="120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No de Programas de postgrado en red en los que participa la UTP</w:t>
            </w:r>
          </w:p>
        </w:tc>
        <w:tc>
          <w:tcPr>
            <w:tcW w:w="35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5</w:t>
            </w:r>
          </w:p>
        </w:tc>
        <w:tc>
          <w:tcPr>
            <w:tcW w:w="49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5</w:t>
            </w:r>
          </w:p>
        </w:tc>
        <w:tc>
          <w:tcPr>
            <w:tcW w:w="593" w:type="pct"/>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r w:rsidR="00475419" w:rsidRPr="00535E30" w:rsidTr="005678E7">
        <w:trPr>
          <w:trHeight w:val="510"/>
        </w:trPr>
        <w:tc>
          <w:tcPr>
            <w:tcW w:w="1209" w:type="pct"/>
            <w:vMerge/>
            <w:tcBorders>
              <w:top w:val="nil"/>
              <w:left w:val="single" w:sz="4" w:space="0" w:color="auto"/>
              <w:bottom w:val="single" w:sz="4" w:space="0" w:color="000000"/>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137" w:type="pct"/>
            <w:vMerge/>
            <w:tcBorders>
              <w:top w:val="nil"/>
              <w:left w:val="single" w:sz="4" w:space="0" w:color="auto"/>
              <w:bottom w:val="single" w:sz="4" w:space="0" w:color="000000"/>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20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 xml:space="preserve">Proyectos de investigación ejecutados  y en ejecución por medio de redes académicas regionales </w:t>
            </w:r>
          </w:p>
        </w:tc>
        <w:tc>
          <w:tcPr>
            <w:tcW w:w="35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3</w:t>
            </w:r>
          </w:p>
        </w:tc>
        <w:tc>
          <w:tcPr>
            <w:tcW w:w="49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3</w:t>
            </w:r>
          </w:p>
        </w:tc>
        <w:tc>
          <w:tcPr>
            <w:tcW w:w="593" w:type="pct"/>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r w:rsidR="00475419" w:rsidRPr="00535E30" w:rsidTr="005678E7">
        <w:trPr>
          <w:trHeight w:val="70"/>
        </w:trPr>
        <w:tc>
          <w:tcPr>
            <w:tcW w:w="1209" w:type="pct"/>
            <w:vMerge w:val="restart"/>
            <w:tcBorders>
              <w:top w:val="nil"/>
              <w:left w:val="single" w:sz="4" w:space="0" w:color="auto"/>
              <w:bottom w:val="single" w:sz="4" w:space="0" w:color="000000"/>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Aporte de la UTP al proyecto de paisaje cultural cafetero</w:t>
            </w:r>
          </w:p>
        </w:tc>
        <w:tc>
          <w:tcPr>
            <w:tcW w:w="1137" w:type="pct"/>
            <w:vMerge w:val="restart"/>
            <w:tcBorders>
              <w:top w:val="nil"/>
              <w:left w:val="single" w:sz="4" w:space="0" w:color="auto"/>
              <w:bottom w:val="single" w:sz="4" w:space="0" w:color="000000"/>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Aporte de la UTP al proyecto de paisaje cultural cafetero</w:t>
            </w:r>
          </w:p>
        </w:tc>
        <w:tc>
          <w:tcPr>
            <w:tcW w:w="120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 xml:space="preserve">Proyectos de investigación en temas arqueológicos y/o patrimonio cultural </w:t>
            </w:r>
          </w:p>
        </w:tc>
        <w:tc>
          <w:tcPr>
            <w:tcW w:w="35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w:t>
            </w:r>
          </w:p>
        </w:tc>
        <w:tc>
          <w:tcPr>
            <w:tcW w:w="49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w:t>
            </w:r>
          </w:p>
        </w:tc>
        <w:tc>
          <w:tcPr>
            <w:tcW w:w="593" w:type="pct"/>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r w:rsidR="00475419" w:rsidRPr="00535E30" w:rsidTr="005678E7">
        <w:trPr>
          <w:trHeight w:val="1020"/>
        </w:trPr>
        <w:tc>
          <w:tcPr>
            <w:tcW w:w="1209" w:type="pct"/>
            <w:vMerge/>
            <w:tcBorders>
              <w:top w:val="nil"/>
              <w:left w:val="single" w:sz="4" w:space="0" w:color="auto"/>
              <w:bottom w:val="single" w:sz="4" w:space="0" w:color="000000"/>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137" w:type="pct"/>
            <w:vMerge/>
            <w:tcBorders>
              <w:top w:val="nil"/>
              <w:left w:val="single" w:sz="4" w:space="0" w:color="auto"/>
              <w:bottom w:val="single" w:sz="4" w:space="0" w:color="000000"/>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20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Participación de la comunidad en la conservación del PCC: número de actividades lideradas desde la UTP en el marco del PCC y donde participa la comunidad: foros, capacitaciones, jornadas de difusión.</w:t>
            </w:r>
          </w:p>
        </w:tc>
        <w:tc>
          <w:tcPr>
            <w:tcW w:w="35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14</w:t>
            </w:r>
          </w:p>
        </w:tc>
        <w:tc>
          <w:tcPr>
            <w:tcW w:w="49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14</w:t>
            </w:r>
          </w:p>
        </w:tc>
        <w:tc>
          <w:tcPr>
            <w:tcW w:w="593" w:type="pct"/>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r w:rsidR="00475419" w:rsidRPr="00535E30" w:rsidTr="005678E7">
        <w:trPr>
          <w:trHeight w:val="653"/>
        </w:trPr>
        <w:tc>
          <w:tcPr>
            <w:tcW w:w="1209" w:type="pct"/>
            <w:vMerge w:val="restart"/>
            <w:tcBorders>
              <w:top w:val="nil"/>
              <w:left w:val="single" w:sz="4" w:space="0" w:color="auto"/>
              <w:bottom w:val="single" w:sz="4" w:space="0" w:color="000000"/>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lastRenderedPageBreak/>
              <w:t>Plataforma natural del territorio como base para el desarrollo sostenible</w:t>
            </w:r>
          </w:p>
        </w:tc>
        <w:tc>
          <w:tcPr>
            <w:tcW w:w="1137"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Plataforma natural del territorio como base para el desarrollo sostenible</w:t>
            </w:r>
          </w:p>
        </w:tc>
        <w:tc>
          <w:tcPr>
            <w:tcW w:w="120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Herramientas que aporten a que la dinámica interinstitucional de planificación del Eje Cafetero se fortalezca</w:t>
            </w:r>
          </w:p>
        </w:tc>
        <w:tc>
          <w:tcPr>
            <w:tcW w:w="35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12</w:t>
            </w:r>
          </w:p>
        </w:tc>
        <w:tc>
          <w:tcPr>
            <w:tcW w:w="49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12</w:t>
            </w:r>
          </w:p>
        </w:tc>
        <w:tc>
          <w:tcPr>
            <w:tcW w:w="593" w:type="pct"/>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r w:rsidR="00475419" w:rsidRPr="00535E30" w:rsidTr="005678E7">
        <w:trPr>
          <w:trHeight w:val="765"/>
        </w:trPr>
        <w:tc>
          <w:tcPr>
            <w:tcW w:w="1209" w:type="pct"/>
            <w:vMerge/>
            <w:tcBorders>
              <w:top w:val="nil"/>
              <w:left w:val="single" w:sz="4" w:space="0" w:color="auto"/>
              <w:bottom w:val="single" w:sz="4" w:space="0" w:color="000000"/>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137"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Agroecología: estrategia para la sustentabilidad ambiental de la Ecorregión Eje Cafetero</w:t>
            </w:r>
          </w:p>
        </w:tc>
        <w:tc>
          <w:tcPr>
            <w:tcW w:w="120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Porcentaje de avance del plan operativo agroecología</w:t>
            </w:r>
          </w:p>
        </w:tc>
        <w:tc>
          <w:tcPr>
            <w:tcW w:w="35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w:t>
            </w:r>
          </w:p>
        </w:tc>
        <w:tc>
          <w:tcPr>
            <w:tcW w:w="49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w:t>
            </w:r>
          </w:p>
        </w:tc>
        <w:tc>
          <w:tcPr>
            <w:tcW w:w="593" w:type="pct"/>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r w:rsidR="00475419" w:rsidRPr="00535E30" w:rsidTr="005678E7">
        <w:trPr>
          <w:trHeight w:val="70"/>
        </w:trPr>
        <w:tc>
          <w:tcPr>
            <w:tcW w:w="1209" w:type="pct"/>
            <w:vMerge/>
            <w:tcBorders>
              <w:top w:val="nil"/>
              <w:left w:val="single" w:sz="4" w:space="0" w:color="auto"/>
              <w:bottom w:val="single" w:sz="4" w:space="0" w:color="000000"/>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137"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Gestión ambiental comunidades</w:t>
            </w:r>
          </w:p>
        </w:tc>
        <w:tc>
          <w:tcPr>
            <w:tcW w:w="120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Porcentaje de avance del plan operativo Gestión ambiental comunidades</w:t>
            </w:r>
          </w:p>
        </w:tc>
        <w:tc>
          <w:tcPr>
            <w:tcW w:w="35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w:t>
            </w:r>
          </w:p>
        </w:tc>
        <w:tc>
          <w:tcPr>
            <w:tcW w:w="49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w:t>
            </w:r>
          </w:p>
        </w:tc>
        <w:tc>
          <w:tcPr>
            <w:tcW w:w="593" w:type="pct"/>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r w:rsidR="00475419" w:rsidRPr="00535E30" w:rsidTr="005678E7">
        <w:trPr>
          <w:trHeight w:val="510"/>
        </w:trPr>
        <w:tc>
          <w:tcPr>
            <w:tcW w:w="1209" w:type="pct"/>
            <w:vMerge/>
            <w:tcBorders>
              <w:top w:val="nil"/>
              <w:left w:val="single" w:sz="4" w:space="0" w:color="auto"/>
              <w:bottom w:val="single" w:sz="4" w:space="0" w:color="000000"/>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137"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Gestión ambiental regional</w:t>
            </w:r>
          </w:p>
        </w:tc>
        <w:tc>
          <w:tcPr>
            <w:tcW w:w="120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Porcentaje de avance del plan operativo Gestión ambiental regional</w:t>
            </w:r>
          </w:p>
        </w:tc>
        <w:tc>
          <w:tcPr>
            <w:tcW w:w="355"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w:t>
            </w:r>
          </w:p>
        </w:tc>
        <w:tc>
          <w:tcPr>
            <w:tcW w:w="49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w:t>
            </w:r>
          </w:p>
        </w:tc>
        <w:tc>
          <w:tcPr>
            <w:tcW w:w="593" w:type="pct"/>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bl>
    <w:p w:rsidR="00475419" w:rsidRPr="00535E30" w:rsidRDefault="00475419" w:rsidP="00475419">
      <w:pPr>
        <w:spacing w:line="276" w:lineRule="auto"/>
        <w:rPr>
          <w:rFonts w:asciiTheme="minorHAnsi" w:hAnsiTheme="minorHAnsi" w:cs="Arial"/>
          <w:lang w:val="es-CO"/>
        </w:rPr>
      </w:pPr>
    </w:p>
    <w:p w:rsidR="00475419" w:rsidRPr="00535E30" w:rsidRDefault="00475419" w:rsidP="00475419">
      <w:pPr>
        <w:pStyle w:val="Ttulo2"/>
        <w:spacing w:line="276" w:lineRule="auto"/>
        <w:rPr>
          <w:lang w:val="es-CO"/>
        </w:rPr>
      </w:pPr>
      <w:bookmarkStart w:id="222" w:name="_Toc347392865"/>
      <w:bookmarkStart w:id="223" w:name="_Toc350957801"/>
      <w:bookmarkStart w:id="224" w:name="_Toc354671394"/>
      <w:r w:rsidRPr="00535E30">
        <w:rPr>
          <w:caps w:val="0"/>
        </w:rPr>
        <w:t>PROYECTOS</w:t>
      </w:r>
      <w:r w:rsidRPr="00535E30">
        <w:rPr>
          <w:caps w:val="0"/>
          <w:lang w:val="es-CO"/>
        </w:rPr>
        <w:t xml:space="preserve"> ALIANZAS ESTRATÉGICAS</w:t>
      </w:r>
      <w:bookmarkEnd w:id="222"/>
      <w:bookmarkEnd w:id="223"/>
      <w:bookmarkEnd w:id="224"/>
    </w:p>
    <w:p w:rsidR="00475419" w:rsidRPr="00535E30" w:rsidRDefault="00475419" w:rsidP="00475419">
      <w:pPr>
        <w:spacing w:line="276" w:lineRule="auto"/>
        <w:rPr>
          <w:rFonts w:asciiTheme="minorHAnsi" w:hAnsiTheme="minorHAnsi"/>
          <w:lang w:val="es-CO"/>
        </w:rPr>
      </w:pP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color w:val="000000"/>
          <w:lang w:val="es-CO"/>
        </w:rPr>
        <w:t xml:space="preserve">La consolidación de las alianzas estratégicas de la Universidad se lleva a cabo mediante la ejecución de tres proyectos institucionales: aprestamiento institucional, vigilancia e inteligencia competitiva y movilización social. </w:t>
      </w: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i/>
          <w:color w:val="000000"/>
          <w:u w:val="single"/>
          <w:lang w:val="es-CO"/>
        </w:rPr>
        <w:t>Mediante la Movilización social</w:t>
      </w:r>
      <w:r w:rsidRPr="00535E30">
        <w:rPr>
          <w:rFonts w:asciiTheme="minorHAnsi" w:hAnsiTheme="minorHAnsi" w:cs="Arial"/>
          <w:color w:val="000000"/>
          <w:lang w:val="es-CO"/>
        </w:rPr>
        <w:t>, se pretende trabajar en el debate público para la construcción de políticas públicas incluyentes, planes, programas y proyectos que favorezcan la educación, la ciencia, la tecnología y la innovación como aspectos relevantes y prioritarios en la agenda de desarrollo regional, teniendo como premisa el desarrollo humano; a su vez, generar acuerdos sociales que impulsen y generen sostenibilidad de éstas puestas y  creen las bases para una sociedad y economía basada en el conocimiento.</w:t>
      </w: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i/>
          <w:color w:val="000000"/>
          <w:u w:val="single"/>
          <w:lang w:val="es-CO"/>
        </w:rPr>
        <w:t>El proyecto de vigilancia e inteligencia competitiva,</w:t>
      </w:r>
      <w:r w:rsidRPr="00535E30">
        <w:rPr>
          <w:rFonts w:asciiTheme="minorHAnsi" w:hAnsiTheme="minorHAnsi" w:cs="Arial"/>
          <w:color w:val="000000"/>
          <w:lang w:val="es-CO"/>
        </w:rPr>
        <w:t xml:space="preserve"> la universidad monitorea permanentemente el contexto y desarrolla análisis de temas del entorno que impactan las estrategias institucionales, con el fin de que los diferentes eslabones de la organización tomen decisiones soportadas en información pertinente. </w:t>
      </w: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color w:val="000000"/>
          <w:lang w:val="es-CO"/>
        </w:rPr>
        <w:t xml:space="preserve">Mediante el </w:t>
      </w:r>
      <w:r w:rsidRPr="00535E30">
        <w:rPr>
          <w:rFonts w:asciiTheme="minorHAnsi" w:hAnsiTheme="minorHAnsi" w:cs="Arial"/>
          <w:i/>
          <w:color w:val="000000"/>
          <w:u w:val="single"/>
          <w:lang w:val="es-CO"/>
        </w:rPr>
        <w:t>aprestamiento institucional</w:t>
      </w:r>
      <w:r w:rsidRPr="00535E30">
        <w:rPr>
          <w:rFonts w:asciiTheme="minorHAnsi" w:hAnsiTheme="minorHAnsi" w:cs="Arial"/>
          <w:color w:val="000000"/>
          <w:lang w:val="es-CO"/>
        </w:rPr>
        <w:t>, se generan capacidades permanentes en la institución para el desarrollo de alianzas estratégicas, así como se monitorean y apoyan alianzas existentes y oportunidades de alianzas.</w:t>
      </w: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color w:val="000000"/>
          <w:lang w:val="es-CO"/>
        </w:rPr>
        <w:t xml:space="preserve">El cumplimiento final del objetivo institucional a nivel de proyectos fue del </w:t>
      </w:r>
      <w:r w:rsidRPr="009B6D1A">
        <w:rPr>
          <w:rFonts w:asciiTheme="minorHAnsi" w:hAnsiTheme="minorHAnsi" w:cs="Arial"/>
          <w:b/>
          <w:color w:val="000000"/>
          <w:lang w:val="es-CO"/>
        </w:rPr>
        <w:t>98,98%</w:t>
      </w:r>
      <w:r w:rsidRPr="00535E30">
        <w:rPr>
          <w:rFonts w:asciiTheme="minorHAnsi" w:hAnsiTheme="minorHAnsi" w:cs="Arial"/>
          <w:color w:val="000000"/>
          <w:lang w:val="es-CO"/>
        </w:rPr>
        <w:t xml:space="preserve">, logrando un avance satisfactorio al finalizar la vigencia </w:t>
      </w:r>
      <w:r w:rsidRPr="009B6D1A">
        <w:rPr>
          <w:rFonts w:asciiTheme="minorHAnsi" w:hAnsiTheme="minorHAnsi" w:cs="Arial"/>
          <w:b/>
          <w:color w:val="000000"/>
          <w:lang w:val="es-CO"/>
        </w:rPr>
        <w:t>2012</w:t>
      </w:r>
      <w:r w:rsidRPr="00535E30">
        <w:rPr>
          <w:rFonts w:asciiTheme="minorHAnsi" w:hAnsiTheme="minorHAnsi" w:cs="Arial"/>
          <w:color w:val="000000"/>
          <w:lang w:val="es-CO"/>
        </w:rPr>
        <w:t>.</w:t>
      </w:r>
    </w:p>
    <w:p w:rsidR="00475419" w:rsidRDefault="00475419" w:rsidP="00475419">
      <w:pPr>
        <w:spacing w:line="276" w:lineRule="auto"/>
        <w:rPr>
          <w:rFonts w:asciiTheme="minorHAnsi" w:hAnsiTheme="minorHAnsi" w:cs="Arial"/>
          <w:color w:val="000000"/>
          <w:lang w:val="es-CO"/>
        </w:rPr>
      </w:pPr>
      <w:r w:rsidRPr="00535E30">
        <w:rPr>
          <w:rFonts w:asciiTheme="minorHAnsi" w:hAnsiTheme="minorHAnsi" w:cs="Arial"/>
          <w:color w:val="000000"/>
          <w:lang w:val="es-CO"/>
        </w:rPr>
        <w:t xml:space="preserve"> </w:t>
      </w:r>
    </w:p>
    <w:p w:rsidR="00475419" w:rsidRDefault="00475419" w:rsidP="00475419">
      <w:pPr>
        <w:spacing w:after="200" w:line="276" w:lineRule="auto"/>
        <w:jc w:val="left"/>
        <w:rPr>
          <w:rFonts w:asciiTheme="minorHAnsi" w:hAnsiTheme="minorHAnsi" w:cs="Arial"/>
          <w:color w:val="000000"/>
          <w:lang w:val="es-CO"/>
        </w:rPr>
      </w:pPr>
      <w:r>
        <w:rPr>
          <w:rFonts w:asciiTheme="minorHAnsi" w:hAnsiTheme="minorHAnsi" w:cs="Arial"/>
          <w:color w:val="000000"/>
          <w:lang w:val="es-CO"/>
        </w:rPr>
        <w:br w:type="page"/>
      </w: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color w:val="000000"/>
          <w:lang w:val="es-CO"/>
        </w:rPr>
        <w:lastRenderedPageBreak/>
        <w:t>A continuación se presenta el desempeño final  de los proyectos institucionales:</w:t>
      </w:r>
    </w:p>
    <w:tbl>
      <w:tblPr>
        <w:tblW w:w="3572" w:type="pct"/>
        <w:jc w:val="center"/>
        <w:tblCellMar>
          <w:left w:w="0" w:type="dxa"/>
          <w:right w:w="0" w:type="dxa"/>
        </w:tblCellMar>
        <w:tblLook w:val="04A0" w:firstRow="1" w:lastRow="0" w:firstColumn="1" w:lastColumn="0" w:noHBand="0" w:noVBand="1"/>
      </w:tblPr>
      <w:tblGrid>
        <w:gridCol w:w="1328"/>
        <w:gridCol w:w="2058"/>
        <w:gridCol w:w="1401"/>
        <w:gridCol w:w="1548"/>
      </w:tblGrid>
      <w:tr w:rsidR="00475419" w:rsidRPr="00535E30" w:rsidTr="005678E7">
        <w:trPr>
          <w:trHeight w:val="57"/>
          <w:tblHeader/>
          <w:jc w:val="center"/>
        </w:trPr>
        <w:tc>
          <w:tcPr>
            <w:tcW w:w="1047"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b/>
                <w:bCs/>
                <w:sz w:val="20"/>
                <w:szCs w:val="20"/>
                <w:lang w:val="es-CO"/>
              </w:rPr>
            </w:pPr>
            <w:r w:rsidRPr="00535E30">
              <w:rPr>
                <w:rFonts w:asciiTheme="minorHAnsi" w:hAnsiTheme="minorHAnsi" w:cs="Arial"/>
                <w:b/>
                <w:bCs/>
                <w:sz w:val="20"/>
                <w:szCs w:val="20"/>
                <w:lang w:val="es-CO"/>
              </w:rPr>
              <w:t>Objetivo</w:t>
            </w:r>
          </w:p>
        </w:tc>
        <w:tc>
          <w:tcPr>
            <w:tcW w:w="1624"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b/>
                <w:bCs/>
                <w:sz w:val="20"/>
                <w:szCs w:val="20"/>
                <w:lang w:val="es-CO"/>
              </w:rPr>
            </w:pPr>
            <w:r w:rsidRPr="00535E30">
              <w:rPr>
                <w:rFonts w:asciiTheme="minorHAnsi" w:hAnsiTheme="minorHAnsi" w:cs="Arial"/>
                <w:b/>
                <w:bCs/>
                <w:sz w:val="20"/>
                <w:szCs w:val="20"/>
                <w:lang w:val="es-CO"/>
              </w:rPr>
              <w:t>Proyecto</w:t>
            </w:r>
          </w:p>
        </w:tc>
        <w:tc>
          <w:tcPr>
            <w:tcW w:w="1106"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b/>
                <w:bCs/>
                <w:sz w:val="20"/>
                <w:szCs w:val="20"/>
                <w:lang w:val="es-CO"/>
              </w:rPr>
            </w:pPr>
            <w:r w:rsidRPr="00535E30">
              <w:rPr>
                <w:rFonts w:asciiTheme="minorHAnsi" w:hAnsiTheme="minorHAnsi" w:cs="Arial"/>
                <w:b/>
                <w:bCs/>
                <w:sz w:val="20"/>
                <w:szCs w:val="20"/>
                <w:lang w:val="es-CO"/>
              </w:rPr>
              <w:t>Avance indicadores de Proyecto</w:t>
            </w:r>
          </w:p>
        </w:tc>
        <w:tc>
          <w:tcPr>
            <w:tcW w:w="1222" w:type="pct"/>
            <w:tcBorders>
              <w:top w:val="single" w:sz="4" w:space="0" w:color="000000"/>
              <w:left w:val="single" w:sz="4" w:space="0" w:color="000000"/>
              <w:bottom w:val="single" w:sz="4" w:space="0" w:color="000000"/>
              <w:right w:val="single" w:sz="4" w:space="0" w:color="000000"/>
            </w:tcBorders>
            <w:shd w:val="clear" w:color="auto" w:fill="C5D9F1"/>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b/>
                <w:bCs/>
                <w:sz w:val="20"/>
                <w:szCs w:val="20"/>
                <w:lang w:val="es-CO"/>
              </w:rPr>
            </w:pPr>
            <w:r w:rsidRPr="00535E30">
              <w:rPr>
                <w:rFonts w:asciiTheme="minorHAnsi" w:hAnsiTheme="minorHAnsi" w:cs="Arial"/>
                <w:b/>
                <w:bCs/>
                <w:sz w:val="20"/>
                <w:szCs w:val="20"/>
                <w:lang w:val="es-CO"/>
              </w:rPr>
              <w:t>Total Promediado por Objetivo</w:t>
            </w:r>
          </w:p>
        </w:tc>
      </w:tr>
      <w:tr w:rsidR="00475419" w:rsidRPr="00535E30" w:rsidTr="005678E7">
        <w:trPr>
          <w:trHeight w:val="57"/>
          <w:jc w:val="center"/>
        </w:trPr>
        <w:tc>
          <w:tcPr>
            <w:tcW w:w="1047" w:type="pct"/>
            <w:vMerge w:val="restart"/>
            <w:tcBorders>
              <w:top w:val="single" w:sz="4" w:space="0" w:color="000000"/>
              <w:left w:val="single" w:sz="4" w:space="0" w:color="000000"/>
              <w:bottom w:val="single" w:sz="4" w:space="0" w:color="000000"/>
              <w:right w:val="single" w:sz="4" w:space="0" w:color="000000"/>
            </w:tcBorders>
            <w:shd w:val="clear" w:color="auto" w:fill="FFFFFF"/>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20"/>
                <w:szCs w:val="20"/>
              </w:rPr>
            </w:pPr>
            <w:r w:rsidRPr="00535E30">
              <w:rPr>
                <w:rFonts w:asciiTheme="minorHAnsi" w:hAnsiTheme="minorHAnsi" w:cs="Arial"/>
                <w:sz w:val="20"/>
                <w:szCs w:val="20"/>
                <w:lang w:val="es-CO"/>
              </w:rPr>
              <w:t>Alianzas estratégicas</w:t>
            </w:r>
          </w:p>
        </w:tc>
        <w:tc>
          <w:tcPr>
            <w:tcW w:w="1624" w:type="pct"/>
            <w:tcBorders>
              <w:top w:val="single" w:sz="4" w:space="0" w:color="000000"/>
              <w:left w:val="single" w:sz="4" w:space="0" w:color="000000"/>
              <w:bottom w:val="single" w:sz="4" w:space="0" w:color="000000"/>
              <w:right w:val="single" w:sz="4" w:space="0" w:color="000000"/>
            </w:tcBorders>
            <w:shd w:val="clear" w:color="auto" w:fill="FFFFFF"/>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20"/>
                <w:szCs w:val="20"/>
              </w:rPr>
            </w:pPr>
            <w:r w:rsidRPr="00535E30">
              <w:rPr>
                <w:rFonts w:asciiTheme="minorHAnsi" w:hAnsiTheme="minorHAnsi" w:cs="Arial"/>
                <w:sz w:val="20"/>
                <w:szCs w:val="20"/>
                <w:lang w:val="es-CO"/>
              </w:rPr>
              <w:t>Aprestamiento Institucional</w:t>
            </w:r>
          </w:p>
        </w:tc>
        <w:tc>
          <w:tcPr>
            <w:tcW w:w="1106" w:type="pct"/>
            <w:tcBorders>
              <w:top w:val="single" w:sz="4" w:space="0" w:color="000000"/>
              <w:left w:val="single" w:sz="4" w:space="0" w:color="000000"/>
              <w:bottom w:val="single" w:sz="4" w:space="0" w:color="000000"/>
              <w:right w:val="single" w:sz="4" w:space="0" w:color="000000"/>
            </w:tcBorders>
            <w:shd w:val="clear" w:color="auto" w:fill="C2D69B" w:themeFill="accent3" w:themeFillTint="99"/>
            <w:tcMar>
              <w:top w:w="15" w:type="dxa"/>
              <w:left w:w="15" w:type="dxa"/>
              <w:bottom w:w="0" w:type="dxa"/>
              <w:right w:w="15" w:type="dxa"/>
            </w:tcMar>
            <w:vAlign w:val="center"/>
          </w:tcPr>
          <w:p w:rsidR="00475419" w:rsidRPr="00535E30" w:rsidRDefault="00475419" w:rsidP="005678E7">
            <w:pPr>
              <w:spacing w:after="0" w:line="276" w:lineRule="auto"/>
              <w:jc w:val="center"/>
              <w:rPr>
                <w:rFonts w:asciiTheme="minorHAnsi" w:hAnsiTheme="minorHAnsi" w:cs="Arial"/>
                <w:sz w:val="20"/>
                <w:szCs w:val="20"/>
              </w:rPr>
            </w:pPr>
            <w:r w:rsidRPr="00535E30">
              <w:rPr>
                <w:rFonts w:asciiTheme="minorHAnsi" w:hAnsiTheme="minorHAnsi" w:cs="Arial"/>
                <w:sz w:val="20"/>
                <w:szCs w:val="20"/>
              </w:rPr>
              <w:t>100%</w:t>
            </w:r>
          </w:p>
        </w:tc>
        <w:tc>
          <w:tcPr>
            <w:tcW w:w="1222" w:type="pct"/>
            <w:vMerge w:val="restart"/>
            <w:tcBorders>
              <w:top w:val="single" w:sz="4" w:space="0" w:color="000000"/>
              <w:left w:val="single" w:sz="4" w:space="0" w:color="000000"/>
              <w:bottom w:val="single" w:sz="4" w:space="0" w:color="000000"/>
              <w:right w:val="single" w:sz="4" w:space="0" w:color="000000"/>
            </w:tcBorders>
            <w:shd w:val="clear" w:color="auto" w:fill="C2D69B" w:themeFill="accent3" w:themeFillTint="99"/>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b/>
                <w:sz w:val="24"/>
                <w:szCs w:val="24"/>
              </w:rPr>
            </w:pPr>
            <w:r w:rsidRPr="00535E30">
              <w:rPr>
                <w:rFonts w:asciiTheme="minorHAnsi" w:hAnsiTheme="minorHAnsi" w:cs="Arial"/>
                <w:b/>
                <w:sz w:val="24"/>
                <w:szCs w:val="24"/>
                <w:lang w:val="es-CO"/>
              </w:rPr>
              <w:t>98,98%</w:t>
            </w:r>
          </w:p>
        </w:tc>
      </w:tr>
      <w:tr w:rsidR="00475419" w:rsidRPr="00535E30" w:rsidTr="005678E7">
        <w:trPr>
          <w:trHeight w:val="57"/>
          <w:jc w:val="center"/>
        </w:trPr>
        <w:tc>
          <w:tcPr>
            <w:tcW w:w="1047" w:type="pct"/>
            <w:vMerge/>
            <w:tcBorders>
              <w:top w:val="single" w:sz="4" w:space="0" w:color="000000"/>
              <w:left w:val="single" w:sz="4" w:space="0" w:color="000000"/>
              <w:bottom w:val="single" w:sz="4" w:space="0" w:color="000000"/>
              <w:right w:val="single" w:sz="4" w:space="0" w:color="000000"/>
            </w:tcBorders>
            <w:vAlign w:val="center"/>
            <w:hideMark/>
          </w:tcPr>
          <w:p w:rsidR="00475419" w:rsidRPr="00535E30" w:rsidRDefault="00475419" w:rsidP="005678E7">
            <w:pPr>
              <w:spacing w:after="0" w:line="276" w:lineRule="auto"/>
              <w:jc w:val="center"/>
              <w:rPr>
                <w:rFonts w:asciiTheme="minorHAnsi" w:hAnsiTheme="minorHAnsi" w:cs="Arial"/>
                <w:sz w:val="20"/>
                <w:szCs w:val="20"/>
              </w:rPr>
            </w:pPr>
          </w:p>
        </w:tc>
        <w:tc>
          <w:tcPr>
            <w:tcW w:w="1624" w:type="pct"/>
            <w:tcBorders>
              <w:top w:val="single" w:sz="4" w:space="0" w:color="000000"/>
              <w:left w:val="single" w:sz="4" w:space="0" w:color="000000"/>
              <w:bottom w:val="single" w:sz="4" w:space="0" w:color="000000"/>
              <w:right w:val="single" w:sz="4" w:space="0" w:color="000000"/>
            </w:tcBorders>
            <w:shd w:val="clear" w:color="auto" w:fill="FFFFFF"/>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20"/>
                <w:szCs w:val="20"/>
              </w:rPr>
            </w:pPr>
            <w:r w:rsidRPr="00535E30">
              <w:rPr>
                <w:rFonts w:asciiTheme="minorHAnsi" w:hAnsiTheme="minorHAnsi" w:cs="Arial"/>
                <w:sz w:val="20"/>
                <w:szCs w:val="20"/>
                <w:lang w:val="es-CO"/>
              </w:rPr>
              <w:t>Vigilancia e inteligencia competitiva</w:t>
            </w:r>
          </w:p>
        </w:tc>
        <w:tc>
          <w:tcPr>
            <w:tcW w:w="1106" w:type="pct"/>
            <w:tcBorders>
              <w:top w:val="single" w:sz="4" w:space="0" w:color="000000"/>
              <w:left w:val="single" w:sz="4" w:space="0" w:color="000000"/>
              <w:bottom w:val="single" w:sz="4" w:space="0" w:color="000000"/>
              <w:right w:val="single" w:sz="4" w:space="0" w:color="000000"/>
            </w:tcBorders>
            <w:shd w:val="clear" w:color="auto" w:fill="C2D69B" w:themeFill="accent3" w:themeFillTint="99"/>
            <w:tcMar>
              <w:top w:w="15" w:type="dxa"/>
              <w:left w:w="15" w:type="dxa"/>
              <w:bottom w:w="0" w:type="dxa"/>
              <w:right w:w="15" w:type="dxa"/>
            </w:tcMar>
            <w:vAlign w:val="center"/>
          </w:tcPr>
          <w:p w:rsidR="00475419" w:rsidRPr="00535E30" w:rsidRDefault="00475419" w:rsidP="005678E7">
            <w:pPr>
              <w:spacing w:after="0" w:line="276" w:lineRule="auto"/>
              <w:jc w:val="center"/>
              <w:rPr>
                <w:rFonts w:asciiTheme="minorHAnsi" w:hAnsiTheme="minorHAnsi" w:cs="Arial"/>
                <w:sz w:val="20"/>
                <w:szCs w:val="20"/>
              </w:rPr>
            </w:pPr>
            <w:r w:rsidRPr="00535E30">
              <w:rPr>
                <w:rFonts w:asciiTheme="minorHAnsi" w:hAnsiTheme="minorHAnsi" w:cs="Arial"/>
                <w:sz w:val="20"/>
                <w:szCs w:val="20"/>
              </w:rPr>
              <w:t>99,70%</w:t>
            </w:r>
          </w:p>
        </w:tc>
        <w:tc>
          <w:tcPr>
            <w:tcW w:w="1222" w:type="pct"/>
            <w:vMerge/>
            <w:tcBorders>
              <w:top w:val="single" w:sz="4" w:space="0" w:color="000000"/>
              <w:left w:val="single" w:sz="4" w:space="0" w:color="000000"/>
              <w:bottom w:val="single" w:sz="4" w:space="0" w:color="000000"/>
              <w:right w:val="single" w:sz="4" w:space="0" w:color="000000"/>
            </w:tcBorders>
            <w:shd w:val="clear" w:color="auto" w:fill="C2D69B" w:themeFill="accent3" w:themeFillTint="99"/>
            <w:vAlign w:val="center"/>
            <w:hideMark/>
          </w:tcPr>
          <w:p w:rsidR="00475419" w:rsidRPr="00535E30" w:rsidRDefault="00475419" w:rsidP="005678E7">
            <w:pPr>
              <w:spacing w:after="0" w:line="276" w:lineRule="auto"/>
              <w:jc w:val="center"/>
              <w:rPr>
                <w:rFonts w:asciiTheme="minorHAnsi" w:hAnsiTheme="minorHAnsi" w:cs="Arial"/>
                <w:sz w:val="20"/>
                <w:szCs w:val="20"/>
              </w:rPr>
            </w:pPr>
          </w:p>
        </w:tc>
      </w:tr>
      <w:tr w:rsidR="00475419" w:rsidRPr="00535E30" w:rsidTr="005678E7">
        <w:trPr>
          <w:trHeight w:val="57"/>
          <w:jc w:val="center"/>
        </w:trPr>
        <w:tc>
          <w:tcPr>
            <w:tcW w:w="1047" w:type="pct"/>
            <w:vMerge/>
            <w:tcBorders>
              <w:top w:val="single" w:sz="4" w:space="0" w:color="000000"/>
              <w:left w:val="single" w:sz="4" w:space="0" w:color="000000"/>
              <w:bottom w:val="single" w:sz="4" w:space="0" w:color="000000"/>
              <w:right w:val="single" w:sz="4" w:space="0" w:color="000000"/>
            </w:tcBorders>
            <w:vAlign w:val="center"/>
            <w:hideMark/>
          </w:tcPr>
          <w:p w:rsidR="00475419" w:rsidRPr="00535E30" w:rsidRDefault="00475419" w:rsidP="005678E7">
            <w:pPr>
              <w:spacing w:after="0" w:line="276" w:lineRule="auto"/>
              <w:jc w:val="center"/>
              <w:rPr>
                <w:rFonts w:asciiTheme="minorHAnsi" w:hAnsiTheme="minorHAnsi" w:cs="Arial"/>
                <w:sz w:val="20"/>
                <w:szCs w:val="20"/>
              </w:rPr>
            </w:pPr>
          </w:p>
        </w:tc>
        <w:tc>
          <w:tcPr>
            <w:tcW w:w="1624" w:type="pct"/>
            <w:tcBorders>
              <w:top w:val="single" w:sz="4" w:space="0" w:color="000000"/>
              <w:left w:val="single" w:sz="4" w:space="0" w:color="000000"/>
              <w:bottom w:val="single" w:sz="4" w:space="0" w:color="000000"/>
              <w:right w:val="single" w:sz="4" w:space="0" w:color="000000"/>
            </w:tcBorders>
            <w:shd w:val="clear" w:color="auto" w:fill="FFFFFF"/>
            <w:tcMar>
              <w:top w:w="15" w:type="dxa"/>
              <w:left w:w="15" w:type="dxa"/>
              <w:bottom w:w="0" w:type="dxa"/>
              <w:right w:w="15" w:type="dxa"/>
            </w:tcMar>
            <w:vAlign w:val="center"/>
            <w:hideMark/>
          </w:tcPr>
          <w:p w:rsidR="00475419" w:rsidRPr="00535E30" w:rsidRDefault="00475419" w:rsidP="005678E7">
            <w:pPr>
              <w:spacing w:after="0" w:line="276" w:lineRule="auto"/>
              <w:jc w:val="center"/>
              <w:rPr>
                <w:rFonts w:asciiTheme="minorHAnsi" w:hAnsiTheme="minorHAnsi" w:cs="Arial"/>
                <w:sz w:val="20"/>
                <w:szCs w:val="20"/>
              </w:rPr>
            </w:pPr>
            <w:r w:rsidRPr="00535E30">
              <w:rPr>
                <w:rFonts w:asciiTheme="minorHAnsi" w:hAnsiTheme="minorHAnsi" w:cs="Arial"/>
                <w:sz w:val="20"/>
                <w:szCs w:val="20"/>
                <w:lang w:val="es-CO"/>
              </w:rPr>
              <w:t>Movilización social</w:t>
            </w:r>
          </w:p>
        </w:tc>
        <w:tc>
          <w:tcPr>
            <w:tcW w:w="1106" w:type="pct"/>
            <w:tcBorders>
              <w:top w:val="single" w:sz="4" w:space="0" w:color="000000"/>
              <w:left w:val="single" w:sz="4" w:space="0" w:color="000000"/>
              <w:bottom w:val="single" w:sz="4" w:space="0" w:color="000000"/>
              <w:right w:val="single" w:sz="4" w:space="0" w:color="000000"/>
            </w:tcBorders>
            <w:shd w:val="clear" w:color="auto" w:fill="C2D69B" w:themeFill="accent3" w:themeFillTint="99"/>
            <w:tcMar>
              <w:top w:w="15" w:type="dxa"/>
              <w:left w:w="15" w:type="dxa"/>
              <w:bottom w:w="0" w:type="dxa"/>
              <w:right w:w="15" w:type="dxa"/>
            </w:tcMar>
            <w:vAlign w:val="center"/>
          </w:tcPr>
          <w:p w:rsidR="00475419" w:rsidRPr="00535E30" w:rsidRDefault="00475419" w:rsidP="005678E7">
            <w:pPr>
              <w:spacing w:after="0" w:line="276" w:lineRule="auto"/>
              <w:jc w:val="center"/>
              <w:rPr>
                <w:rFonts w:asciiTheme="minorHAnsi" w:hAnsiTheme="minorHAnsi" w:cs="Arial"/>
                <w:sz w:val="20"/>
                <w:szCs w:val="20"/>
              </w:rPr>
            </w:pPr>
            <w:r w:rsidRPr="00535E30">
              <w:rPr>
                <w:rFonts w:asciiTheme="minorHAnsi" w:hAnsiTheme="minorHAnsi" w:cs="Arial"/>
                <w:sz w:val="20"/>
                <w:szCs w:val="20"/>
              </w:rPr>
              <w:t>97,25%</w:t>
            </w:r>
          </w:p>
        </w:tc>
        <w:tc>
          <w:tcPr>
            <w:tcW w:w="1222" w:type="pct"/>
            <w:vMerge/>
            <w:tcBorders>
              <w:top w:val="single" w:sz="4" w:space="0" w:color="000000"/>
              <w:left w:val="single" w:sz="4" w:space="0" w:color="000000"/>
              <w:bottom w:val="single" w:sz="4" w:space="0" w:color="000000"/>
              <w:right w:val="single" w:sz="4" w:space="0" w:color="000000"/>
            </w:tcBorders>
            <w:shd w:val="clear" w:color="auto" w:fill="C2D69B" w:themeFill="accent3" w:themeFillTint="99"/>
            <w:vAlign w:val="center"/>
            <w:hideMark/>
          </w:tcPr>
          <w:p w:rsidR="00475419" w:rsidRPr="00535E30" w:rsidRDefault="00475419" w:rsidP="005678E7">
            <w:pPr>
              <w:spacing w:after="0" w:line="276" w:lineRule="auto"/>
              <w:jc w:val="center"/>
              <w:rPr>
                <w:rFonts w:asciiTheme="minorHAnsi" w:hAnsiTheme="minorHAnsi" w:cs="Arial"/>
                <w:sz w:val="20"/>
                <w:szCs w:val="20"/>
              </w:rPr>
            </w:pPr>
          </w:p>
        </w:tc>
      </w:tr>
    </w:tbl>
    <w:p w:rsidR="00475419" w:rsidRPr="00535E30" w:rsidRDefault="00475419" w:rsidP="00475419">
      <w:pPr>
        <w:spacing w:after="0" w:line="276" w:lineRule="auto"/>
        <w:rPr>
          <w:rFonts w:asciiTheme="minorHAnsi" w:hAnsiTheme="minorHAnsi" w:cs="Arial"/>
        </w:rPr>
      </w:pPr>
    </w:p>
    <w:p w:rsidR="00475419" w:rsidRPr="00535E30" w:rsidRDefault="00475419" w:rsidP="00475419">
      <w:pPr>
        <w:spacing w:line="276" w:lineRule="auto"/>
        <w:rPr>
          <w:rFonts w:asciiTheme="minorHAnsi" w:hAnsiTheme="minorHAnsi" w:cs="Arial"/>
          <w:color w:val="000000"/>
          <w:lang w:val="es-CO"/>
        </w:rPr>
      </w:pPr>
      <w:r w:rsidRPr="00535E30">
        <w:rPr>
          <w:rFonts w:asciiTheme="minorHAnsi" w:hAnsiTheme="minorHAnsi" w:cs="Arial"/>
          <w:color w:val="000000"/>
          <w:lang w:val="es-CO"/>
        </w:rPr>
        <w:t>A nivel de planes operativos, todos presentaron un cumplimiento final satisfactorio. Los resultados se presentan a continuación:</w:t>
      </w:r>
    </w:p>
    <w:p w:rsidR="00475419" w:rsidRPr="00535E30" w:rsidRDefault="00475419" w:rsidP="00475419">
      <w:pPr>
        <w:spacing w:after="0" w:line="276" w:lineRule="auto"/>
        <w:rPr>
          <w:rFonts w:asciiTheme="minorHAnsi" w:hAnsiTheme="minorHAnsi" w:cs="Arial"/>
          <w:color w:val="000000"/>
          <w:lang w:val="es-CO"/>
        </w:rPr>
      </w:pPr>
    </w:p>
    <w:tbl>
      <w:tblPr>
        <w:tblW w:w="9087" w:type="dxa"/>
        <w:tblInd w:w="55" w:type="dxa"/>
        <w:tblLayout w:type="fixed"/>
        <w:tblCellMar>
          <w:left w:w="70" w:type="dxa"/>
          <w:right w:w="70" w:type="dxa"/>
        </w:tblCellMar>
        <w:tblLook w:val="04A0" w:firstRow="1" w:lastRow="0" w:firstColumn="1" w:lastColumn="0" w:noHBand="0" w:noVBand="1"/>
      </w:tblPr>
      <w:tblGrid>
        <w:gridCol w:w="1291"/>
        <w:gridCol w:w="1559"/>
        <w:gridCol w:w="3119"/>
        <w:gridCol w:w="850"/>
        <w:gridCol w:w="851"/>
        <w:gridCol w:w="1417"/>
      </w:tblGrid>
      <w:tr w:rsidR="00475419" w:rsidRPr="00535E30" w:rsidTr="005678E7">
        <w:trPr>
          <w:trHeight w:val="100"/>
          <w:tblHeader/>
        </w:trPr>
        <w:tc>
          <w:tcPr>
            <w:tcW w:w="1291" w:type="dxa"/>
            <w:tcBorders>
              <w:top w:val="single" w:sz="4" w:space="0" w:color="auto"/>
              <w:left w:val="single" w:sz="4" w:space="0" w:color="auto"/>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theme="minorHAnsi"/>
                <w:b/>
                <w:bCs/>
                <w:color w:val="000000"/>
                <w:sz w:val="18"/>
                <w:szCs w:val="18"/>
                <w:lang w:val="es-CO" w:eastAsia="es-CO"/>
              </w:rPr>
            </w:pPr>
            <w:r w:rsidRPr="00535E30">
              <w:rPr>
                <w:rFonts w:asciiTheme="minorHAnsi" w:eastAsia="Times New Roman" w:hAnsiTheme="minorHAnsi" w:cstheme="minorHAnsi"/>
                <w:b/>
                <w:bCs/>
                <w:color w:val="000000"/>
                <w:sz w:val="18"/>
                <w:szCs w:val="18"/>
                <w:lang w:val="es-CO" w:eastAsia="es-CO"/>
              </w:rPr>
              <w:t>Proyecto</w:t>
            </w:r>
          </w:p>
        </w:tc>
        <w:tc>
          <w:tcPr>
            <w:tcW w:w="1559" w:type="dxa"/>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theme="minorHAnsi"/>
                <w:b/>
                <w:bCs/>
                <w:color w:val="000000"/>
                <w:sz w:val="18"/>
                <w:szCs w:val="18"/>
                <w:lang w:val="es-CO" w:eastAsia="es-CO"/>
              </w:rPr>
            </w:pPr>
            <w:r w:rsidRPr="00535E30">
              <w:rPr>
                <w:rFonts w:asciiTheme="minorHAnsi" w:eastAsia="Times New Roman" w:hAnsiTheme="minorHAnsi" w:cstheme="minorHAnsi"/>
                <w:b/>
                <w:bCs/>
                <w:color w:val="000000"/>
                <w:sz w:val="18"/>
                <w:szCs w:val="18"/>
                <w:lang w:val="es-CO" w:eastAsia="es-CO"/>
              </w:rPr>
              <w:t>Plan Operativo</w:t>
            </w:r>
          </w:p>
        </w:tc>
        <w:tc>
          <w:tcPr>
            <w:tcW w:w="3119" w:type="dxa"/>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theme="minorHAnsi"/>
                <w:b/>
                <w:bCs/>
                <w:color w:val="000000"/>
                <w:sz w:val="18"/>
                <w:szCs w:val="18"/>
                <w:lang w:val="es-CO" w:eastAsia="es-CO"/>
              </w:rPr>
            </w:pPr>
            <w:r w:rsidRPr="00535E30">
              <w:rPr>
                <w:rFonts w:asciiTheme="minorHAnsi" w:eastAsia="Times New Roman" w:hAnsiTheme="minorHAnsi" w:cstheme="minorHAnsi"/>
                <w:b/>
                <w:bCs/>
                <w:color w:val="000000"/>
                <w:sz w:val="18"/>
                <w:szCs w:val="18"/>
                <w:lang w:val="es-CO" w:eastAsia="es-CO"/>
              </w:rPr>
              <w:t>Indicadores</w:t>
            </w:r>
          </w:p>
        </w:tc>
        <w:tc>
          <w:tcPr>
            <w:tcW w:w="850" w:type="dxa"/>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theme="minorHAnsi"/>
                <w:b/>
                <w:bCs/>
                <w:color w:val="000000"/>
                <w:sz w:val="18"/>
                <w:szCs w:val="18"/>
                <w:lang w:val="es-CO" w:eastAsia="es-CO"/>
              </w:rPr>
            </w:pPr>
            <w:r w:rsidRPr="00535E30">
              <w:rPr>
                <w:rFonts w:asciiTheme="minorHAnsi" w:eastAsia="Times New Roman" w:hAnsiTheme="minorHAnsi" w:cstheme="minorHAnsi"/>
                <w:b/>
                <w:bCs/>
                <w:color w:val="000000"/>
                <w:sz w:val="18"/>
                <w:szCs w:val="18"/>
                <w:lang w:val="es-CO" w:eastAsia="es-CO"/>
              </w:rPr>
              <w:t>Meta</w:t>
            </w:r>
          </w:p>
        </w:tc>
        <w:tc>
          <w:tcPr>
            <w:tcW w:w="851" w:type="dxa"/>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theme="minorHAnsi"/>
                <w:b/>
                <w:bCs/>
                <w:color w:val="000000"/>
                <w:sz w:val="18"/>
                <w:szCs w:val="18"/>
                <w:lang w:val="es-CO" w:eastAsia="es-CO"/>
              </w:rPr>
            </w:pPr>
            <w:r w:rsidRPr="00535E30">
              <w:rPr>
                <w:rFonts w:asciiTheme="minorHAnsi" w:eastAsia="Times New Roman" w:hAnsiTheme="minorHAnsi" w:cstheme="minorHAnsi"/>
                <w:b/>
                <w:bCs/>
                <w:color w:val="000000"/>
                <w:sz w:val="18"/>
                <w:szCs w:val="18"/>
                <w:lang w:val="es-CO" w:eastAsia="es-CO"/>
              </w:rPr>
              <w:t>Avance</w:t>
            </w:r>
          </w:p>
        </w:tc>
        <w:tc>
          <w:tcPr>
            <w:tcW w:w="1417" w:type="dxa"/>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theme="minorHAnsi"/>
                <w:b/>
                <w:bCs/>
                <w:color w:val="000000"/>
                <w:sz w:val="18"/>
                <w:szCs w:val="18"/>
                <w:lang w:val="es-CO" w:eastAsia="es-CO"/>
              </w:rPr>
            </w:pPr>
            <w:r w:rsidRPr="00535E30">
              <w:rPr>
                <w:rFonts w:asciiTheme="minorHAnsi" w:eastAsia="Times New Roman" w:hAnsiTheme="minorHAnsi" w:cstheme="minorHAnsi"/>
                <w:b/>
                <w:bCs/>
                <w:color w:val="000000"/>
                <w:sz w:val="18"/>
                <w:szCs w:val="18"/>
                <w:lang w:val="es-CO" w:eastAsia="es-CO"/>
              </w:rPr>
              <w:t>% cumplimiento</w:t>
            </w:r>
          </w:p>
        </w:tc>
      </w:tr>
      <w:tr w:rsidR="00475419" w:rsidRPr="00535E30" w:rsidTr="005678E7">
        <w:trPr>
          <w:trHeight w:val="825"/>
        </w:trPr>
        <w:tc>
          <w:tcPr>
            <w:tcW w:w="1291" w:type="dxa"/>
            <w:vMerge w:val="restart"/>
            <w:tcBorders>
              <w:top w:val="nil"/>
              <w:left w:val="single" w:sz="4" w:space="0" w:color="auto"/>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Aprestamiento Institucional</w:t>
            </w:r>
          </w:p>
        </w:tc>
        <w:tc>
          <w:tcPr>
            <w:tcW w:w="1559" w:type="dxa"/>
            <w:vMerge w:val="restart"/>
            <w:tcBorders>
              <w:top w:val="nil"/>
              <w:left w:val="single" w:sz="4" w:space="0" w:color="auto"/>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Acompañamiento Alianzas Existentes</w:t>
            </w:r>
          </w:p>
        </w:tc>
        <w:tc>
          <w:tcPr>
            <w:tcW w:w="311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Socialización Manual de Alianzas con facultades (Número de facultades con socialización del Manual de Alianzas Estratégicas.)</w:t>
            </w:r>
          </w:p>
        </w:tc>
        <w:tc>
          <w:tcPr>
            <w:tcW w:w="850"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9</w:t>
            </w:r>
          </w:p>
        </w:tc>
        <w:tc>
          <w:tcPr>
            <w:tcW w:w="851"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9</w:t>
            </w:r>
          </w:p>
        </w:tc>
        <w:tc>
          <w:tcPr>
            <w:tcW w:w="1417" w:type="dxa"/>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r w:rsidR="00475419" w:rsidRPr="00535E30" w:rsidTr="005678E7">
        <w:trPr>
          <w:trHeight w:val="183"/>
        </w:trPr>
        <w:tc>
          <w:tcPr>
            <w:tcW w:w="1291" w:type="dxa"/>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559" w:type="dxa"/>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311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Gestión y dinamización de los proyectos formulados Porcentaje de proyectos Gestionados (Proyectos Gestionados/ Proyectos Formulados en Diplomados)</w:t>
            </w:r>
          </w:p>
        </w:tc>
        <w:tc>
          <w:tcPr>
            <w:tcW w:w="850"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60</w:t>
            </w:r>
          </w:p>
        </w:tc>
        <w:tc>
          <w:tcPr>
            <w:tcW w:w="851"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60</w:t>
            </w:r>
          </w:p>
        </w:tc>
        <w:tc>
          <w:tcPr>
            <w:tcW w:w="1417" w:type="dxa"/>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r w:rsidR="00475419" w:rsidRPr="00535E30" w:rsidTr="005678E7">
        <w:trPr>
          <w:trHeight w:val="510"/>
        </w:trPr>
        <w:tc>
          <w:tcPr>
            <w:tcW w:w="1291" w:type="dxa"/>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559" w:type="dxa"/>
            <w:vMerge w:val="restart"/>
            <w:tcBorders>
              <w:top w:val="nil"/>
              <w:left w:val="single" w:sz="4" w:space="0" w:color="auto"/>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Sistema de Gerencia para las Alianzas</w:t>
            </w:r>
          </w:p>
        </w:tc>
        <w:tc>
          <w:tcPr>
            <w:tcW w:w="311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Socialización de la Movilización social al interior de la UTP (Numero de eventos realizados)</w:t>
            </w:r>
          </w:p>
        </w:tc>
        <w:tc>
          <w:tcPr>
            <w:tcW w:w="850"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3</w:t>
            </w:r>
          </w:p>
        </w:tc>
        <w:tc>
          <w:tcPr>
            <w:tcW w:w="851"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3</w:t>
            </w:r>
          </w:p>
        </w:tc>
        <w:tc>
          <w:tcPr>
            <w:tcW w:w="1417" w:type="dxa"/>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r w:rsidR="00475419" w:rsidRPr="00535E30" w:rsidTr="005678E7">
        <w:trPr>
          <w:trHeight w:val="93"/>
        </w:trPr>
        <w:tc>
          <w:tcPr>
            <w:tcW w:w="1291" w:type="dxa"/>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559" w:type="dxa"/>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311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Formulación del Sistema de Gerencia para las Alianzas Estratégicas (% de alianzas con reportes en el SIGOB)</w:t>
            </w:r>
          </w:p>
        </w:tc>
        <w:tc>
          <w:tcPr>
            <w:tcW w:w="850"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w:t>
            </w:r>
          </w:p>
        </w:tc>
        <w:tc>
          <w:tcPr>
            <w:tcW w:w="851"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w:t>
            </w:r>
          </w:p>
        </w:tc>
        <w:tc>
          <w:tcPr>
            <w:tcW w:w="1417" w:type="dxa"/>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r w:rsidR="00475419" w:rsidRPr="00535E30" w:rsidTr="005678E7">
        <w:trPr>
          <w:trHeight w:val="765"/>
        </w:trPr>
        <w:tc>
          <w:tcPr>
            <w:tcW w:w="1291" w:type="dxa"/>
            <w:vMerge w:val="restart"/>
            <w:tcBorders>
              <w:top w:val="nil"/>
              <w:left w:val="single" w:sz="4" w:space="0" w:color="auto"/>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Vigilancia e inteligencia competitiva</w:t>
            </w:r>
          </w:p>
        </w:tc>
        <w:tc>
          <w:tcPr>
            <w:tcW w:w="155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Puesta en Marcha del sistema de VT</w:t>
            </w:r>
          </w:p>
        </w:tc>
        <w:tc>
          <w:tcPr>
            <w:tcW w:w="311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Propuesta del Sistema de VT e IC de las Alianzas Estratégicas (Puesta en marcha del sistema de Vigilancia de la Oficina de Planeación (Piloto))</w:t>
            </w:r>
          </w:p>
        </w:tc>
        <w:tc>
          <w:tcPr>
            <w:tcW w:w="850"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50</w:t>
            </w:r>
          </w:p>
        </w:tc>
        <w:tc>
          <w:tcPr>
            <w:tcW w:w="851"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49,7</w:t>
            </w:r>
          </w:p>
        </w:tc>
        <w:tc>
          <w:tcPr>
            <w:tcW w:w="1417" w:type="dxa"/>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99,40%</w:t>
            </w:r>
          </w:p>
        </w:tc>
      </w:tr>
      <w:tr w:rsidR="00475419" w:rsidRPr="00535E30" w:rsidTr="005678E7">
        <w:trPr>
          <w:trHeight w:val="70"/>
        </w:trPr>
        <w:tc>
          <w:tcPr>
            <w:tcW w:w="1291" w:type="dxa"/>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55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Informes del entorno</w:t>
            </w:r>
          </w:p>
        </w:tc>
        <w:tc>
          <w:tcPr>
            <w:tcW w:w="311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Informes del entorno entregados para la toma de decisiones</w:t>
            </w:r>
          </w:p>
        </w:tc>
        <w:tc>
          <w:tcPr>
            <w:tcW w:w="850"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6</w:t>
            </w:r>
          </w:p>
        </w:tc>
        <w:tc>
          <w:tcPr>
            <w:tcW w:w="851"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6</w:t>
            </w:r>
          </w:p>
        </w:tc>
        <w:tc>
          <w:tcPr>
            <w:tcW w:w="1417" w:type="dxa"/>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r w:rsidR="00475419" w:rsidRPr="00535E30" w:rsidTr="005678E7">
        <w:trPr>
          <w:trHeight w:val="615"/>
        </w:trPr>
        <w:tc>
          <w:tcPr>
            <w:tcW w:w="1291" w:type="dxa"/>
            <w:vMerge w:val="restart"/>
            <w:tcBorders>
              <w:top w:val="nil"/>
              <w:left w:val="single" w:sz="4" w:space="0" w:color="auto"/>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Movilización social</w:t>
            </w:r>
          </w:p>
        </w:tc>
        <w:tc>
          <w:tcPr>
            <w:tcW w:w="155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Definición del sentido de la Movilización</w:t>
            </w:r>
          </w:p>
        </w:tc>
        <w:tc>
          <w:tcPr>
            <w:tcW w:w="311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Nivel de avance del sentido</w:t>
            </w:r>
          </w:p>
        </w:tc>
        <w:tc>
          <w:tcPr>
            <w:tcW w:w="850"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w:t>
            </w:r>
          </w:p>
        </w:tc>
        <w:tc>
          <w:tcPr>
            <w:tcW w:w="851"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w:t>
            </w:r>
          </w:p>
        </w:tc>
        <w:tc>
          <w:tcPr>
            <w:tcW w:w="1417" w:type="dxa"/>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r w:rsidR="00475419" w:rsidRPr="00535E30" w:rsidTr="005678E7">
        <w:trPr>
          <w:trHeight w:val="525"/>
        </w:trPr>
        <w:tc>
          <w:tcPr>
            <w:tcW w:w="1291" w:type="dxa"/>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55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Difusión del sentido de la movilización</w:t>
            </w:r>
          </w:p>
        </w:tc>
        <w:tc>
          <w:tcPr>
            <w:tcW w:w="311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 xml:space="preserve">Número total de personas difundidas por los </w:t>
            </w:r>
            <w:proofErr w:type="spellStart"/>
            <w:r w:rsidRPr="00535E30">
              <w:rPr>
                <w:rFonts w:asciiTheme="minorHAnsi" w:eastAsia="Times New Roman" w:hAnsiTheme="minorHAnsi" w:cstheme="minorHAnsi"/>
                <w:sz w:val="18"/>
                <w:szCs w:val="18"/>
                <w:lang w:val="es-CO" w:eastAsia="es-CO"/>
              </w:rPr>
              <w:t>reeditores</w:t>
            </w:r>
            <w:proofErr w:type="spellEnd"/>
          </w:p>
        </w:tc>
        <w:tc>
          <w:tcPr>
            <w:tcW w:w="850"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25000</w:t>
            </w:r>
          </w:p>
        </w:tc>
        <w:tc>
          <w:tcPr>
            <w:tcW w:w="851"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20194</w:t>
            </w:r>
          </w:p>
        </w:tc>
        <w:tc>
          <w:tcPr>
            <w:tcW w:w="1417" w:type="dxa"/>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80,78%</w:t>
            </w:r>
          </w:p>
        </w:tc>
      </w:tr>
      <w:tr w:rsidR="00475419" w:rsidRPr="00535E30" w:rsidTr="005678E7">
        <w:trPr>
          <w:trHeight w:val="510"/>
        </w:trPr>
        <w:tc>
          <w:tcPr>
            <w:tcW w:w="1291" w:type="dxa"/>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55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Generación de acuerdos de trabajo</w:t>
            </w:r>
          </w:p>
        </w:tc>
        <w:tc>
          <w:tcPr>
            <w:tcW w:w="311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 xml:space="preserve">Número de personas que se vinculan a multiplicar el mensaje de la Movilización Social </w:t>
            </w:r>
          </w:p>
        </w:tc>
        <w:tc>
          <w:tcPr>
            <w:tcW w:w="850"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236</w:t>
            </w:r>
          </w:p>
        </w:tc>
        <w:tc>
          <w:tcPr>
            <w:tcW w:w="851"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236</w:t>
            </w:r>
          </w:p>
        </w:tc>
        <w:tc>
          <w:tcPr>
            <w:tcW w:w="1417" w:type="dxa"/>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r w:rsidR="00475419" w:rsidRPr="00535E30" w:rsidTr="005678E7">
        <w:trPr>
          <w:trHeight w:val="70"/>
        </w:trPr>
        <w:tc>
          <w:tcPr>
            <w:tcW w:w="1291" w:type="dxa"/>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559" w:type="dxa"/>
            <w:vMerge w:val="restart"/>
            <w:tcBorders>
              <w:top w:val="nil"/>
              <w:left w:val="single" w:sz="4" w:space="0" w:color="auto"/>
              <w:bottom w:val="single" w:sz="4" w:space="0" w:color="000000"/>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 xml:space="preserve">Formulación de políticas públicas, </w:t>
            </w:r>
            <w:r w:rsidRPr="00535E30">
              <w:rPr>
                <w:rFonts w:asciiTheme="minorHAnsi" w:eastAsia="Times New Roman" w:hAnsiTheme="minorHAnsi" w:cstheme="minorHAnsi"/>
                <w:sz w:val="18"/>
                <w:szCs w:val="18"/>
                <w:lang w:val="es-CO" w:eastAsia="es-CO"/>
              </w:rPr>
              <w:lastRenderedPageBreak/>
              <w:t>proyectos estructurales y de alto impacto</w:t>
            </w:r>
          </w:p>
        </w:tc>
        <w:tc>
          <w:tcPr>
            <w:tcW w:w="311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lastRenderedPageBreak/>
              <w:t xml:space="preserve">Número de propuestas para las Políticas Públicas. </w:t>
            </w:r>
          </w:p>
        </w:tc>
        <w:tc>
          <w:tcPr>
            <w:tcW w:w="850"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3</w:t>
            </w:r>
          </w:p>
        </w:tc>
        <w:tc>
          <w:tcPr>
            <w:tcW w:w="851"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3</w:t>
            </w:r>
          </w:p>
        </w:tc>
        <w:tc>
          <w:tcPr>
            <w:tcW w:w="1417" w:type="dxa"/>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r w:rsidR="00475419" w:rsidRPr="00535E30" w:rsidTr="005678E7">
        <w:trPr>
          <w:trHeight w:val="510"/>
        </w:trPr>
        <w:tc>
          <w:tcPr>
            <w:tcW w:w="1291" w:type="dxa"/>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559" w:type="dxa"/>
            <w:vMerge/>
            <w:tcBorders>
              <w:top w:val="nil"/>
              <w:left w:val="single" w:sz="4" w:space="0" w:color="auto"/>
              <w:bottom w:val="single" w:sz="4" w:space="0" w:color="000000"/>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311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 xml:space="preserve"> Número de Proyectos construidos conjuntamente con actores de la Movilización Social. </w:t>
            </w:r>
          </w:p>
        </w:tc>
        <w:tc>
          <w:tcPr>
            <w:tcW w:w="850"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3</w:t>
            </w:r>
          </w:p>
        </w:tc>
        <w:tc>
          <w:tcPr>
            <w:tcW w:w="851"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3</w:t>
            </w:r>
          </w:p>
        </w:tc>
        <w:tc>
          <w:tcPr>
            <w:tcW w:w="1417" w:type="dxa"/>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r w:rsidR="00475419" w:rsidRPr="00535E30" w:rsidTr="005678E7">
        <w:trPr>
          <w:trHeight w:val="510"/>
        </w:trPr>
        <w:tc>
          <w:tcPr>
            <w:tcW w:w="1291" w:type="dxa"/>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559" w:type="dxa"/>
            <w:vMerge w:val="restart"/>
            <w:tcBorders>
              <w:top w:val="nil"/>
              <w:left w:val="single" w:sz="4" w:space="0" w:color="auto"/>
              <w:bottom w:val="single" w:sz="4" w:space="0" w:color="000000"/>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Sistematización de la experiencia y transferencia del modelo</w:t>
            </w:r>
          </w:p>
        </w:tc>
        <w:tc>
          <w:tcPr>
            <w:tcW w:w="3119" w:type="dxa"/>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Porcentaje de avance en la sistematización de la experiencia</w:t>
            </w:r>
          </w:p>
        </w:tc>
        <w:tc>
          <w:tcPr>
            <w:tcW w:w="850" w:type="dxa"/>
            <w:tcBorders>
              <w:top w:val="nil"/>
              <w:left w:val="nil"/>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w:t>
            </w:r>
          </w:p>
        </w:tc>
        <w:tc>
          <w:tcPr>
            <w:tcW w:w="851" w:type="dxa"/>
            <w:tcBorders>
              <w:top w:val="nil"/>
              <w:left w:val="nil"/>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w:t>
            </w:r>
          </w:p>
        </w:tc>
        <w:tc>
          <w:tcPr>
            <w:tcW w:w="1417" w:type="dxa"/>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r w:rsidR="00475419" w:rsidRPr="00535E30" w:rsidTr="005678E7">
        <w:trPr>
          <w:trHeight w:val="255"/>
        </w:trPr>
        <w:tc>
          <w:tcPr>
            <w:tcW w:w="1291" w:type="dxa"/>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559" w:type="dxa"/>
            <w:vMerge/>
            <w:tcBorders>
              <w:top w:val="nil"/>
              <w:left w:val="single" w:sz="4" w:space="0" w:color="auto"/>
              <w:bottom w:val="single" w:sz="4" w:space="0" w:color="000000"/>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3119" w:type="dxa"/>
            <w:tcBorders>
              <w:top w:val="nil"/>
              <w:left w:val="nil"/>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Número de departamentos que conocen el modelo</w:t>
            </w:r>
          </w:p>
        </w:tc>
        <w:tc>
          <w:tcPr>
            <w:tcW w:w="850" w:type="dxa"/>
            <w:tcBorders>
              <w:top w:val="nil"/>
              <w:left w:val="nil"/>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3</w:t>
            </w:r>
          </w:p>
        </w:tc>
        <w:tc>
          <w:tcPr>
            <w:tcW w:w="851" w:type="dxa"/>
            <w:tcBorders>
              <w:top w:val="nil"/>
              <w:left w:val="nil"/>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3</w:t>
            </w:r>
          </w:p>
        </w:tc>
        <w:tc>
          <w:tcPr>
            <w:tcW w:w="1417" w:type="dxa"/>
            <w:tcBorders>
              <w:top w:val="nil"/>
              <w:left w:val="nil"/>
              <w:bottom w:val="single" w:sz="4" w:space="0" w:color="auto"/>
              <w:right w:val="single" w:sz="4" w:space="0" w:color="auto"/>
            </w:tcBorders>
            <w:shd w:val="clear" w:color="000000" w:fill="C4D79B"/>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100,00%</w:t>
            </w:r>
          </w:p>
        </w:tc>
      </w:tr>
    </w:tbl>
    <w:p w:rsidR="00475419" w:rsidRPr="00535E30" w:rsidRDefault="00475419" w:rsidP="00475419">
      <w:pPr>
        <w:spacing w:after="200" w:line="276" w:lineRule="auto"/>
        <w:jc w:val="left"/>
        <w:rPr>
          <w:rFonts w:asciiTheme="minorHAnsi" w:hAnsiTheme="minorHAnsi" w:cs="Arial"/>
          <w:color w:val="000000"/>
          <w:lang w:val="es-CO"/>
        </w:rPr>
      </w:pPr>
    </w:p>
    <w:p w:rsidR="00475419" w:rsidRPr="00535E30" w:rsidRDefault="00475419" w:rsidP="00475419">
      <w:pPr>
        <w:pStyle w:val="Ttulo2"/>
        <w:spacing w:line="276" w:lineRule="auto"/>
        <w:rPr>
          <w:lang w:val="es-CO"/>
        </w:rPr>
      </w:pPr>
      <w:bookmarkStart w:id="225" w:name="_Toc347392866"/>
      <w:bookmarkStart w:id="226" w:name="_Toc350957802"/>
      <w:bookmarkStart w:id="227" w:name="_Toc354671395"/>
      <w:r w:rsidRPr="00535E30">
        <w:rPr>
          <w:lang w:val="es-CO"/>
        </w:rPr>
        <w:t>INDICADORES QUE SOBREPASARON EL 100% DE CUMPLIMIENTO</w:t>
      </w:r>
      <w:bookmarkEnd w:id="225"/>
      <w:bookmarkEnd w:id="226"/>
      <w:bookmarkEnd w:id="227"/>
    </w:p>
    <w:p w:rsidR="00475419" w:rsidRPr="00535E30" w:rsidRDefault="00475419" w:rsidP="00475419">
      <w:pPr>
        <w:spacing w:line="276" w:lineRule="auto"/>
        <w:rPr>
          <w:rFonts w:asciiTheme="minorHAnsi" w:hAnsiTheme="minorHAnsi"/>
          <w:lang w:val="es-CO"/>
        </w:rPr>
      </w:pPr>
    </w:p>
    <w:p w:rsidR="00475419" w:rsidRPr="00535E30" w:rsidRDefault="00475419" w:rsidP="00475419">
      <w:pPr>
        <w:spacing w:line="276" w:lineRule="auto"/>
        <w:rPr>
          <w:rFonts w:asciiTheme="minorHAnsi" w:hAnsiTheme="minorHAnsi"/>
        </w:rPr>
      </w:pPr>
      <w:r w:rsidRPr="00535E30">
        <w:rPr>
          <w:rFonts w:asciiTheme="minorHAnsi" w:hAnsiTheme="minorHAnsi"/>
        </w:rPr>
        <w:t>Cuatro objetivos institucionales presentaron indicadores con nivel de cumplimiento superior al 100% para un total de 27 indicadores: Cobertura con Calidad; Bienestar Institucional; Investigaciones, innovación y extensión; e internacionalización. A continuación se mencionan los indicadores de plan operativo con esta característica de cumplimiento:</w:t>
      </w:r>
    </w:p>
    <w:p w:rsidR="00475419" w:rsidRPr="00535E30" w:rsidRDefault="00475419" w:rsidP="00475419">
      <w:pPr>
        <w:spacing w:line="276" w:lineRule="auto"/>
        <w:rPr>
          <w:rFonts w:asciiTheme="minorHAnsi" w:hAnsiTheme="minorHAnsi"/>
        </w:rPr>
      </w:pPr>
    </w:p>
    <w:tbl>
      <w:tblPr>
        <w:tblW w:w="5091" w:type="pct"/>
        <w:tblLayout w:type="fixed"/>
        <w:tblCellMar>
          <w:left w:w="70" w:type="dxa"/>
          <w:right w:w="70" w:type="dxa"/>
        </w:tblCellMar>
        <w:tblLook w:val="04A0" w:firstRow="1" w:lastRow="0" w:firstColumn="1" w:lastColumn="0" w:noHBand="0" w:noVBand="1"/>
      </w:tblPr>
      <w:tblGrid>
        <w:gridCol w:w="1207"/>
        <w:gridCol w:w="1276"/>
        <w:gridCol w:w="1989"/>
        <w:gridCol w:w="1978"/>
        <w:gridCol w:w="709"/>
        <w:gridCol w:w="708"/>
        <w:gridCol w:w="1274"/>
      </w:tblGrid>
      <w:tr w:rsidR="00475419" w:rsidRPr="00535E30" w:rsidTr="005678E7">
        <w:trPr>
          <w:trHeight w:val="300"/>
          <w:tblHeader/>
        </w:trPr>
        <w:tc>
          <w:tcPr>
            <w:tcW w:w="660" w:type="pct"/>
            <w:tcBorders>
              <w:top w:val="single" w:sz="4" w:space="0" w:color="auto"/>
              <w:left w:val="single" w:sz="4" w:space="0" w:color="auto"/>
              <w:bottom w:val="single" w:sz="4" w:space="0" w:color="auto"/>
              <w:right w:val="single" w:sz="4" w:space="0" w:color="auto"/>
            </w:tcBorders>
            <w:shd w:val="clear" w:color="000000" w:fill="C5D9F1"/>
          </w:tcPr>
          <w:p w:rsidR="00475419" w:rsidRPr="00535E30" w:rsidRDefault="00475419" w:rsidP="005678E7">
            <w:pPr>
              <w:spacing w:after="0" w:line="276" w:lineRule="auto"/>
              <w:jc w:val="center"/>
              <w:rPr>
                <w:rFonts w:asciiTheme="minorHAnsi" w:eastAsia="Times New Roman" w:hAnsiTheme="minorHAnsi" w:cstheme="minorHAnsi"/>
                <w:b/>
                <w:bCs/>
                <w:color w:val="000000"/>
                <w:sz w:val="18"/>
                <w:szCs w:val="18"/>
                <w:lang w:val="es-CO" w:eastAsia="es-CO"/>
              </w:rPr>
            </w:pPr>
            <w:r w:rsidRPr="00535E30">
              <w:rPr>
                <w:rFonts w:asciiTheme="minorHAnsi" w:eastAsia="Times New Roman" w:hAnsiTheme="minorHAnsi" w:cstheme="minorHAnsi"/>
                <w:b/>
                <w:bCs/>
                <w:color w:val="000000"/>
                <w:sz w:val="18"/>
                <w:szCs w:val="18"/>
                <w:lang w:val="es-CO" w:eastAsia="es-CO"/>
              </w:rPr>
              <w:t>Objetivo institucional</w:t>
            </w:r>
          </w:p>
        </w:tc>
        <w:tc>
          <w:tcPr>
            <w:tcW w:w="698" w:type="pct"/>
            <w:tcBorders>
              <w:top w:val="single" w:sz="4" w:space="0" w:color="auto"/>
              <w:left w:val="single" w:sz="4" w:space="0" w:color="auto"/>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theme="minorHAnsi"/>
                <w:b/>
                <w:bCs/>
                <w:color w:val="000000"/>
                <w:sz w:val="18"/>
                <w:szCs w:val="18"/>
                <w:lang w:val="es-CO" w:eastAsia="es-CO"/>
              </w:rPr>
            </w:pPr>
            <w:r w:rsidRPr="00535E30">
              <w:rPr>
                <w:rFonts w:asciiTheme="minorHAnsi" w:eastAsia="Times New Roman" w:hAnsiTheme="minorHAnsi" w:cstheme="minorHAnsi"/>
                <w:b/>
                <w:bCs/>
                <w:color w:val="000000"/>
                <w:sz w:val="18"/>
                <w:szCs w:val="18"/>
                <w:lang w:val="es-CO" w:eastAsia="es-CO"/>
              </w:rPr>
              <w:t>Proyecto</w:t>
            </w:r>
          </w:p>
        </w:tc>
        <w:tc>
          <w:tcPr>
            <w:tcW w:w="1088" w:type="pct"/>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left"/>
              <w:rPr>
                <w:rFonts w:asciiTheme="minorHAnsi" w:eastAsia="Times New Roman" w:hAnsiTheme="minorHAnsi" w:cstheme="minorHAnsi"/>
                <w:b/>
                <w:bCs/>
                <w:color w:val="000000"/>
                <w:sz w:val="18"/>
                <w:szCs w:val="18"/>
                <w:lang w:val="es-CO" w:eastAsia="es-CO"/>
              </w:rPr>
            </w:pPr>
            <w:r w:rsidRPr="00535E30">
              <w:rPr>
                <w:rFonts w:asciiTheme="minorHAnsi" w:eastAsia="Times New Roman" w:hAnsiTheme="minorHAnsi" w:cstheme="minorHAnsi"/>
                <w:b/>
                <w:bCs/>
                <w:color w:val="000000"/>
                <w:sz w:val="18"/>
                <w:szCs w:val="18"/>
                <w:lang w:val="es-CO" w:eastAsia="es-CO"/>
              </w:rPr>
              <w:t>Plan Operativo</w:t>
            </w:r>
          </w:p>
        </w:tc>
        <w:tc>
          <w:tcPr>
            <w:tcW w:w="1082" w:type="pct"/>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left"/>
              <w:rPr>
                <w:rFonts w:asciiTheme="minorHAnsi" w:eastAsia="Times New Roman" w:hAnsiTheme="minorHAnsi" w:cstheme="minorHAnsi"/>
                <w:b/>
                <w:bCs/>
                <w:color w:val="000000"/>
                <w:sz w:val="18"/>
                <w:szCs w:val="18"/>
                <w:lang w:val="es-CO" w:eastAsia="es-CO"/>
              </w:rPr>
            </w:pPr>
            <w:r w:rsidRPr="00535E30">
              <w:rPr>
                <w:rFonts w:asciiTheme="minorHAnsi" w:eastAsia="Times New Roman" w:hAnsiTheme="minorHAnsi" w:cstheme="minorHAnsi"/>
                <w:b/>
                <w:bCs/>
                <w:color w:val="000000"/>
                <w:sz w:val="18"/>
                <w:szCs w:val="18"/>
                <w:lang w:val="es-CO" w:eastAsia="es-CO"/>
              </w:rPr>
              <w:t>Indicadores</w:t>
            </w:r>
          </w:p>
        </w:tc>
        <w:tc>
          <w:tcPr>
            <w:tcW w:w="388" w:type="pct"/>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theme="minorHAnsi"/>
                <w:b/>
                <w:bCs/>
                <w:color w:val="000000"/>
                <w:sz w:val="18"/>
                <w:szCs w:val="18"/>
                <w:lang w:val="es-CO" w:eastAsia="es-CO"/>
              </w:rPr>
            </w:pPr>
            <w:r w:rsidRPr="00535E30">
              <w:rPr>
                <w:rFonts w:asciiTheme="minorHAnsi" w:eastAsia="Times New Roman" w:hAnsiTheme="minorHAnsi" w:cstheme="minorHAnsi"/>
                <w:b/>
                <w:bCs/>
                <w:color w:val="000000"/>
                <w:sz w:val="18"/>
                <w:szCs w:val="18"/>
                <w:lang w:val="es-CO" w:eastAsia="es-CO"/>
              </w:rPr>
              <w:t>Meta</w:t>
            </w:r>
          </w:p>
        </w:tc>
        <w:tc>
          <w:tcPr>
            <w:tcW w:w="387" w:type="pct"/>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theme="minorHAnsi"/>
                <w:b/>
                <w:bCs/>
                <w:color w:val="000000"/>
                <w:sz w:val="18"/>
                <w:szCs w:val="18"/>
                <w:lang w:val="es-CO" w:eastAsia="es-CO"/>
              </w:rPr>
            </w:pPr>
            <w:r w:rsidRPr="00535E30">
              <w:rPr>
                <w:rFonts w:asciiTheme="minorHAnsi" w:eastAsia="Times New Roman" w:hAnsiTheme="minorHAnsi" w:cstheme="minorHAnsi"/>
                <w:b/>
                <w:bCs/>
                <w:color w:val="000000"/>
                <w:sz w:val="18"/>
                <w:szCs w:val="18"/>
                <w:lang w:val="es-CO" w:eastAsia="es-CO"/>
              </w:rPr>
              <w:t>Avance</w:t>
            </w:r>
          </w:p>
        </w:tc>
        <w:tc>
          <w:tcPr>
            <w:tcW w:w="697" w:type="pct"/>
            <w:tcBorders>
              <w:top w:val="single" w:sz="4" w:space="0" w:color="auto"/>
              <w:left w:val="nil"/>
              <w:bottom w:val="single" w:sz="4" w:space="0" w:color="auto"/>
              <w:right w:val="single" w:sz="4" w:space="0" w:color="auto"/>
            </w:tcBorders>
            <w:shd w:val="clear" w:color="000000" w:fill="C5D9F1"/>
            <w:vAlign w:val="center"/>
            <w:hideMark/>
          </w:tcPr>
          <w:p w:rsidR="00475419" w:rsidRPr="00535E30" w:rsidRDefault="00475419" w:rsidP="005678E7">
            <w:pPr>
              <w:spacing w:after="0" w:line="276" w:lineRule="auto"/>
              <w:jc w:val="center"/>
              <w:rPr>
                <w:rFonts w:asciiTheme="minorHAnsi" w:eastAsia="Times New Roman" w:hAnsiTheme="minorHAnsi" w:cstheme="minorHAnsi"/>
                <w:b/>
                <w:bCs/>
                <w:color w:val="000000"/>
                <w:sz w:val="18"/>
                <w:szCs w:val="18"/>
                <w:lang w:val="es-CO" w:eastAsia="es-CO"/>
              </w:rPr>
            </w:pPr>
            <w:r w:rsidRPr="00535E30">
              <w:rPr>
                <w:rFonts w:asciiTheme="minorHAnsi" w:eastAsia="Times New Roman" w:hAnsiTheme="minorHAnsi" w:cstheme="minorHAnsi"/>
                <w:b/>
                <w:bCs/>
                <w:color w:val="000000"/>
                <w:sz w:val="18"/>
                <w:szCs w:val="18"/>
                <w:lang w:val="es-CO" w:eastAsia="es-CO"/>
              </w:rPr>
              <w:t>% cumplimiento</w:t>
            </w:r>
          </w:p>
        </w:tc>
      </w:tr>
      <w:tr w:rsidR="00475419" w:rsidRPr="00535E30" w:rsidTr="005678E7">
        <w:trPr>
          <w:trHeight w:val="659"/>
        </w:trPr>
        <w:tc>
          <w:tcPr>
            <w:tcW w:w="660" w:type="pct"/>
            <w:vMerge w:val="restart"/>
            <w:tcBorders>
              <w:top w:val="nil"/>
              <w:left w:val="single" w:sz="4" w:space="0" w:color="auto"/>
              <w:right w:val="single" w:sz="4" w:space="0" w:color="auto"/>
            </w:tcBorders>
            <w:vAlign w:val="center"/>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Cobertura con Calidad</w:t>
            </w:r>
          </w:p>
        </w:tc>
        <w:tc>
          <w:tcPr>
            <w:tcW w:w="698" w:type="pct"/>
            <w:tcBorders>
              <w:top w:val="nil"/>
              <w:left w:val="single" w:sz="4" w:space="0" w:color="auto"/>
              <w:bottom w:val="nil"/>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Educabilidad</w:t>
            </w:r>
          </w:p>
        </w:tc>
        <w:tc>
          <w:tcPr>
            <w:tcW w:w="10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 xml:space="preserve">pruebas para la identificación de perfiles de ingreso y medición de competencias </w:t>
            </w:r>
          </w:p>
        </w:tc>
        <w:tc>
          <w:tcPr>
            <w:tcW w:w="1082"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Estudiantes valorados en  todas las pruebas de competencias iniciales y de perfiles de ingreso ya implementadas</w:t>
            </w:r>
          </w:p>
        </w:tc>
        <w:tc>
          <w:tcPr>
            <w:tcW w:w="3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75</w:t>
            </w:r>
          </w:p>
        </w:tc>
        <w:tc>
          <w:tcPr>
            <w:tcW w:w="387"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82</w:t>
            </w:r>
          </w:p>
        </w:tc>
        <w:tc>
          <w:tcPr>
            <w:tcW w:w="697" w:type="pct"/>
            <w:tcBorders>
              <w:top w:val="nil"/>
              <w:left w:val="nil"/>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109,33%</w:t>
            </w:r>
          </w:p>
        </w:tc>
      </w:tr>
      <w:tr w:rsidR="00475419" w:rsidRPr="00535E30" w:rsidTr="005678E7">
        <w:trPr>
          <w:trHeight w:val="102"/>
        </w:trPr>
        <w:tc>
          <w:tcPr>
            <w:tcW w:w="660" w:type="pct"/>
            <w:vMerge/>
            <w:tcBorders>
              <w:left w:val="single" w:sz="4" w:space="0" w:color="auto"/>
              <w:right w:val="single" w:sz="4" w:space="0" w:color="auto"/>
            </w:tcBorders>
            <w:vAlign w:val="center"/>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p>
        </w:tc>
        <w:tc>
          <w:tcPr>
            <w:tcW w:w="698"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Aprendibilidad</w:t>
            </w:r>
          </w:p>
        </w:tc>
        <w:tc>
          <w:tcPr>
            <w:tcW w:w="10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observatorio académico</w:t>
            </w:r>
          </w:p>
        </w:tc>
        <w:tc>
          <w:tcPr>
            <w:tcW w:w="1082"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Observatorio académico</w:t>
            </w:r>
          </w:p>
        </w:tc>
        <w:tc>
          <w:tcPr>
            <w:tcW w:w="3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85</w:t>
            </w:r>
          </w:p>
        </w:tc>
        <w:tc>
          <w:tcPr>
            <w:tcW w:w="387"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94,1</w:t>
            </w:r>
          </w:p>
        </w:tc>
        <w:tc>
          <w:tcPr>
            <w:tcW w:w="697" w:type="pct"/>
            <w:tcBorders>
              <w:top w:val="nil"/>
              <w:left w:val="nil"/>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110,38%</w:t>
            </w:r>
          </w:p>
        </w:tc>
      </w:tr>
      <w:tr w:rsidR="00475419" w:rsidRPr="00535E30" w:rsidTr="005678E7">
        <w:trPr>
          <w:trHeight w:val="363"/>
        </w:trPr>
        <w:tc>
          <w:tcPr>
            <w:tcW w:w="660" w:type="pct"/>
            <w:vMerge/>
            <w:tcBorders>
              <w:left w:val="single" w:sz="4" w:space="0" w:color="auto"/>
              <w:right w:val="single" w:sz="4" w:space="0" w:color="auto"/>
            </w:tcBorders>
            <w:vAlign w:val="center"/>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p>
        </w:tc>
        <w:tc>
          <w:tcPr>
            <w:tcW w:w="698" w:type="pct"/>
            <w:vMerge/>
            <w:tcBorders>
              <w:top w:val="single" w:sz="4" w:space="0" w:color="auto"/>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0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programa de acompañamiento académico</w:t>
            </w:r>
          </w:p>
        </w:tc>
        <w:tc>
          <w:tcPr>
            <w:tcW w:w="1082"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Acompañamiento académico</w:t>
            </w:r>
          </w:p>
        </w:tc>
        <w:tc>
          <w:tcPr>
            <w:tcW w:w="3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85</w:t>
            </w:r>
          </w:p>
        </w:tc>
        <w:tc>
          <w:tcPr>
            <w:tcW w:w="387"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w:t>
            </w:r>
          </w:p>
        </w:tc>
        <w:tc>
          <w:tcPr>
            <w:tcW w:w="697" w:type="pct"/>
            <w:tcBorders>
              <w:top w:val="nil"/>
              <w:left w:val="nil"/>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117,65%</w:t>
            </w:r>
          </w:p>
        </w:tc>
      </w:tr>
      <w:tr w:rsidR="00475419" w:rsidRPr="00535E30" w:rsidTr="005678E7">
        <w:trPr>
          <w:trHeight w:val="551"/>
        </w:trPr>
        <w:tc>
          <w:tcPr>
            <w:tcW w:w="660" w:type="pct"/>
            <w:vMerge/>
            <w:tcBorders>
              <w:left w:val="single" w:sz="4" w:space="0" w:color="auto"/>
              <w:bottom w:val="single" w:sz="4" w:space="0" w:color="auto"/>
              <w:right w:val="single" w:sz="4" w:space="0" w:color="auto"/>
            </w:tcBorders>
            <w:vAlign w:val="center"/>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p>
        </w:tc>
        <w:tc>
          <w:tcPr>
            <w:tcW w:w="698" w:type="pct"/>
            <w:tcBorders>
              <w:top w:val="nil"/>
              <w:left w:val="single" w:sz="4" w:space="0" w:color="auto"/>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Cobertura</w:t>
            </w:r>
          </w:p>
        </w:tc>
        <w:tc>
          <w:tcPr>
            <w:tcW w:w="10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proyecto para la permanencia y la retención estudiantil</w:t>
            </w:r>
          </w:p>
        </w:tc>
        <w:tc>
          <w:tcPr>
            <w:tcW w:w="1082"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Cumplimiento de las actividades del plan operativo: retención estudiantil</w:t>
            </w:r>
          </w:p>
        </w:tc>
        <w:tc>
          <w:tcPr>
            <w:tcW w:w="3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90</w:t>
            </w:r>
          </w:p>
        </w:tc>
        <w:tc>
          <w:tcPr>
            <w:tcW w:w="387"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100</w:t>
            </w:r>
          </w:p>
        </w:tc>
        <w:tc>
          <w:tcPr>
            <w:tcW w:w="697" w:type="pct"/>
            <w:tcBorders>
              <w:top w:val="nil"/>
              <w:left w:val="nil"/>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111,11%</w:t>
            </w:r>
          </w:p>
        </w:tc>
      </w:tr>
      <w:tr w:rsidR="00475419" w:rsidRPr="00535E30" w:rsidTr="005678E7">
        <w:trPr>
          <w:trHeight w:val="521"/>
        </w:trPr>
        <w:tc>
          <w:tcPr>
            <w:tcW w:w="660" w:type="pct"/>
            <w:vMerge w:val="restart"/>
            <w:tcBorders>
              <w:top w:val="nil"/>
              <w:left w:val="single" w:sz="4" w:space="0" w:color="auto"/>
              <w:right w:val="single" w:sz="4" w:space="0" w:color="auto"/>
            </w:tcBorders>
            <w:vAlign w:val="center"/>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Bienestar institucional</w:t>
            </w:r>
          </w:p>
        </w:tc>
        <w:tc>
          <w:tcPr>
            <w:tcW w:w="698" w:type="pct"/>
            <w:vMerge w:val="restart"/>
            <w:tcBorders>
              <w:top w:val="nil"/>
              <w:left w:val="single" w:sz="4" w:space="0" w:color="auto"/>
              <w:bottom w:val="single" w:sz="4" w:space="0" w:color="000000"/>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Formación Integral</w:t>
            </w:r>
          </w:p>
        </w:tc>
        <w:tc>
          <w:tcPr>
            <w:tcW w:w="10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Formación deportiva y uso del tiempo libre</w:t>
            </w:r>
          </w:p>
        </w:tc>
        <w:tc>
          <w:tcPr>
            <w:tcW w:w="1082"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Participaciones en acciones de formación deportiva y uso del tiempo libre</w:t>
            </w:r>
          </w:p>
        </w:tc>
        <w:tc>
          <w:tcPr>
            <w:tcW w:w="3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50000</w:t>
            </w:r>
          </w:p>
        </w:tc>
        <w:tc>
          <w:tcPr>
            <w:tcW w:w="387"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59821</w:t>
            </w:r>
          </w:p>
        </w:tc>
        <w:tc>
          <w:tcPr>
            <w:tcW w:w="697" w:type="pct"/>
            <w:tcBorders>
              <w:top w:val="nil"/>
              <w:left w:val="nil"/>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119,64%</w:t>
            </w:r>
          </w:p>
        </w:tc>
      </w:tr>
      <w:tr w:rsidR="00475419" w:rsidRPr="00535E30" w:rsidTr="005678E7">
        <w:trPr>
          <w:trHeight w:val="619"/>
        </w:trPr>
        <w:tc>
          <w:tcPr>
            <w:tcW w:w="660" w:type="pct"/>
            <w:vMerge/>
            <w:tcBorders>
              <w:left w:val="single" w:sz="4" w:space="0" w:color="auto"/>
              <w:right w:val="single" w:sz="4" w:space="0" w:color="auto"/>
            </w:tcBorders>
            <w:vAlign w:val="center"/>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p>
        </w:tc>
        <w:tc>
          <w:tcPr>
            <w:tcW w:w="698" w:type="pct"/>
            <w:vMerge/>
            <w:tcBorders>
              <w:top w:val="nil"/>
              <w:left w:val="single" w:sz="4" w:space="0" w:color="auto"/>
              <w:bottom w:val="single" w:sz="4" w:space="0" w:color="000000"/>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0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Formación en expresión artística y cultural</w:t>
            </w:r>
          </w:p>
        </w:tc>
        <w:tc>
          <w:tcPr>
            <w:tcW w:w="1082"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Participaciones en acciones de Formación en expresión artística y cultural</w:t>
            </w:r>
          </w:p>
        </w:tc>
        <w:tc>
          <w:tcPr>
            <w:tcW w:w="3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1500</w:t>
            </w:r>
          </w:p>
        </w:tc>
        <w:tc>
          <w:tcPr>
            <w:tcW w:w="387"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2206</w:t>
            </w:r>
          </w:p>
        </w:tc>
        <w:tc>
          <w:tcPr>
            <w:tcW w:w="697" w:type="pct"/>
            <w:tcBorders>
              <w:top w:val="nil"/>
              <w:left w:val="nil"/>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147,07%</w:t>
            </w:r>
          </w:p>
        </w:tc>
      </w:tr>
      <w:tr w:rsidR="00475419" w:rsidRPr="00535E30" w:rsidTr="005678E7">
        <w:trPr>
          <w:trHeight w:val="70"/>
        </w:trPr>
        <w:tc>
          <w:tcPr>
            <w:tcW w:w="660" w:type="pct"/>
            <w:vMerge/>
            <w:tcBorders>
              <w:left w:val="single" w:sz="4" w:space="0" w:color="auto"/>
              <w:right w:val="single" w:sz="4" w:space="0" w:color="auto"/>
            </w:tcBorders>
            <w:vAlign w:val="center"/>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p>
        </w:tc>
        <w:tc>
          <w:tcPr>
            <w:tcW w:w="698" w:type="pct"/>
            <w:vMerge w:val="restart"/>
            <w:tcBorders>
              <w:top w:val="nil"/>
              <w:left w:val="single" w:sz="4" w:space="0" w:color="auto"/>
              <w:bottom w:val="nil"/>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Salud Integral</w:t>
            </w:r>
          </w:p>
        </w:tc>
        <w:tc>
          <w:tcPr>
            <w:tcW w:w="1088" w:type="pct"/>
            <w:tcBorders>
              <w:top w:val="nil"/>
              <w:left w:val="nil"/>
              <w:bottom w:val="nil"/>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Apoyo Integral Incluyente</w:t>
            </w:r>
          </w:p>
        </w:tc>
        <w:tc>
          <w:tcPr>
            <w:tcW w:w="1082"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Participaciones en atención prioritaria</w:t>
            </w:r>
          </w:p>
        </w:tc>
        <w:tc>
          <w:tcPr>
            <w:tcW w:w="3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5000</w:t>
            </w:r>
          </w:p>
        </w:tc>
        <w:tc>
          <w:tcPr>
            <w:tcW w:w="387"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5385</w:t>
            </w:r>
          </w:p>
        </w:tc>
        <w:tc>
          <w:tcPr>
            <w:tcW w:w="697" w:type="pct"/>
            <w:tcBorders>
              <w:top w:val="nil"/>
              <w:left w:val="nil"/>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107,70%</w:t>
            </w:r>
          </w:p>
        </w:tc>
      </w:tr>
      <w:tr w:rsidR="00475419" w:rsidRPr="00535E30" w:rsidTr="005678E7">
        <w:trPr>
          <w:trHeight w:val="269"/>
        </w:trPr>
        <w:tc>
          <w:tcPr>
            <w:tcW w:w="660" w:type="pct"/>
            <w:vMerge/>
            <w:tcBorders>
              <w:left w:val="single" w:sz="4" w:space="0" w:color="auto"/>
              <w:right w:val="single" w:sz="4" w:space="0" w:color="auto"/>
            </w:tcBorders>
            <w:vAlign w:val="center"/>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p>
        </w:tc>
        <w:tc>
          <w:tcPr>
            <w:tcW w:w="698" w:type="pct"/>
            <w:vMerge/>
            <w:tcBorders>
              <w:top w:val="nil"/>
              <w:left w:val="single" w:sz="4" w:space="0" w:color="auto"/>
              <w:bottom w:val="nil"/>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088" w:type="pct"/>
            <w:tcBorders>
              <w:top w:val="single" w:sz="4" w:space="0" w:color="auto"/>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Entornos Universitarios Saludables</w:t>
            </w:r>
          </w:p>
        </w:tc>
        <w:tc>
          <w:tcPr>
            <w:tcW w:w="1082"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 xml:space="preserve">Participaciones en actividades para la promoción de entornos </w:t>
            </w:r>
            <w:r w:rsidRPr="00535E30">
              <w:rPr>
                <w:rFonts w:asciiTheme="minorHAnsi" w:eastAsia="Times New Roman" w:hAnsiTheme="minorHAnsi" w:cstheme="minorHAnsi"/>
                <w:sz w:val="18"/>
                <w:szCs w:val="18"/>
                <w:lang w:val="es-CO" w:eastAsia="es-CO"/>
              </w:rPr>
              <w:lastRenderedPageBreak/>
              <w:t>universitarios saludables</w:t>
            </w:r>
          </w:p>
        </w:tc>
        <w:tc>
          <w:tcPr>
            <w:tcW w:w="3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lastRenderedPageBreak/>
              <w:t>600</w:t>
            </w:r>
          </w:p>
        </w:tc>
        <w:tc>
          <w:tcPr>
            <w:tcW w:w="387"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1174</w:t>
            </w:r>
          </w:p>
        </w:tc>
        <w:tc>
          <w:tcPr>
            <w:tcW w:w="697" w:type="pct"/>
            <w:tcBorders>
              <w:top w:val="nil"/>
              <w:left w:val="nil"/>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195,67%</w:t>
            </w:r>
          </w:p>
        </w:tc>
      </w:tr>
      <w:tr w:rsidR="00475419" w:rsidRPr="00535E30" w:rsidTr="005678E7">
        <w:trPr>
          <w:trHeight w:val="240"/>
        </w:trPr>
        <w:tc>
          <w:tcPr>
            <w:tcW w:w="660" w:type="pct"/>
            <w:vMerge/>
            <w:tcBorders>
              <w:left w:val="single" w:sz="4" w:space="0" w:color="auto"/>
              <w:right w:val="single" w:sz="4" w:space="0" w:color="auto"/>
            </w:tcBorders>
            <w:vAlign w:val="center"/>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p>
        </w:tc>
        <w:tc>
          <w:tcPr>
            <w:tcW w:w="698" w:type="pct"/>
            <w:vMerge w:val="restart"/>
            <w:tcBorders>
              <w:top w:val="single" w:sz="4" w:space="0" w:color="auto"/>
              <w:left w:val="single" w:sz="4" w:space="0" w:color="auto"/>
              <w:bottom w:val="nil"/>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Atención integral y cultura democrática, participativa e incluyente</w:t>
            </w:r>
          </w:p>
        </w:tc>
        <w:tc>
          <w:tcPr>
            <w:tcW w:w="10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Promoción social</w:t>
            </w:r>
          </w:p>
        </w:tc>
        <w:tc>
          <w:tcPr>
            <w:tcW w:w="1082"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Población estudiantil en situación de vulnerabilidad</w:t>
            </w:r>
          </w:p>
        </w:tc>
        <w:tc>
          <w:tcPr>
            <w:tcW w:w="3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70</w:t>
            </w:r>
          </w:p>
        </w:tc>
        <w:tc>
          <w:tcPr>
            <w:tcW w:w="387"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87</w:t>
            </w:r>
          </w:p>
        </w:tc>
        <w:tc>
          <w:tcPr>
            <w:tcW w:w="697" w:type="pct"/>
            <w:tcBorders>
              <w:top w:val="nil"/>
              <w:left w:val="nil"/>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124,29%</w:t>
            </w:r>
          </w:p>
        </w:tc>
      </w:tr>
      <w:tr w:rsidR="00475419" w:rsidRPr="00535E30" w:rsidTr="005678E7">
        <w:trPr>
          <w:trHeight w:val="823"/>
        </w:trPr>
        <w:tc>
          <w:tcPr>
            <w:tcW w:w="660" w:type="pct"/>
            <w:vMerge/>
            <w:tcBorders>
              <w:left w:val="single" w:sz="4" w:space="0" w:color="auto"/>
              <w:right w:val="single" w:sz="4" w:space="0" w:color="auto"/>
            </w:tcBorders>
            <w:vAlign w:val="center"/>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p>
        </w:tc>
        <w:tc>
          <w:tcPr>
            <w:tcW w:w="698" w:type="pct"/>
            <w:vMerge/>
            <w:tcBorders>
              <w:top w:val="single" w:sz="4" w:space="0" w:color="auto"/>
              <w:left w:val="single" w:sz="4" w:space="0" w:color="auto"/>
              <w:bottom w:val="nil"/>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088" w:type="pct"/>
            <w:tcBorders>
              <w:top w:val="nil"/>
              <w:left w:val="nil"/>
              <w:bottom w:val="nil"/>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Servicio social universitario</w:t>
            </w:r>
          </w:p>
        </w:tc>
        <w:tc>
          <w:tcPr>
            <w:tcW w:w="1082"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 xml:space="preserve">Comunidad Universitaria involucrada en proyectos de servicio social </w:t>
            </w:r>
          </w:p>
        </w:tc>
        <w:tc>
          <w:tcPr>
            <w:tcW w:w="3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70</w:t>
            </w:r>
          </w:p>
        </w:tc>
        <w:tc>
          <w:tcPr>
            <w:tcW w:w="387"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82,28</w:t>
            </w:r>
          </w:p>
        </w:tc>
        <w:tc>
          <w:tcPr>
            <w:tcW w:w="697" w:type="pct"/>
            <w:tcBorders>
              <w:top w:val="nil"/>
              <w:left w:val="nil"/>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117,54%</w:t>
            </w:r>
          </w:p>
        </w:tc>
      </w:tr>
      <w:tr w:rsidR="00475419" w:rsidRPr="00535E30" w:rsidTr="005678E7">
        <w:trPr>
          <w:trHeight w:val="92"/>
        </w:trPr>
        <w:tc>
          <w:tcPr>
            <w:tcW w:w="660" w:type="pct"/>
            <w:vMerge/>
            <w:tcBorders>
              <w:left w:val="single" w:sz="4" w:space="0" w:color="auto"/>
              <w:right w:val="single" w:sz="4" w:space="0" w:color="auto"/>
            </w:tcBorders>
            <w:vAlign w:val="center"/>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p>
        </w:tc>
        <w:tc>
          <w:tcPr>
            <w:tcW w:w="698" w:type="pct"/>
            <w:vMerge/>
            <w:tcBorders>
              <w:top w:val="single" w:sz="4" w:space="0" w:color="auto"/>
              <w:left w:val="single" w:sz="4" w:space="0" w:color="auto"/>
              <w:bottom w:val="nil"/>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088" w:type="pct"/>
            <w:tcBorders>
              <w:top w:val="single" w:sz="4" w:space="0" w:color="auto"/>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Vinculación familiar a la universidad</w:t>
            </w:r>
          </w:p>
        </w:tc>
        <w:tc>
          <w:tcPr>
            <w:tcW w:w="1082"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Vinculación familiar para la retención de estudiantes en situación de vulnerabilidad</w:t>
            </w:r>
          </w:p>
        </w:tc>
        <w:tc>
          <w:tcPr>
            <w:tcW w:w="3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65</w:t>
            </w:r>
          </w:p>
        </w:tc>
        <w:tc>
          <w:tcPr>
            <w:tcW w:w="387"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69</w:t>
            </w:r>
          </w:p>
        </w:tc>
        <w:tc>
          <w:tcPr>
            <w:tcW w:w="697" w:type="pct"/>
            <w:tcBorders>
              <w:top w:val="nil"/>
              <w:left w:val="nil"/>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106,15%</w:t>
            </w:r>
          </w:p>
        </w:tc>
      </w:tr>
      <w:tr w:rsidR="00475419" w:rsidRPr="00535E30" w:rsidTr="005678E7">
        <w:trPr>
          <w:trHeight w:val="70"/>
        </w:trPr>
        <w:tc>
          <w:tcPr>
            <w:tcW w:w="660" w:type="pct"/>
            <w:vMerge/>
            <w:tcBorders>
              <w:left w:val="single" w:sz="4" w:space="0" w:color="auto"/>
              <w:right w:val="single" w:sz="4" w:space="0" w:color="auto"/>
            </w:tcBorders>
            <w:vAlign w:val="center"/>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p>
        </w:tc>
        <w:tc>
          <w:tcPr>
            <w:tcW w:w="698" w:type="pct"/>
            <w:tcBorders>
              <w:top w:val="single" w:sz="4" w:space="0" w:color="auto"/>
              <w:left w:val="single" w:sz="4" w:space="0" w:color="auto"/>
              <w:bottom w:val="nil"/>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Observatorio Social</w:t>
            </w:r>
          </w:p>
        </w:tc>
        <w:tc>
          <w:tcPr>
            <w:tcW w:w="10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Investigación social</w:t>
            </w:r>
          </w:p>
        </w:tc>
        <w:tc>
          <w:tcPr>
            <w:tcW w:w="1082"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 xml:space="preserve">Investigación social </w:t>
            </w:r>
          </w:p>
        </w:tc>
        <w:tc>
          <w:tcPr>
            <w:tcW w:w="3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50</w:t>
            </w:r>
          </w:p>
        </w:tc>
        <w:tc>
          <w:tcPr>
            <w:tcW w:w="387"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60</w:t>
            </w:r>
          </w:p>
        </w:tc>
        <w:tc>
          <w:tcPr>
            <w:tcW w:w="697" w:type="pct"/>
            <w:tcBorders>
              <w:top w:val="nil"/>
              <w:left w:val="nil"/>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120,00%</w:t>
            </w:r>
          </w:p>
        </w:tc>
      </w:tr>
      <w:tr w:rsidR="00475419" w:rsidRPr="00535E30" w:rsidTr="005678E7">
        <w:trPr>
          <w:trHeight w:val="703"/>
        </w:trPr>
        <w:tc>
          <w:tcPr>
            <w:tcW w:w="660" w:type="pct"/>
            <w:vMerge/>
            <w:tcBorders>
              <w:left w:val="single" w:sz="4" w:space="0" w:color="auto"/>
              <w:right w:val="single" w:sz="4" w:space="0" w:color="auto"/>
            </w:tcBorders>
            <w:vAlign w:val="center"/>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p>
        </w:tc>
        <w:tc>
          <w:tcPr>
            <w:tcW w:w="698"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Gestión Estratégica</w:t>
            </w:r>
          </w:p>
        </w:tc>
        <w:tc>
          <w:tcPr>
            <w:tcW w:w="10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Gestión de Recursos para la práctica de la responsabilidad social (acciones para la gestión de recursos)</w:t>
            </w:r>
          </w:p>
        </w:tc>
        <w:tc>
          <w:tcPr>
            <w:tcW w:w="1082"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Gestión de recursos para la práctica d responsabilidad social</w:t>
            </w:r>
          </w:p>
        </w:tc>
        <w:tc>
          <w:tcPr>
            <w:tcW w:w="3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40</w:t>
            </w:r>
          </w:p>
        </w:tc>
        <w:tc>
          <w:tcPr>
            <w:tcW w:w="387"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97,76</w:t>
            </w:r>
          </w:p>
        </w:tc>
        <w:tc>
          <w:tcPr>
            <w:tcW w:w="697" w:type="pct"/>
            <w:tcBorders>
              <w:top w:val="nil"/>
              <w:left w:val="nil"/>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244,40%</w:t>
            </w:r>
          </w:p>
        </w:tc>
      </w:tr>
      <w:tr w:rsidR="00475419" w:rsidRPr="00535E30" w:rsidTr="005678E7">
        <w:trPr>
          <w:trHeight w:val="70"/>
        </w:trPr>
        <w:tc>
          <w:tcPr>
            <w:tcW w:w="660" w:type="pct"/>
            <w:vMerge/>
            <w:tcBorders>
              <w:left w:val="single" w:sz="4" w:space="0" w:color="auto"/>
              <w:bottom w:val="single" w:sz="4" w:space="0" w:color="000000"/>
              <w:right w:val="single" w:sz="4" w:space="0" w:color="auto"/>
            </w:tcBorders>
            <w:vAlign w:val="center"/>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p>
        </w:tc>
        <w:tc>
          <w:tcPr>
            <w:tcW w:w="698" w:type="pct"/>
            <w:vMerge/>
            <w:tcBorders>
              <w:top w:val="single" w:sz="4" w:space="0" w:color="auto"/>
              <w:left w:val="single" w:sz="4" w:space="0" w:color="auto"/>
              <w:bottom w:val="single" w:sz="4" w:space="0" w:color="000000"/>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0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Alianzas y/o convenios</w:t>
            </w:r>
          </w:p>
        </w:tc>
        <w:tc>
          <w:tcPr>
            <w:tcW w:w="1082"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Número de alianzas y/o convenios firmados</w:t>
            </w:r>
          </w:p>
        </w:tc>
        <w:tc>
          <w:tcPr>
            <w:tcW w:w="388" w:type="pct"/>
            <w:tcBorders>
              <w:top w:val="nil"/>
              <w:left w:val="nil"/>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color w:val="000000"/>
                <w:sz w:val="18"/>
                <w:szCs w:val="18"/>
                <w:lang w:val="es-CO" w:eastAsia="es-CO"/>
              </w:rPr>
            </w:pPr>
            <w:r w:rsidRPr="00535E30">
              <w:rPr>
                <w:rFonts w:asciiTheme="minorHAnsi" w:eastAsia="Times New Roman" w:hAnsiTheme="minorHAnsi" w:cstheme="minorHAnsi"/>
                <w:color w:val="000000"/>
                <w:sz w:val="18"/>
                <w:szCs w:val="18"/>
                <w:lang w:val="es-CO" w:eastAsia="es-CO"/>
              </w:rPr>
              <w:t>6</w:t>
            </w:r>
          </w:p>
        </w:tc>
        <w:tc>
          <w:tcPr>
            <w:tcW w:w="387" w:type="pct"/>
            <w:tcBorders>
              <w:top w:val="nil"/>
              <w:left w:val="nil"/>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color w:val="000000"/>
                <w:sz w:val="18"/>
                <w:szCs w:val="18"/>
                <w:lang w:val="es-CO" w:eastAsia="es-CO"/>
              </w:rPr>
            </w:pPr>
            <w:r w:rsidRPr="00535E30">
              <w:rPr>
                <w:rFonts w:asciiTheme="minorHAnsi" w:eastAsia="Times New Roman" w:hAnsiTheme="minorHAnsi" w:cstheme="minorHAnsi"/>
                <w:color w:val="000000"/>
                <w:sz w:val="18"/>
                <w:szCs w:val="18"/>
                <w:lang w:val="es-CO" w:eastAsia="es-CO"/>
              </w:rPr>
              <w:t>15</w:t>
            </w:r>
          </w:p>
        </w:tc>
        <w:tc>
          <w:tcPr>
            <w:tcW w:w="697" w:type="pct"/>
            <w:tcBorders>
              <w:top w:val="nil"/>
              <w:left w:val="nil"/>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250,00%</w:t>
            </w:r>
          </w:p>
        </w:tc>
      </w:tr>
      <w:tr w:rsidR="00475419" w:rsidRPr="00535E30" w:rsidTr="005678E7">
        <w:trPr>
          <w:trHeight w:val="675"/>
        </w:trPr>
        <w:tc>
          <w:tcPr>
            <w:tcW w:w="660" w:type="pct"/>
            <w:vMerge w:val="restart"/>
            <w:tcBorders>
              <w:top w:val="nil"/>
              <w:left w:val="single" w:sz="4" w:space="0" w:color="auto"/>
              <w:right w:val="single" w:sz="4" w:space="0" w:color="auto"/>
            </w:tcBorders>
            <w:vAlign w:val="center"/>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Investigaciones, innovación y extensión</w:t>
            </w:r>
          </w:p>
        </w:tc>
        <w:tc>
          <w:tcPr>
            <w:tcW w:w="698" w:type="pct"/>
            <w:tcBorders>
              <w:top w:val="nil"/>
              <w:left w:val="single" w:sz="4" w:space="0" w:color="auto"/>
              <w:bottom w:val="nil"/>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Convocatorias internas para la financiación de proyectos </w:t>
            </w:r>
          </w:p>
        </w:tc>
        <w:tc>
          <w:tcPr>
            <w:tcW w:w="1088" w:type="pct"/>
            <w:tcBorders>
              <w:top w:val="nil"/>
              <w:left w:val="nil"/>
              <w:bottom w:val="nil"/>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Proyectos aprobados en convocatorias interna y externas  nacionales e internacionales</w:t>
            </w:r>
          </w:p>
        </w:tc>
        <w:tc>
          <w:tcPr>
            <w:tcW w:w="1082"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 xml:space="preserve">Total de recursos  aprobados </w:t>
            </w:r>
          </w:p>
        </w:tc>
        <w:tc>
          <w:tcPr>
            <w:tcW w:w="3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1264</w:t>
            </w:r>
          </w:p>
        </w:tc>
        <w:tc>
          <w:tcPr>
            <w:tcW w:w="387"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1698,9</w:t>
            </w:r>
          </w:p>
        </w:tc>
        <w:tc>
          <w:tcPr>
            <w:tcW w:w="697" w:type="pct"/>
            <w:tcBorders>
              <w:top w:val="nil"/>
              <w:left w:val="nil"/>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134,39%</w:t>
            </w:r>
          </w:p>
        </w:tc>
      </w:tr>
      <w:tr w:rsidR="00475419" w:rsidRPr="00535E30" w:rsidTr="005678E7">
        <w:trPr>
          <w:trHeight w:val="495"/>
        </w:trPr>
        <w:tc>
          <w:tcPr>
            <w:tcW w:w="660" w:type="pct"/>
            <w:vMerge/>
            <w:tcBorders>
              <w:left w:val="single" w:sz="4" w:space="0" w:color="auto"/>
              <w:right w:val="single" w:sz="4" w:space="0" w:color="auto"/>
            </w:tcBorders>
            <w:vAlign w:val="center"/>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p>
        </w:tc>
        <w:tc>
          <w:tcPr>
            <w:tcW w:w="6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Políticas de fomento de investigación, innovación y extensión</w:t>
            </w:r>
          </w:p>
        </w:tc>
        <w:tc>
          <w:tcPr>
            <w:tcW w:w="1088" w:type="pct"/>
            <w:tcBorders>
              <w:top w:val="single" w:sz="4" w:space="0" w:color="auto"/>
              <w:left w:val="nil"/>
              <w:bottom w:val="nil"/>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Programa de fortalecimiento para la búsqueda de información y manejo de software estadístico</w:t>
            </w:r>
          </w:p>
        </w:tc>
        <w:tc>
          <w:tcPr>
            <w:tcW w:w="1082"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No de docentes y estudiantes capacitados en el funcionamiento de las bases de datos científicas</w:t>
            </w:r>
          </w:p>
        </w:tc>
        <w:tc>
          <w:tcPr>
            <w:tcW w:w="3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500</w:t>
            </w:r>
          </w:p>
        </w:tc>
        <w:tc>
          <w:tcPr>
            <w:tcW w:w="387"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725</w:t>
            </w:r>
          </w:p>
        </w:tc>
        <w:tc>
          <w:tcPr>
            <w:tcW w:w="697" w:type="pct"/>
            <w:tcBorders>
              <w:top w:val="nil"/>
              <w:left w:val="nil"/>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145,00%</w:t>
            </w:r>
          </w:p>
        </w:tc>
      </w:tr>
      <w:tr w:rsidR="00475419" w:rsidRPr="00535E30" w:rsidTr="005678E7">
        <w:trPr>
          <w:trHeight w:val="219"/>
        </w:trPr>
        <w:tc>
          <w:tcPr>
            <w:tcW w:w="660" w:type="pct"/>
            <w:vMerge/>
            <w:tcBorders>
              <w:left w:val="single" w:sz="4" w:space="0" w:color="auto"/>
              <w:right w:val="single" w:sz="4" w:space="0" w:color="auto"/>
            </w:tcBorders>
            <w:vAlign w:val="center"/>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p>
        </w:tc>
        <w:tc>
          <w:tcPr>
            <w:tcW w:w="698" w:type="pct"/>
            <w:vMerge w:val="restart"/>
            <w:tcBorders>
              <w:top w:val="nil"/>
              <w:left w:val="single" w:sz="4" w:space="0" w:color="auto"/>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Relación Universidad - Empresa - Estado</w:t>
            </w:r>
          </w:p>
        </w:tc>
        <w:tc>
          <w:tcPr>
            <w:tcW w:w="1088" w:type="pct"/>
            <w:tcBorders>
              <w:top w:val="single" w:sz="4" w:space="0" w:color="auto"/>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Programa colaborativos entre la empresa y la Universidad</w:t>
            </w:r>
          </w:p>
        </w:tc>
        <w:tc>
          <w:tcPr>
            <w:tcW w:w="1082"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Número de proyectos (incluye prácticas empresariales conducentes a trabajo de grado)</w:t>
            </w:r>
          </w:p>
        </w:tc>
        <w:tc>
          <w:tcPr>
            <w:tcW w:w="3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200</w:t>
            </w:r>
          </w:p>
        </w:tc>
        <w:tc>
          <w:tcPr>
            <w:tcW w:w="387"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322</w:t>
            </w:r>
          </w:p>
        </w:tc>
        <w:tc>
          <w:tcPr>
            <w:tcW w:w="697" w:type="pct"/>
            <w:tcBorders>
              <w:top w:val="nil"/>
              <w:left w:val="nil"/>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161,00%</w:t>
            </w:r>
          </w:p>
        </w:tc>
      </w:tr>
      <w:tr w:rsidR="00475419" w:rsidRPr="00535E30" w:rsidTr="005678E7">
        <w:trPr>
          <w:trHeight w:val="70"/>
        </w:trPr>
        <w:tc>
          <w:tcPr>
            <w:tcW w:w="660" w:type="pct"/>
            <w:vMerge/>
            <w:tcBorders>
              <w:left w:val="single" w:sz="4" w:space="0" w:color="auto"/>
              <w:bottom w:val="single" w:sz="4" w:space="0" w:color="auto"/>
              <w:right w:val="single" w:sz="4" w:space="0" w:color="auto"/>
            </w:tcBorders>
            <w:vAlign w:val="center"/>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p>
        </w:tc>
        <w:tc>
          <w:tcPr>
            <w:tcW w:w="698"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0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 xml:space="preserve">Programa de apoyo a prácticas empresariales </w:t>
            </w:r>
          </w:p>
        </w:tc>
        <w:tc>
          <w:tcPr>
            <w:tcW w:w="1082"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Número de estudiantes vinculados con empresas</w:t>
            </w:r>
          </w:p>
        </w:tc>
        <w:tc>
          <w:tcPr>
            <w:tcW w:w="3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420</w:t>
            </w:r>
          </w:p>
        </w:tc>
        <w:tc>
          <w:tcPr>
            <w:tcW w:w="387"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684</w:t>
            </w:r>
          </w:p>
        </w:tc>
        <w:tc>
          <w:tcPr>
            <w:tcW w:w="697" w:type="pct"/>
            <w:tcBorders>
              <w:top w:val="nil"/>
              <w:left w:val="nil"/>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162,86%</w:t>
            </w:r>
          </w:p>
        </w:tc>
      </w:tr>
      <w:tr w:rsidR="00475419" w:rsidRPr="00535E30" w:rsidTr="005678E7">
        <w:trPr>
          <w:trHeight w:val="765"/>
        </w:trPr>
        <w:tc>
          <w:tcPr>
            <w:tcW w:w="660" w:type="pct"/>
            <w:vMerge w:val="restart"/>
            <w:tcBorders>
              <w:top w:val="nil"/>
              <w:left w:val="single" w:sz="4" w:space="0" w:color="auto"/>
              <w:right w:val="single" w:sz="4" w:space="0" w:color="auto"/>
            </w:tcBorders>
            <w:vAlign w:val="center"/>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Internacionalización</w:t>
            </w:r>
          </w:p>
        </w:tc>
        <w:tc>
          <w:tcPr>
            <w:tcW w:w="698"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 xml:space="preserve"> Bilingüismo</w:t>
            </w:r>
          </w:p>
        </w:tc>
        <w:tc>
          <w:tcPr>
            <w:tcW w:w="10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Realización de pruebas clasificatorias en programas de pregrado</w:t>
            </w:r>
          </w:p>
        </w:tc>
        <w:tc>
          <w:tcPr>
            <w:tcW w:w="1082"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Participación en pruebas clasificatorias de lengua inglesa</w:t>
            </w:r>
          </w:p>
        </w:tc>
        <w:tc>
          <w:tcPr>
            <w:tcW w:w="3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35</w:t>
            </w:r>
          </w:p>
        </w:tc>
        <w:tc>
          <w:tcPr>
            <w:tcW w:w="387"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35,5</w:t>
            </w:r>
          </w:p>
        </w:tc>
        <w:tc>
          <w:tcPr>
            <w:tcW w:w="697" w:type="pct"/>
            <w:tcBorders>
              <w:top w:val="nil"/>
              <w:left w:val="nil"/>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101,43%</w:t>
            </w:r>
          </w:p>
        </w:tc>
      </w:tr>
      <w:tr w:rsidR="00475419" w:rsidRPr="00535E30" w:rsidTr="005678E7">
        <w:trPr>
          <w:trHeight w:val="1020"/>
        </w:trPr>
        <w:tc>
          <w:tcPr>
            <w:tcW w:w="660" w:type="pct"/>
            <w:vMerge/>
            <w:tcBorders>
              <w:left w:val="single" w:sz="4" w:space="0" w:color="auto"/>
              <w:right w:val="single" w:sz="4" w:space="0" w:color="auto"/>
            </w:tcBorders>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698"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0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Participación de estudiantes de pregrado en los cursos ofrecidos por el ILEX</w:t>
            </w:r>
          </w:p>
        </w:tc>
        <w:tc>
          <w:tcPr>
            <w:tcW w:w="1082"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Participación en los cursos de inglés</w:t>
            </w:r>
          </w:p>
        </w:tc>
        <w:tc>
          <w:tcPr>
            <w:tcW w:w="3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40</w:t>
            </w:r>
          </w:p>
        </w:tc>
        <w:tc>
          <w:tcPr>
            <w:tcW w:w="387"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42</w:t>
            </w:r>
          </w:p>
        </w:tc>
        <w:tc>
          <w:tcPr>
            <w:tcW w:w="697" w:type="pct"/>
            <w:tcBorders>
              <w:top w:val="nil"/>
              <w:left w:val="nil"/>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105,00%</w:t>
            </w:r>
          </w:p>
        </w:tc>
      </w:tr>
      <w:tr w:rsidR="00475419" w:rsidRPr="00535E30" w:rsidTr="005678E7">
        <w:trPr>
          <w:trHeight w:val="765"/>
        </w:trPr>
        <w:tc>
          <w:tcPr>
            <w:tcW w:w="660" w:type="pct"/>
            <w:vMerge/>
            <w:tcBorders>
              <w:left w:val="single" w:sz="4" w:space="0" w:color="auto"/>
              <w:right w:val="single" w:sz="4" w:space="0" w:color="auto"/>
            </w:tcBorders>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698"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0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Realización de pruebas remediales de inglés en programas de pregrado</w:t>
            </w:r>
          </w:p>
        </w:tc>
        <w:tc>
          <w:tcPr>
            <w:tcW w:w="1082"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Participación en pruebas remediales de inglés</w:t>
            </w:r>
          </w:p>
        </w:tc>
        <w:tc>
          <w:tcPr>
            <w:tcW w:w="3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60</w:t>
            </w:r>
          </w:p>
        </w:tc>
        <w:tc>
          <w:tcPr>
            <w:tcW w:w="387"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74</w:t>
            </w:r>
          </w:p>
        </w:tc>
        <w:tc>
          <w:tcPr>
            <w:tcW w:w="697" w:type="pct"/>
            <w:tcBorders>
              <w:top w:val="nil"/>
              <w:left w:val="nil"/>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123,33%</w:t>
            </w:r>
          </w:p>
        </w:tc>
      </w:tr>
      <w:tr w:rsidR="00475419" w:rsidRPr="00535E30" w:rsidTr="005678E7">
        <w:trPr>
          <w:trHeight w:val="1275"/>
        </w:trPr>
        <w:tc>
          <w:tcPr>
            <w:tcW w:w="660" w:type="pct"/>
            <w:vMerge/>
            <w:tcBorders>
              <w:left w:val="single" w:sz="4" w:space="0" w:color="auto"/>
              <w:right w:val="single" w:sz="4" w:space="0" w:color="auto"/>
            </w:tcBorders>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698"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0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Realización de pruebas de suficiencia de lengua inglesa en programas de pregrado (Requisito de grado)</w:t>
            </w:r>
          </w:p>
        </w:tc>
        <w:tc>
          <w:tcPr>
            <w:tcW w:w="1082"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Participación en pruebas de suficiencia de lengua inglesa</w:t>
            </w:r>
          </w:p>
        </w:tc>
        <w:tc>
          <w:tcPr>
            <w:tcW w:w="3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85</w:t>
            </w:r>
          </w:p>
        </w:tc>
        <w:tc>
          <w:tcPr>
            <w:tcW w:w="387"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102</w:t>
            </w:r>
          </w:p>
        </w:tc>
        <w:tc>
          <w:tcPr>
            <w:tcW w:w="697" w:type="pct"/>
            <w:tcBorders>
              <w:top w:val="nil"/>
              <w:left w:val="nil"/>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120,00%</w:t>
            </w:r>
          </w:p>
        </w:tc>
      </w:tr>
      <w:tr w:rsidR="00475419" w:rsidRPr="00535E30" w:rsidTr="005678E7">
        <w:trPr>
          <w:trHeight w:val="1128"/>
        </w:trPr>
        <w:tc>
          <w:tcPr>
            <w:tcW w:w="660" w:type="pct"/>
            <w:vMerge/>
            <w:tcBorders>
              <w:left w:val="single" w:sz="4" w:space="0" w:color="auto"/>
              <w:right w:val="single" w:sz="4" w:space="0" w:color="auto"/>
            </w:tcBorders>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698"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0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Realización de pruebas de comprensión de lectura en lengua inglesa para estudiantes de postgrado</w:t>
            </w:r>
          </w:p>
        </w:tc>
        <w:tc>
          <w:tcPr>
            <w:tcW w:w="1082"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Realización de pruebas de comprensión de lectura en lengua inglesa para estudiantes de postgrado</w:t>
            </w:r>
          </w:p>
        </w:tc>
        <w:tc>
          <w:tcPr>
            <w:tcW w:w="3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90</w:t>
            </w:r>
          </w:p>
        </w:tc>
        <w:tc>
          <w:tcPr>
            <w:tcW w:w="387"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114</w:t>
            </w:r>
          </w:p>
        </w:tc>
        <w:tc>
          <w:tcPr>
            <w:tcW w:w="697" w:type="pct"/>
            <w:tcBorders>
              <w:top w:val="nil"/>
              <w:left w:val="nil"/>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126,67%</w:t>
            </w:r>
          </w:p>
        </w:tc>
      </w:tr>
      <w:tr w:rsidR="00475419" w:rsidRPr="00535E30" w:rsidTr="005678E7">
        <w:trPr>
          <w:trHeight w:val="159"/>
        </w:trPr>
        <w:tc>
          <w:tcPr>
            <w:tcW w:w="660" w:type="pct"/>
            <w:vMerge/>
            <w:tcBorders>
              <w:left w:val="single" w:sz="4" w:space="0" w:color="auto"/>
              <w:right w:val="single" w:sz="4" w:space="0" w:color="auto"/>
            </w:tcBorders>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698" w:type="pct"/>
            <w:vMerge/>
            <w:tcBorders>
              <w:top w:val="nil"/>
              <w:left w:val="single" w:sz="4" w:space="0" w:color="auto"/>
              <w:bottom w:val="single" w:sz="4" w:space="0" w:color="auto"/>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0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Aplicación de estrategias de bilingüismo para funcionarios administrativos</w:t>
            </w:r>
          </w:p>
        </w:tc>
        <w:tc>
          <w:tcPr>
            <w:tcW w:w="1082"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Desarrollo y promoción del bilingüismo (administrativos)</w:t>
            </w:r>
          </w:p>
        </w:tc>
        <w:tc>
          <w:tcPr>
            <w:tcW w:w="3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40</w:t>
            </w:r>
          </w:p>
        </w:tc>
        <w:tc>
          <w:tcPr>
            <w:tcW w:w="387"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61</w:t>
            </w:r>
          </w:p>
        </w:tc>
        <w:tc>
          <w:tcPr>
            <w:tcW w:w="697" w:type="pct"/>
            <w:tcBorders>
              <w:top w:val="nil"/>
              <w:left w:val="nil"/>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152,50%</w:t>
            </w:r>
          </w:p>
        </w:tc>
      </w:tr>
      <w:tr w:rsidR="00475419" w:rsidRPr="00535E30" w:rsidTr="005678E7">
        <w:trPr>
          <w:trHeight w:val="70"/>
        </w:trPr>
        <w:tc>
          <w:tcPr>
            <w:tcW w:w="660" w:type="pct"/>
            <w:vMerge/>
            <w:tcBorders>
              <w:left w:val="single" w:sz="4" w:space="0" w:color="auto"/>
              <w:right w:val="single" w:sz="4" w:space="0" w:color="auto"/>
            </w:tcBorders>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p>
        </w:tc>
        <w:tc>
          <w:tcPr>
            <w:tcW w:w="698" w:type="pct"/>
            <w:vMerge w:val="restart"/>
            <w:tcBorders>
              <w:top w:val="nil"/>
              <w:left w:val="single" w:sz="4" w:space="0" w:color="auto"/>
              <w:bottom w:val="single" w:sz="4" w:space="0" w:color="000000"/>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 xml:space="preserve"> Movilidad estudiantil</w:t>
            </w:r>
          </w:p>
        </w:tc>
        <w:tc>
          <w:tcPr>
            <w:tcW w:w="1088" w:type="pct"/>
            <w:vMerge w:val="restart"/>
            <w:tcBorders>
              <w:top w:val="nil"/>
              <w:left w:val="single" w:sz="4" w:space="0" w:color="auto"/>
              <w:bottom w:val="single" w:sz="4" w:space="0" w:color="000000"/>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Movilidad de estudiantes</w:t>
            </w:r>
          </w:p>
        </w:tc>
        <w:tc>
          <w:tcPr>
            <w:tcW w:w="1082"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Movilidad de estudiantes (estudiantes UTP en el extranjero)</w:t>
            </w:r>
          </w:p>
        </w:tc>
        <w:tc>
          <w:tcPr>
            <w:tcW w:w="3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20</w:t>
            </w:r>
          </w:p>
        </w:tc>
        <w:tc>
          <w:tcPr>
            <w:tcW w:w="387"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28</w:t>
            </w:r>
          </w:p>
        </w:tc>
        <w:tc>
          <w:tcPr>
            <w:tcW w:w="697" w:type="pct"/>
            <w:tcBorders>
              <w:top w:val="nil"/>
              <w:left w:val="nil"/>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140,00%</w:t>
            </w:r>
          </w:p>
        </w:tc>
      </w:tr>
      <w:tr w:rsidR="00475419" w:rsidRPr="00535E30" w:rsidTr="005678E7">
        <w:trPr>
          <w:trHeight w:val="70"/>
        </w:trPr>
        <w:tc>
          <w:tcPr>
            <w:tcW w:w="660" w:type="pct"/>
            <w:vMerge/>
            <w:tcBorders>
              <w:left w:val="single" w:sz="4" w:space="0" w:color="auto"/>
              <w:right w:val="single" w:sz="4" w:space="0" w:color="auto"/>
            </w:tcBorders>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698" w:type="pct"/>
            <w:vMerge/>
            <w:tcBorders>
              <w:top w:val="nil"/>
              <w:left w:val="single" w:sz="4" w:space="0" w:color="auto"/>
              <w:bottom w:val="single" w:sz="4" w:space="0" w:color="000000"/>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088" w:type="pct"/>
            <w:vMerge/>
            <w:tcBorders>
              <w:top w:val="nil"/>
              <w:left w:val="single" w:sz="4" w:space="0" w:color="auto"/>
              <w:bottom w:val="single" w:sz="4" w:space="0" w:color="000000"/>
              <w:right w:val="single" w:sz="4" w:space="0" w:color="auto"/>
            </w:tcBorders>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p>
        </w:tc>
        <w:tc>
          <w:tcPr>
            <w:tcW w:w="1082"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Movilidad de estudiantes (estudiantes extranjeros en la UTP)</w:t>
            </w:r>
          </w:p>
        </w:tc>
        <w:tc>
          <w:tcPr>
            <w:tcW w:w="3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12</w:t>
            </w:r>
          </w:p>
        </w:tc>
        <w:tc>
          <w:tcPr>
            <w:tcW w:w="387"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20</w:t>
            </w:r>
          </w:p>
        </w:tc>
        <w:tc>
          <w:tcPr>
            <w:tcW w:w="697" w:type="pct"/>
            <w:tcBorders>
              <w:top w:val="nil"/>
              <w:left w:val="nil"/>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166,67%</w:t>
            </w:r>
          </w:p>
        </w:tc>
      </w:tr>
      <w:tr w:rsidR="00475419" w:rsidRPr="00535E30" w:rsidTr="005678E7">
        <w:trPr>
          <w:trHeight w:val="70"/>
        </w:trPr>
        <w:tc>
          <w:tcPr>
            <w:tcW w:w="660" w:type="pct"/>
            <w:vMerge/>
            <w:tcBorders>
              <w:left w:val="single" w:sz="4" w:space="0" w:color="auto"/>
              <w:bottom w:val="single" w:sz="4" w:space="0" w:color="auto"/>
              <w:right w:val="single" w:sz="4" w:space="0" w:color="auto"/>
            </w:tcBorders>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p>
        </w:tc>
        <w:tc>
          <w:tcPr>
            <w:tcW w:w="698" w:type="pct"/>
            <w:tcBorders>
              <w:top w:val="nil"/>
              <w:left w:val="single" w:sz="4" w:space="0" w:color="auto"/>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Pares académicos</w:t>
            </w:r>
          </w:p>
        </w:tc>
        <w:tc>
          <w:tcPr>
            <w:tcW w:w="10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Búsqueda y consolidación de pares académicos en el exterior</w:t>
            </w:r>
          </w:p>
        </w:tc>
        <w:tc>
          <w:tcPr>
            <w:tcW w:w="1082"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left"/>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Pares académicos</w:t>
            </w:r>
          </w:p>
        </w:tc>
        <w:tc>
          <w:tcPr>
            <w:tcW w:w="388"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15</w:t>
            </w:r>
          </w:p>
        </w:tc>
        <w:tc>
          <w:tcPr>
            <w:tcW w:w="387" w:type="pct"/>
            <w:tcBorders>
              <w:top w:val="nil"/>
              <w:left w:val="nil"/>
              <w:bottom w:val="single" w:sz="4" w:space="0" w:color="auto"/>
              <w:right w:val="single" w:sz="4" w:space="0" w:color="auto"/>
            </w:tcBorders>
            <w:shd w:val="clear" w:color="auto" w:fill="auto"/>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16</w:t>
            </w:r>
          </w:p>
        </w:tc>
        <w:tc>
          <w:tcPr>
            <w:tcW w:w="697" w:type="pct"/>
            <w:tcBorders>
              <w:top w:val="nil"/>
              <w:left w:val="nil"/>
              <w:bottom w:val="single" w:sz="4" w:space="0" w:color="auto"/>
              <w:right w:val="single" w:sz="4" w:space="0" w:color="auto"/>
            </w:tcBorders>
            <w:shd w:val="clear" w:color="auto" w:fill="auto"/>
            <w:noWrap/>
            <w:vAlign w:val="center"/>
            <w:hideMark/>
          </w:tcPr>
          <w:p w:rsidR="00475419" w:rsidRPr="00535E30" w:rsidRDefault="00475419" w:rsidP="005678E7">
            <w:pPr>
              <w:spacing w:after="0" w:line="276" w:lineRule="auto"/>
              <w:jc w:val="center"/>
              <w:rPr>
                <w:rFonts w:asciiTheme="minorHAnsi" w:eastAsia="Times New Roman" w:hAnsiTheme="minorHAnsi" w:cstheme="minorHAnsi"/>
                <w:sz w:val="18"/>
                <w:szCs w:val="18"/>
                <w:lang w:val="es-CO" w:eastAsia="es-CO"/>
              </w:rPr>
            </w:pPr>
            <w:r w:rsidRPr="00535E30">
              <w:rPr>
                <w:rFonts w:asciiTheme="minorHAnsi" w:eastAsia="Times New Roman" w:hAnsiTheme="minorHAnsi" w:cstheme="minorHAnsi"/>
                <w:sz w:val="18"/>
                <w:szCs w:val="18"/>
                <w:lang w:val="es-CO" w:eastAsia="es-CO"/>
              </w:rPr>
              <w:t>106,67%</w:t>
            </w:r>
          </w:p>
        </w:tc>
      </w:tr>
    </w:tbl>
    <w:p w:rsidR="00475419" w:rsidRPr="00535E30" w:rsidRDefault="00475419" w:rsidP="00475419">
      <w:pPr>
        <w:spacing w:line="276" w:lineRule="auto"/>
        <w:rPr>
          <w:rFonts w:asciiTheme="minorHAnsi" w:hAnsiTheme="minorHAnsi"/>
        </w:rPr>
      </w:pPr>
    </w:p>
    <w:p w:rsidR="00475419" w:rsidRPr="00535E30" w:rsidRDefault="00475419" w:rsidP="00475419">
      <w:pPr>
        <w:spacing w:line="276" w:lineRule="auto"/>
        <w:rPr>
          <w:rFonts w:asciiTheme="minorHAnsi" w:hAnsiTheme="minorHAnsi"/>
        </w:rPr>
      </w:pPr>
      <w:r w:rsidRPr="00535E30">
        <w:rPr>
          <w:rFonts w:asciiTheme="minorHAnsi" w:hAnsiTheme="minorHAnsi"/>
        </w:rPr>
        <w:t>Las explicaciones correspondientes se encuentran en el sistema de información para el seguimiento al Plan de Desarrollo Institucional SIGOB.</w:t>
      </w:r>
    </w:p>
    <w:p w:rsidR="00475419" w:rsidRDefault="00475419" w:rsidP="00475419">
      <w:pPr>
        <w:spacing w:line="276" w:lineRule="auto"/>
        <w:rPr>
          <w:rFonts w:asciiTheme="minorHAnsi" w:hAnsiTheme="minorHAnsi"/>
        </w:rPr>
      </w:pPr>
    </w:p>
    <w:p w:rsidR="00475419" w:rsidRPr="00475419" w:rsidRDefault="00475419" w:rsidP="00475419"/>
    <w:sectPr w:rsidR="00475419" w:rsidRPr="00475419" w:rsidSect="001251B4">
      <w:headerReference w:type="default" r:id="rId103"/>
      <w:pgSz w:w="12240" w:h="15840" w:code="1"/>
      <w:pgMar w:top="1701" w:right="1701" w:bottom="1701" w:left="1701"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E4B39" w:rsidRDefault="000E4B39" w:rsidP="000C467D">
      <w:pPr>
        <w:spacing w:after="0"/>
      </w:pPr>
      <w:r>
        <w:separator/>
      </w:r>
    </w:p>
  </w:endnote>
  <w:endnote w:type="continuationSeparator" w:id="0">
    <w:p w:rsidR="000E4B39" w:rsidRDefault="000E4B39" w:rsidP="000C467D">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Maiandra GD">
    <w:panose1 w:val="020E0502030308020204"/>
    <w:charset w:val="00"/>
    <w:family w:val="swiss"/>
    <w:pitch w:val="variable"/>
    <w:sig w:usb0="00000003" w:usb1="00000000" w:usb2="00000000" w:usb3="00000000" w:csb0="00000001" w:csb1="00000000"/>
  </w:font>
  <w:font w:name="Perpetua">
    <w:panose1 w:val="02020502060401020303"/>
    <w:charset w:val="00"/>
    <w:family w:val="roman"/>
    <w:pitch w:val="variable"/>
    <w:sig w:usb0="00000003" w:usb1="00000000" w:usb2="00000000" w:usb3="00000000" w:csb0="00000001" w:csb1="00000000"/>
  </w:font>
  <w:font w:name="Albertus MT Lt">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2865511"/>
      <w:docPartObj>
        <w:docPartGallery w:val="Page Numbers (Bottom of Page)"/>
        <w:docPartUnique/>
      </w:docPartObj>
    </w:sdtPr>
    <w:sdtEndPr/>
    <w:sdtContent>
      <w:p w:rsidR="00EB79AD" w:rsidRDefault="00EB79AD">
        <w:pPr>
          <w:pStyle w:val="Piedepgina"/>
          <w:jc w:val="center"/>
        </w:pPr>
        <w:r>
          <w:fldChar w:fldCharType="begin"/>
        </w:r>
        <w:r>
          <w:instrText xml:space="preserve"> PAGE   \* MERGEFORMAT </w:instrText>
        </w:r>
        <w:r>
          <w:fldChar w:fldCharType="separate"/>
        </w:r>
        <w:r w:rsidR="00020665">
          <w:rPr>
            <w:noProof/>
          </w:rPr>
          <w:t>116</w:t>
        </w:r>
        <w:r>
          <w:rPr>
            <w:noProof/>
          </w:rPr>
          <w:fldChar w:fldCharType="end"/>
        </w:r>
      </w:p>
    </w:sdtContent>
  </w:sdt>
  <w:p w:rsidR="00EB79AD" w:rsidRPr="00384AEC" w:rsidRDefault="00EB79AD" w:rsidP="00C340EE">
    <w:pPr>
      <w:pStyle w:val="Piedepgina"/>
      <w:jc w:val="left"/>
      <w:rPr>
        <w:color w:val="000000" w:themeColor="text1"/>
        <w:sz w:val="3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E4B39" w:rsidRDefault="000E4B39" w:rsidP="000C467D">
      <w:pPr>
        <w:spacing w:after="0"/>
      </w:pPr>
      <w:r>
        <w:separator/>
      </w:r>
    </w:p>
  </w:footnote>
  <w:footnote w:type="continuationSeparator" w:id="0">
    <w:p w:rsidR="000E4B39" w:rsidRDefault="000E4B39" w:rsidP="000C467D">
      <w:pPr>
        <w:spacing w:after="0"/>
      </w:pPr>
      <w:r>
        <w:continuationSeparator/>
      </w:r>
    </w:p>
  </w:footnote>
  <w:footnote w:id="1">
    <w:p w:rsidR="00EB79AD" w:rsidRPr="00D36787" w:rsidRDefault="00EB79AD" w:rsidP="00476EC0">
      <w:pPr>
        <w:pStyle w:val="Textonotapie"/>
      </w:pPr>
      <w:r>
        <w:rPr>
          <w:rStyle w:val="Refdenotaalpie"/>
        </w:rPr>
        <w:footnoteRef/>
      </w:r>
      <w:r>
        <w:t xml:space="preserve"> Actualmente la Jefe (e) de la Oficina de Planeación es la Dra. Viviana Lucía </w:t>
      </w:r>
      <w:proofErr w:type="spellStart"/>
      <w:r>
        <w:t>Barney</w:t>
      </w:r>
      <w:proofErr w:type="spellEnd"/>
      <w:r>
        <w:t xml:space="preserve"> </w:t>
      </w:r>
      <w:proofErr w:type="spellStart"/>
      <w:r>
        <w:t>Palacín</w:t>
      </w:r>
      <w:proofErr w:type="spellEnd"/>
      <w:r>
        <w:t xml:space="preserve"> dado que el Dr. Carlos Arturo Caro se encuentra en comisión de servicios desde enero de 2012.</w:t>
      </w:r>
    </w:p>
  </w:footnote>
  <w:footnote w:id="2">
    <w:p w:rsidR="00EB79AD" w:rsidRDefault="00EB79AD" w:rsidP="000C0CEC">
      <w:pPr>
        <w:pStyle w:val="Textonotapie"/>
      </w:pPr>
      <w:r>
        <w:rPr>
          <w:rStyle w:val="Refdenotaalpie"/>
        </w:rPr>
        <w:footnoteRef/>
      </w:r>
      <w:r>
        <w:t xml:space="preserve"> Este último párrafo fue adicionado a la misión institucional, mediante Acuerdo 14 del Consejo Superior del 07 de mayo de 2008.</w:t>
      </w:r>
    </w:p>
  </w:footnote>
  <w:footnote w:id="3">
    <w:p w:rsidR="00EB79AD" w:rsidRPr="00BB539F" w:rsidRDefault="00EB79AD" w:rsidP="005678E7">
      <w:pPr>
        <w:rPr>
          <w:color w:val="FF0000"/>
        </w:rPr>
      </w:pPr>
      <w:r>
        <w:rPr>
          <w:rStyle w:val="Refdenotaalpie"/>
        </w:rPr>
        <w:footnoteRef/>
      </w:r>
      <w:r w:rsidRPr="00332767">
        <w:rPr>
          <w:sz w:val="20"/>
          <w:szCs w:val="20"/>
        </w:rPr>
        <w:t>La medición del índice de construcción corresponde a  la relación de la ocupación en primer piso de las edificaciones que conforman la planta física, frente al total del área construida de la misma.</w:t>
      </w:r>
    </w:p>
    <w:p w:rsidR="00EB79AD" w:rsidRDefault="00EB79AD" w:rsidP="005678E7">
      <w:pPr>
        <w:pStyle w:val="Textonotapie"/>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79AD" w:rsidRDefault="00EB79AD">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79AD" w:rsidRDefault="00EB79AD">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25pt;height:11.25pt" o:bullet="t">
        <v:imagedata r:id="rId1" o:title="BD10297_"/>
      </v:shape>
    </w:pict>
  </w:numPicBullet>
  <w:abstractNum w:abstractNumId="0">
    <w:nsid w:val="02A639A4"/>
    <w:multiLevelType w:val="hybridMultilevel"/>
    <w:tmpl w:val="321A9584"/>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nsid w:val="04794611"/>
    <w:multiLevelType w:val="hybridMultilevel"/>
    <w:tmpl w:val="9DE6F67E"/>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nsid w:val="051400C6"/>
    <w:multiLevelType w:val="hybridMultilevel"/>
    <w:tmpl w:val="8722B65C"/>
    <w:lvl w:ilvl="0" w:tplc="240A0019">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nsid w:val="05263367"/>
    <w:multiLevelType w:val="hybridMultilevel"/>
    <w:tmpl w:val="536A7034"/>
    <w:lvl w:ilvl="0" w:tplc="053624BA">
      <w:numFmt w:val="bullet"/>
      <w:lvlText w:val="-"/>
      <w:lvlJc w:val="left"/>
      <w:pPr>
        <w:ind w:left="720" w:hanging="360"/>
      </w:pPr>
      <w:rPr>
        <w:rFonts w:ascii="Calibri" w:eastAsiaTheme="minorHAnsi" w:hAnsi="Calibri" w:cstheme="minorBid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nsid w:val="07CF34F1"/>
    <w:multiLevelType w:val="hybridMultilevel"/>
    <w:tmpl w:val="6A6E5C68"/>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nsid w:val="0AE11810"/>
    <w:multiLevelType w:val="hybridMultilevel"/>
    <w:tmpl w:val="B4EC43A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nsid w:val="0B655D55"/>
    <w:multiLevelType w:val="hybridMultilevel"/>
    <w:tmpl w:val="B8E0F2E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nsid w:val="0CB52E32"/>
    <w:multiLevelType w:val="hybridMultilevel"/>
    <w:tmpl w:val="46C45692"/>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nsid w:val="0D7A3250"/>
    <w:multiLevelType w:val="hybridMultilevel"/>
    <w:tmpl w:val="D31ED2B4"/>
    <w:lvl w:ilvl="0" w:tplc="240A0001">
      <w:start w:val="1"/>
      <w:numFmt w:val="bullet"/>
      <w:lvlText w:val=""/>
      <w:lvlJc w:val="left"/>
      <w:pPr>
        <w:ind w:left="1080" w:hanging="360"/>
      </w:pPr>
      <w:rPr>
        <w:rFonts w:ascii="Symbol" w:hAnsi="Symbol"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9">
    <w:nsid w:val="0E5B75A7"/>
    <w:multiLevelType w:val="hybridMultilevel"/>
    <w:tmpl w:val="FF18E87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nsid w:val="0FA27366"/>
    <w:multiLevelType w:val="multilevel"/>
    <w:tmpl w:val="1FB0F83E"/>
    <w:lvl w:ilvl="0">
      <w:start w:val="1"/>
      <w:numFmt w:val="decimal"/>
      <w:lvlText w:val="%1."/>
      <w:lvlJc w:val="left"/>
      <w:pPr>
        <w:ind w:left="720" w:hanging="360"/>
      </w:pPr>
      <w:rPr>
        <w:rFonts w:hint="default"/>
        <w:b/>
      </w:rPr>
    </w:lvl>
    <w:lvl w:ilvl="1">
      <w:start w:val="2"/>
      <w:numFmt w:val="decimal"/>
      <w:isLgl/>
      <w:lvlText w:val="%1.%2"/>
      <w:lvlJc w:val="left"/>
      <w:pPr>
        <w:ind w:left="930" w:hanging="57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nsid w:val="10281494"/>
    <w:multiLevelType w:val="hybridMultilevel"/>
    <w:tmpl w:val="C65A0308"/>
    <w:lvl w:ilvl="0" w:tplc="240A0019">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2">
    <w:nsid w:val="109D783A"/>
    <w:multiLevelType w:val="hybridMultilevel"/>
    <w:tmpl w:val="28DE3680"/>
    <w:lvl w:ilvl="0" w:tplc="240A0001">
      <w:start w:val="1"/>
      <w:numFmt w:val="bullet"/>
      <w:lvlText w:val=""/>
      <w:lvlJc w:val="left"/>
      <w:pPr>
        <w:ind w:left="720" w:hanging="360"/>
      </w:pPr>
      <w:rPr>
        <w:rFonts w:ascii="Symbol" w:hAnsi="Symbol"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nsid w:val="16D471EB"/>
    <w:multiLevelType w:val="hybridMultilevel"/>
    <w:tmpl w:val="137E47C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nsid w:val="17107458"/>
    <w:multiLevelType w:val="hybridMultilevel"/>
    <w:tmpl w:val="03B0EBCE"/>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
    <w:nsid w:val="175C5389"/>
    <w:multiLevelType w:val="hybridMultilevel"/>
    <w:tmpl w:val="0D3AB67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
    <w:nsid w:val="1CB758A3"/>
    <w:multiLevelType w:val="hybridMultilevel"/>
    <w:tmpl w:val="534C2240"/>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
    <w:nsid w:val="1E6422B2"/>
    <w:multiLevelType w:val="hybridMultilevel"/>
    <w:tmpl w:val="83305E1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nsid w:val="1FAB124A"/>
    <w:multiLevelType w:val="hybridMultilevel"/>
    <w:tmpl w:val="9404F1D0"/>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
    <w:nsid w:val="234971F2"/>
    <w:multiLevelType w:val="hybridMultilevel"/>
    <w:tmpl w:val="32F06FCA"/>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nsid w:val="26820D36"/>
    <w:multiLevelType w:val="hybridMultilevel"/>
    <w:tmpl w:val="0CA8FF1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nsid w:val="27AB1721"/>
    <w:multiLevelType w:val="hybridMultilevel"/>
    <w:tmpl w:val="1D62931A"/>
    <w:lvl w:ilvl="0" w:tplc="240A0001">
      <w:start w:val="1"/>
      <w:numFmt w:val="bullet"/>
      <w:lvlText w:val=""/>
      <w:lvlJc w:val="left"/>
      <w:pPr>
        <w:ind w:left="720" w:hanging="360"/>
      </w:pPr>
      <w:rPr>
        <w:rFonts w:ascii="Symbol" w:hAnsi="Symbol"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2">
    <w:nsid w:val="2CB13B7C"/>
    <w:multiLevelType w:val="hybridMultilevel"/>
    <w:tmpl w:val="950083C4"/>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3">
    <w:nsid w:val="2D35055F"/>
    <w:multiLevelType w:val="hybridMultilevel"/>
    <w:tmpl w:val="742638AE"/>
    <w:lvl w:ilvl="0" w:tplc="240A0019">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4">
    <w:nsid w:val="301E31C9"/>
    <w:multiLevelType w:val="hybridMultilevel"/>
    <w:tmpl w:val="3BBADBE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5">
    <w:nsid w:val="30916023"/>
    <w:multiLevelType w:val="hybridMultilevel"/>
    <w:tmpl w:val="E034E476"/>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6">
    <w:nsid w:val="30B377B6"/>
    <w:multiLevelType w:val="hybridMultilevel"/>
    <w:tmpl w:val="C8E22A1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7">
    <w:nsid w:val="31B77241"/>
    <w:multiLevelType w:val="hybridMultilevel"/>
    <w:tmpl w:val="E636422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8">
    <w:nsid w:val="32006A45"/>
    <w:multiLevelType w:val="hybridMultilevel"/>
    <w:tmpl w:val="336E56D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
    <w:nsid w:val="35A701E0"/>
    <w:multiLevelType w:val="hybridMultilevel"/>
    <w:tmpl w:val="1A3E1B82"/>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0">
    <w:nsid w:val="35F24477"/>
    <w:multiLevelType w:val="hybridMultilevel"/>
    <w:tmpl w:val="9A74EF8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1">
    <w:nsid w:val="362E51C1"/>
    <w:multiLevelType w:val="hybridMultilevel"/>
    <w:tmpl w:val="5A12BBBC"/>
    <w:lvl w:ilvl="0" w:tplc="240A0001">
      <w:start w:val="1"/>
      <w:numFmt w:val="bullet"/>
      <w:lvlText w:val=""/>
      <w:lvlJc w:val="left"/>
      <w:pPr>
        <w:ind w:left="1080" w:hanging="360"/>
      </w:pPr>
      <w:rPr>
        <w:rFonts w:ascii="Symbol" w:hAnsi="Symbol"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32">
    <w:nsid w:val="38607ED3"/>
    <w:multiLevelType w:val="hybridMultilevel"/>
    <w:tmpl w:val="561012E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3">
    <w:nsid w:val="39A65951"/>
    <w:multiLevelType w:val="hybridMultilevel"/>
    <w:tmpl w:val="9DC066EE"/>
    <w:lvl w:ilvl="0" w:tplc="240A000D">
      <w:start w:val="1"/>
      <w:numFmt w:val="bullet"/>
      <w:lvlText w:val=""/>
      <w:lvlJc w:val="left"/>
      <w:pPr>
        <w:ind w:left="1080" w:hanging="360"/>
      </w:pPr>
      <w:rPr>
        <w:rFonts w:ascii="Wingdings" w:hAnsi="Wingdings"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34">
    <w:nsid w:val="3BA30BCF"/>
    <w:multiLevelType w:val="hybridMultilevel"/>
    <w:tmpl w:val="7EB0850A"/>
    <w:lvl w:ilvl="0" w:tplc="240A000B">
      <w:start w:val="1"/>
      <w:numFmt w:val="bullet"/>
      <w:lvlText w:val=""/>
      <w:lvlJc w:val="left"/>
      <w:pPr>
        <w:ind w:left="4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5">
    <w:nsid w:val="3E0C0E1F"/>
    <w:multiLevelType w:val="hybridMultilevel"/>
    <w:tmpl w:val="E17C002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6">
    <w:nsid w:val="40B6575D"/>
    <w:multiLevelType w:val="hybridMultilevel"/>
    <w:tmpl w:val="5188401C"/>
    <w:lvl w:ilvl="0" w:tplc="49209DE4">
      <w:start w:val="1"/>
      <w:numFmt w:val="bullet"/>
      <w:lvlText w:val=""/>
      <w:lvlPicBulletId w:val="0"/>
      <w:lvlJc w:val="left"/>
      <w:pPr>
        <w:ind w:left="720" w:hanging="360"/>
      </w:pPr>
      <w:rPr>
        <w:rFonts w:ascii="Symbol" w:hAnsi="Symbol"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7">
    <w:nsid w:val="41AC14B2"/>
    <w:multiLevelType w:val="hybridMultilevel"/>
    <w:tmpl w:val="4272A17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8">
    <w:nsid w:val="423A7A5E"/>
    <w:multiLevelType w:val="hybridMultilevel"/>
    <w:tmpl w:val="9008F8A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9">
    <w:nsid w:val="43067953"/>
    <w:multiLevelType w:val="multilevel"/>
    <w:tmpl w:val="F032631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b/>
        <w:sz w:val="22"/>
        <w:szCs w:val="24"/>
      </w:rPr>
    </w:lvl>
    <w:lvl w:ilvl="3">
      <w:start w:val="1"/>
      <w:numFmt w:val="decimal"/>
      <w:lvlText w:val="%1.%2.%3.%4."/>
      <w:lvlJc w:val="left"/>
      <w:pPr>
        <w:ind w:left="1728" w:hanging="648"/>
      </w:pPr>
      <w:rPr>
        <w:b/>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nsid w:val="459F22E3"/>
    <w:multiLevelType w:val="hybridMultilevel"/>
    <w:tmpl w:val="2BAA9590"/>
    <w:lvl w:ilvl="0" w:tplc="053624BA">
      <w:numFmt w:val="bullet"/>
      <w:lvlText w:val="-"/>
      <w:lvlJc w:val="left"/>
      <w:pPr>
        <w:ind w:left="720" w:hanging="360"/>
      </w:pPr>
      <w:rPr>
        <w:rFonts w:ascii="Calibri" w:eastAsiaTheme="minorHAnsi" w:hAnsi="Calibri" w:cstheme="minorBid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1">
    <w:nsid w:val="4F75755E"/>
    <w:multiLevelType w:val="hybridMultilevel"/>
    <w:tmpl w:val="6476A204"/>
    <w:lvl w:ilvl="0" w:tplc="CCBE4B12">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2">
    <w:nsid w:val="50D2520F"/>
    <w:multiLevelType w:val="hybridMultilevel"/>
    <w:tmpl w:val="C794FE12"/>
    <w:lvl w:ilvl="0" w:tplc="240A0019">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3">
    <w:nsid w:val="52C816F2"/>
    <w:multiLevelType w:val="hybridMultilevel"/>
    <w:tmpl w:val="11F4106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4">
    <w:nsid w:val="54F16C5A"/>
    <w:multiLevelType w:val="multilevel"/>
    <w:tmpl w:val="13585EDE"/>
    <w:lvl w:ilvl="0">
      <w:start w:val="2"/>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45">
    <w:nsid w:val="568E4089"/>
    <w:multiLevelType w:val="hybridMultilevel"/>
    <w:tmpl w:val="42F0662E"/>
    <w:lvl w:ilvl="0" w:tplc="B1AC8918">
      <w:numFmt w:val="bullet"/>
      <w:lvlText w:val="-"/>
      <w:lvlJc w:val="left"/>
      <w:pPr>
        <w:ind w:left="720" w:hanging="360"/>
      </w:pPr>
      <w:rPr>
        <w:rFonts w:ascii="Arial" w:eastAsia="Times New Roman"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6">
    <w:nsid w:val="5C514F06"/>
    <w:multiLevelType w:val="multilevel"/>
    <w:tmpl w:val="0C56951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7">
    <w:nsid w:val="602775EF"/>
    <w:multiLevelType w:val="hybridMultilevel"/>
    <w:tmpl w:val="6B18EB0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8">
    <w:nsid w:val="639E75D9"/>
    <w:multiLevelType w:val="hybridMultilevel"/>
    <w:tmpl w:val="89DAE22A"/>
    <w:lvl w:ilvl="0" w:tplc="87D21092">
      <w:start w:val="1"/>
      <w:numFmt w:val="decimal"/>
      <w:lvlText w:val="%1."/>
      <w:lvlJc w:val="left"/>
      <w:pPr>
        <w:ind w:left="720" w:hanging="360"/>
      </w:pPr>
      <w:rPr>
        <w:rFont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9">
    <w:nsid w:val="644A366E"/>
    <w:multiLevelType w:val="hybridMultilevel"/>
    <w:tmpl w:val="D50814B6"/>
    <w:lvl w:ilvl="0" w:tplc="240A0001">
      <w:start w:val="1"/>
      <w:numFmt w:val="bullet"/>
      <w:lvlText w:val=""/>
      <w:lvlJc w:val="left"/>
      <w:pPr>
        <w:ind w:left="1068" w:hanging="360"/>
      </w:pPr>
      <w:rPr>
        <w:rFonts w:ascii="Symbol" w:hAnsi="Symbol" w:hint="default"/>
      </w:rPr>
    </w:lvl>
    <w:lvl w:ilvl="1" w:tplc="240A0003" w:tentative="1">
      <w:start w:val="1"/>
      <w:numFmt w:val="bullet"/>
      <w:lvlText w:val="o"/>
      <w:lvlJc w:val="left"/>
      <w:pPr>
        <w:ind w:left="1788" w:hanging="360"/>
      </w:pPr>
      <w:rPr>
        <w:rFonts w:ascii="Courier New" w:hAnsi="Courier New" w:cs="Courier New" w:hint="default"/>
      </w:rPr>
    </w:lvl>
    <w:lvl w:ilvl="2" w:tplc="240A0005" w:tentative="1">
      <w:start w:val="1"/>
      <w:numFmt w:val="bullet"/>
      <w:lvlText w:val=""/>
      <w:lvlJc w:val="left"/>
      <w:pPr>
        <w:ind w:left="2508" w:hanging="360"/>
      </w:pPr>
      <w:rPr>
        <w:rFonts w:ascii="Wingdings" w:hAnsi="Wingdings" w:hint="default"/>
      </w:rPr>
    </w:lvl>
    <w:lvl w:ilvl="3" w:tplc="240A0001" w:tentative="1">
      <w:start w:val="1"/>
      <w:numFmt w:val="bullet"/>
      <w:lvlText w:val=""/>
      <w:lvlJc w:val="left"/>
      <w:pPr>
        <w:ind w:left="3228" w:hanging="360"/>
      </w:pPr>
      <w:rPr>
        <w:rFonts w:ascii="Symbol" w:hAnsi="Symbol" w:hint="default"/>
      </w:rPr>
    </w:lvl>
    <w:lvl w:ilvl="4" w:tplc="240A0003" w:tentative="1">
      <w:start w:val="1"/>
      <w:numFmt w:val="bullet"/>
      <w:lvlText w:val="o"/>
      <w:lvlJc w:val="left"/>
      <w:pPr>
        <w:ind w:left="3948" w:hanging="360"/>
      </w:pPr>
      <w:rPr>
        <w:rFonts w:ascii="Courier New" w:hAnsi="Courier New" w:cs="Courier New" w:hint="default"/>
      </w:rPr>
    </w:lvl>
    <w:lvl w:ilvl="5" w:tplc="240A0005" w:tentative="1">
      <w:start w:val="1"/>
      <w:numFmt w:val="bullet"/>
      <w:lvlText w:val=""/>
      <w:lvlJc w:val="left"/>
      <w:pPr>
        <w:ind w:left="4668" w:hanging="360"/>
      </w:pPr>
      <w:rPr>
        <w:rFonts w:ascii="Wingdings" w:hAnsi="Wingdings" w:hint="default"/>
      </w:rPr>
    </w:lvl>
    <w:lvl w:ilvl="6" w:tplc="240A0001" w:tentative="1">
      <w:start w:val="1"/>
      <w:numFmt w:val="bullet"/>
      <w:lvlText w:val=""/>
      <w:lvlJc w:val="left"/>
      <w:pPr>
        <w:ind w:left="5388" w:hanging="360"/>
      </w:pPr>
      <w:rPr>
        <w:rFonts w:ascii="Symbol" w:hAnsi="Symbol" w:hint="default"/>
      </w:rPr>
    </w:lvl>
    <w:lvl w:ilvl="7" w:tplc="240A0003" w:tentative="1">
      <w:start w:val="1"/>
      <w:numFmt w:val="bullet"/>
      <w:lvlText w:val="o"/>
      <w:lvlJc w:val="left"/>
      <w:pPr>
        <w:ind w:left="6108" w:hanging="360"/>
      </w:pPr>
      <w:rPr>
        <w:rFonts w:ascii="Courier New" w:hAnsi="Courier New" w:cs="Courier New" w:hint="default"/>
      </w:rPr>
    </w:lvl>
    <w:lvl w:ilvl="8" w:tplc="240A0005" w:tentative="1">
      <w:start w:val="1"/>
      <w:numFmt w:val="bullet"/>
      <w:lvlText w:val=""/>
      <w:lvlJc w:val="left"/>
      <w:pPr>
        <w:ind w:left="6828" w:hanging="360"/>
      </w:pPr>
      <w:rPr>
        <w:rFonts w:ascii="Wingdings" w:hAnsi="Wingdings" w:hint="default"/>
      </w:rPr>
    </w:lvl>
  </w:abstractNum>
  <w:abstractNum w:abstractNumId="50">
    <w:nsid w:val="67F97B62"/>
    <w:multiLevelType w:val="hybridMultilevel"/>
    <w:tmpl w:val="7CE60FB8"/>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1">
    <w:nsid w:val="687111BA"/>
    <w:multiLevelType w:val="hybridMultilevel"/>
    <w:tmpl w:val="79C61FB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2">
    <w:nsid w:val="68972FF6"/>
    <w:multiLevelType w:val="hybridMultilevel"/>
    <w:tmpl w:val="35E892B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3">
    <w:nsid w:val="6B927D39"/>
    <w:multiLevelType w:val="hybridMultilevel"/>
    <w:tmpl w:val="ACC8E5B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4">
    <w:nsid w:val="6C3E579B"/>
    <w:multiLevelType w:val="hybridMultilevel"/>
    <w:tmpl w:val="578053EC"/>
    <w:lvl w:ilvl="0" w:tplc="053624BA">
      <w:numFmt w:val="bullet"/>
      <w:lvlText w:val="-"/>
      <w:lvlJc w:val="left"/>
      <w:pPr>
        <w:ind w:left="720" w:hanging="360"/>
      </w:pPr>
      <w:rPr>
        <w:rFonts w:ascii="Calibri" w:eastAsiaTheme="minorHAnsi" w:hAnsi="Calibri" w:cstheme="minorBid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5">
    <w:nsid w:val="6CD61444"/>
    <w:multiLevelType w:val="hybridMultilevel"/>
    <w:tmpl w:val="6E042EB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6">
    <w:nsid w:val="6D106019"/>
    <w:multiLevelType w:val="hybridMultilevel"/>
    <w:tmpl w:val="0B58711C"/>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57">
    <w:nsid w:val="6DD14499"/>
    <w:multiLevelType w:val="hybridMultilevel"/>
    <w:tmpl w:val="DF9AC08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8">
    <w:nsid w:val="723C492C"/>
    <w:multiLevelType w:val="hybridMultilevel"/>
    <w:tmpl w:val="A228531E"/>
    <w:lvl w:ilvl="0" w:tplc="12F24B1E">
      <w:start w:val="1"/>
      <w:numFmt w:val="bullet"/>
      <w:lvlText w:val="•"/>
      <w:lvlJc w:val="left"/>
      <w:pPr>
        <w:tabs>
          <w:tab w:val="num" w:pos="720"/>
        </w:tabs>
        <w:ind w:left="720" w:hanging="360"/>
      </w:pPr>
      <w:rPr>
        <w:rFonts w:ascii="Arial" w:hAnsi="Arial" w:hint="default"/>
      </w:rPr>
    </w:lvl>
    <w:lvl w:ilvl="1" w:tplc="34502AF0" w:tentative="1">
      <w:start w:val="1"/>
      <w:numFmt w:val="bullet"/>
      <w:lvlText w:val="•"/>
      <w:lvlJc w:val="left"/>
      <w:pPr>
        <w:tabs>
          <w:tab w:val="num" w:pos="1440"/>
        </w:tabs>
        <w:ind w:left="1440" w:hanging="360"/>
      </w:pPr>
      <w:rPr>
        <w:rFonts w:ascii="Arial" w:hAnsi="Arial" w:hint="default"/>
      </w:rPr>
    </w:lvl>
    <w:lvl w:ilvl="2" w:tplc="845AE1DA" w:tentative="1">
      <w:start w:val="1"/>
      <w:numFmt w:val="bullet"/>
      <w:lvlText w:val="•"/>
      <w:lvlJc w:val="left"/>
      <w:pPr>
        <w:tabs>
          <w:tab w:val="num" w:pos="2160"/>
        </w:tabs>
        <w:ind w:left="2160" w:hanging="360"/>
      </w:pPr>
      <w:rPr>
        <w:rFonts w:ascii="Arial" w:hAnsi="Arial" w:hint="default"/>
      </w:rPr>
    </w:lvl>
    <w:lvl w:ilvl="3" w:tplc="FE42D57C" w:tentative="1">
      <w:start w:val="1"/>
      <w:numFmt w:val="bullet"/>
      <w:lvlText w:val="•"/>
      <w:lvlJc w:val="left"/>
      <w:pPr>
        <w:tabs>
          <w:tab w:val="num" w:pos="2880"/>
        </w:tabs>
        <w:ind w:left="2880" w:hanging="360"/>
      </w:pPr>
      <w:rPr>
        <w:rFonts w:ascii="Arial" w:hAnsi="Arial" w:hint="default"/>
      </w:rPr>
    </w:lvl>
    <w:lvl w:ilvl="4" w:tplc="A4B41B38" w:tentative="1">
      <w:start w:val="1"/>
      <w:numFmt w:val="bullet"/>
      <w:lvlText w:val="•"/>
      <w:lvlJc w:val="left"/>
      <w:pPr>
        <w:tabs>
          <w:tab w:val="num" w:pos="3600"/>
        </w:tabs>
        <w:ind w:left="3600" w:hanging="360"/>
      </w:pPr>
      <w:rPr>
        <w:rFonts w:ascii="Arial" w:hAnsi="Arial" w:hint="default"/>
      </w:rPr>
    </w:lvl>
    <w:lvl w:ilvl="5" w:tplc="A73EA9EA" w:tentative="1">
      <w:start w:val="1"/>
      <w:numFmt w:val="bullet"/>
      <w:lvlText w:val="•"/>
      <w:lvlJc w:val="left"/>
      <w:pPr>
        <w:tabs>
          <w:tab w:val="num" w:pos="4320"/>
        </w:tabs>
        <w:ind w:left="4320" w:hanging="360"/>
      </w:pPr>
      <w:rPr>
        <w:rFonts w:ascii="Arial" w:hAnsi="Arial" w:hint="default"/>
      </w:rPr>
    </w:lvl>
    <w:lvl w:ilvl="6" w:tplc="F110AD0A" w:tentative="1">
      <w:start w:val="1"/>
      <w:numFmt w:val="bullet"/>
      <w:lvlText w:val="•"/>
      <w:lvlJc w:val="left"/>
      <w:pPr>
        <w:tabs>
          <w:tab w:val="num" w:pos="5040"/>
        </w:tabs>
        <w:ind w:left="5040" w:hanging="360"/>
      </w:pPr>
      <w:rPr>
        <w:rFonts w:ascii="Arial" w:hAnsi="Arial" w:hint="default"/>
      </w:rPr>
    </w:lvl>
    <w:lvl w:ilvl="7" w:tplc="024428FE" w:tentative="1">
      <w:start w:val="1"/>
      <w:numFmt w:val="bullet"/>
      <w:lvlText w:val="•"/>
      <w:lvlJc w:val="left"/>
      <w:pPr>
        <w:tabs>
          <w:tab w:val="num" w:pos="5760"/>
        </w:tabs>
        <w:ind w:left="5760" w:hanging="360"/>
      </w:pPr>
      <w:rPr>
        <w:rFonts w:ascii="Arial" w:hAnsi="Arial" w:hint="default"/>
      </w:rPr>
    </w:lvl>
    <w:lvl w:ilvl="8" w:tplc="EDD0FC1E" w:tentative="1">
      <w:start w:val="1"/>
      <w:numFmt w:val="bullet"/>
      <w:lvlText w:val="•"/>
      <w:lvlJc w:val="left"/>
      <w:pPr>
        <w:tabs>
          <w:tab w:val="num" w:pos="6480"/>
        </w:tabs>
        <w:ind w:left="6480" w:hanging="360"/>
      </w:pPr>
      <w:rPr>
        <w:rFonts w:ascii="Arial" w:hAnsi="Arial" w:hint="default"/>
      </w:rPr>
    </w:lvl>
  </w:abstractNum>
  <w:abstractNum w:abstractNumId="59">
    <w:nsid w:val="73763D6F"/>
    <w:multiLevelType w:val="multilevel"/>
    <w:tmpl w:val="F5405EEE"/>
    <w:lvl w:ilvl="0">
      <w:start w:val="1"/>
      <w:numFmt w:val="decimal"/>
      <w:lvlText w:val="%1."/>
      <w:lvlJc w:val="left"/>
      <w:pPr>
        <w:ind w:left="480" w:hanging="480"/>
      </w:pPr>
      <w:rPr>
        <w:rFonts w:hint="default"/>
      </w:rPr>
    </w:lvl>
    <w:lvl w:ilvl="1">
      <w:start w:val="1"/>
      <w:numFmt w:val="decimal"/>
      <w:lvlText w:val="%1.%2."/>
      <w:lvlJc w:val="left"/>
      <w:pPr>
        <w:ind w:left="1473"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0">
    <w:nsid w:val="762528A1"/>
    <w:multiLevelType w:val="hybridMultilevel"/>
    <w:tmpl w:val="D3E4642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1">
    <w:nsid w:val="795203B1"/>
    <w:multiLevelType w:val="hybridMultilevel"/>
    <w:tmpl w:val="B9B04A30"/>
    <w:lvl w:ilvl="0" w:tplc="240A000B">
      <w:start w:val="1"/>
      <w:numFmt w:val="bullet"/>
      <w:lvlText w:val=""/>
      <w:lvlJc w:val="left"/>
      <w:pPr>
        <w:ind w:left="720" w:hanging="360"/>
      </w:pPr>
      <w:rPr>
        <w:rFonts w:ascii="Wingdings" w:hAnsi="Wingdings" w:hint="default"/>
      </w:rPr>
    </w:lvl>
    <w:lvl w:ilvl="1" w:tplc="240A0001">
      <w:start w:val="1"/>
      <w:numFmt w:val="bullet"/>
      <w:lvlText w:val=""/>
      <w:lvlJc w:val="left"/>
      <w:pPr>
        <w:ind w:left="1455" w:hanging="375"/>
      </w:pPr>
      <w:rPr>
        <w:rFonts w:ascii="Symbol" w:hAnsi="Symbol"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2">
    <w:nsid w:val="7C4E073B"/>
    <w:multiLevelType w:val="hybridMultilevel"/>
    <w:tmpl w:val="1ACED25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3">
    <w:nsid w:val="7E3A56CE"/>
    <w:multiLevelType w:val="hybridMultilevel"/>
    <w:tmpl w:val="A6D0F7EC"/>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34"/>
  </w:num>
  <w:num w:numId="2">
    <w:abstractNumId w:val="22"/>
  </w:num>
  <w:num w:numId="3">
    <w:abstractNumId w:val="18"/>
  </w:num>
  <w:num w:numId="4">
    <w:abstractNumId w:val="50"/>
  </w:num>
  <w:num w:numId="5">
    <w:abstractNumId w:val="0"/>
  </w:num>
  <w:num w:numId="6">
    <w:abstractNumId w:val="4"/>
  </w:num>
  <w:num w:numId="7">
    <w:abstractNumId w:val="59"/>
  </w:num>
  <w:num w:numId="8">
    <w:abstractNumId w:val="9"/>
  </w:num>
  <w:num w:numId="9">
    <w:abstractNumId w:val="28"/>
  </w:num>
  <w:num w:numId="10">
    <w:abstractNumId w:val="42"/>
  </w:num>
  <w:num w:numId="11">
    <w:abstractNumId w:val="11"/>
  </w:num>
  <w:num w:numId="12">
    <w:abstractNumId w:val="23"/>
  </w:num>
  <w:num w:numId="13">
    <w:abstractNumId w:val="2"/>
  </w:num>
  <w:num w:numId="14">
    <w:abstractNumId w:val="10"/>
  </w:num>
  <w:num w:numId="15">
    <w:abstractNumId w:val="19"/>
  </w:num>
  <w:num w:numId="16">
    <w:abstractNumId w:val="61"/>
  </w:num>
  <w:num w:numId="17">
    <w:abstractNumId w:val="63"/>
  </w:num>
  <w:num w:numId="18">
    <w:abstractNumId w:val="39"/>
  </w:num>
  <w:num w:numId="19">
    <w:abstractNumId w:val="32"/>
  </w:num>
  <w:num w:numId="20">
    <w:abstractNumId w:val="14"/>
  </w:num>
  <w:num w:numId="21">
    <w:abstractNumId w:val="44"/>
  </w:num>
  <w:num w:numId="22">
    <w:abstractNumId w:val="47"/>
  </w:num>
  <w:num w:numId="23">
    <w:abstractNumId w:val="58"/>
  </w:num>
  <w:num w:numId="24">
    <w:abstractNumId w:val="55"/>
  </w:num>
  <w:num w:numId="25">
    <w:abstractNumId w:val="5"/>
  </w:num>
  <w:num w:numId="26">
    <w:abstractNumId w:val="60"/>
  </w:num>
  <w:num w:numId="27">
    <w:abstractNumId w:val="62"/>
  </w:num>
  <w:num w:numId="28">
    <w:abstractNumId w:val="7"/>
  </w:num>
  <w:num w:numId="29">
    <w:abstractNumId w:val="1"/>
  </w:num>
  <w:num w:numId="30">
    <w:abstractNumId w:val="43"/>
  </w:num>
  <w:num w:numId="31">
    <w:abstractNumId w:val="16"/>
  </w:num>
  <w:num w:numId="32">
    <w:abstractNumId w:val="56"/>
  </w:num>
  <w:num w:numId="33">
    <w:abstractNumId w:val="29"/>
  </w:num>
  <w:num w:numId="34">
    <w:abstractNumId w:val="25"/>
  </w:num>
  <w:num w:numId="35">
    <w:abstractNumId w:val="41"/>
  </w:num>
  <w:num w:numId="36">
    <w:abstractNumId w:val="15"/>
  </w:num>
  <w:num w:numId="37">
    <w:abstractNumId w:val="3"/>
  </w:num>
  <w:num w:numId="38">
    <w:abstractNumId w:val="40"/>
  </w:num>
  <w:num w:numId="39">
    <w:abstractNumId w:val="54"/>
  </w:num>
  <w:num w:numId="40">
    <w:abstractNumId w:val="48"/>
  </w:num>
  <w:num w:numId="41">
    <w:abstractNumId w:val="8"/>
  </w:num>
  <w:num w:numId="42">
    <w:abstractNumId w:val="37"/>
  </w:num>
  <w:num w:numId="43">
    <w:abstractNumId w:val="6"/>
  </w:num>
  <w:num w:numId="44">
    <w:abstractNumId w:val="26"/>
  </w:num>
  <w:num w:numId="45">
    <w:abstractNumId w:val="57"/>
  </w:num>
  <w:num w:numId="46">
    <w:abstractNumId w:val="21"/>
  </w:num>
  <w:num w:numId="47">
    <w:abstractNumId w:val="12"/>
  </w:num>
  <w:num w:numId="48">
    <w:abstractNumId w:val="36"/>
  </w:num>
  <w:num w:numId="49">
    <w:abstractNumId w:val="53"/>
  </w:num>
  <w:num w:numId="50">
    <w:abstractNumId w:val="52"/>
  </w:num>
  <w:num w:numId="51">
    <w:abstractNumId w:val="31"/>
  </w:num>
  <w:num w:numId="52">
    <w:abstractNumId w:val="33"/>
  </w:num>
  <w:num w:numId="53">
    <w:abstractNumId w:val="30"/>
  </w:num>
  <w:num w:numId="54">
    <w:abstractNumId w:val="17"/>
  </w:num>
  <w:num w:numId="55">
    <w:abstractNumId w:val="35"/>
  </w:num>
  <w:num w:numId="56">
    <w:abstractNumId w:val="49"/>
  </w:num>
  <w:num w:numId="57">
    <w:abstractNumId w:val="45"/>
  </w:num>
  <w:num w:numId="58">
    <w:abstractNumId w:val="46"/>
  </w:num>
  <w:num w:numId="59">
    <w:abstractNumId w:val="13"/>
  </w:num>
  <w:num w:numId="60">
    <w:abstractNumId w:val="38"/>
  </w:num>
  <w:num w:numId="61">
    <w:abstractNumId w:val="27"/>
  </w:num>
  <w:num w:numId="62">
    <w:abstractNumId w:val="51"/>
  </w:num>
  <w:num w:numId="63">
    <w:abstractNumId w:val="20"/>
  </w:num>
  <w:num w:numId="64">
    <w:abstractNumId w:val="24"/>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hyphenationZone w:val="425"/>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0C467D"/>
    <w:rsid w:val="00010C01"/>
    <w:rsid w:val="00015FAA"/>
    <w:rsid w:val="00020665"/>
    <w:rsid w:val="00021475"/>
    <w:rsid w:val="000228F7"/>
    <w:rsid w:val="00022F0B"/>
    <w:rsid w:val="00024273"/>
    <w:rsid w:val="0003334B"/>
    <w:rsid w:val="00033E20"/>
    <w:rsid w:val="00034D75"/>
    <w:rsid w:val="000374B4"/>
    <w:rsid w:val="00037924"/>
    <w:rsid w:val="000444C5"/>
    <w:rsid w:val="00046B92"/>
    <w:rsid w:val="000512D0"/>
    <w:rsid w:val="00051D3B"/>
    <w:rsid w:val="0005379B"/>
    <w:rsid w:val="00054D18"/>
    <w:rsid w:val="000567FF"/>
    <w:rsid w:val="00065FBA"/>
    <w:rsid w:val="00066428"/>
    <w:rsid w:val="0006644A"/>
    <w:rsid w:val="00066B65"/>
    <w:rsid w:val="00070240"/>
    <w:rsid w:val="000706F1"/>
    <w:rsid w:val="00074576"/>
    <w:rsid w:val="00084736"/>
    <w:rsid w:val="00085182"/>
    <w:rsid w:val="00092997"/>
    <w:rsid w:val="000936FB"/>
    <w:rsid w:val="000A1004"/>
    <w:rsid w:val="000B3653"/>
    <w:rsid w:val="000C0CEC"/>
    <w:rsid w:val="000C41FA"/>
    <w:rsid w:val="000C467D"/>
    <w:rsid w:val="000C582C"/>
    <w:rsid w:val="000C5B25"/>
    <w:rsid w:val="000D1579"/>
    <w:rsid w:val="000D4EFE"/>
    <w:rsid w:val="000D5224"/>
    <w:rsid w:val="000D597B"/>
    <w:rsid w:val="000D5A75"/>
    <w:rsid w:val="000D7B00"/>
    <w:rsid w:val="000E4B39"/>
    <w:rsid w:val="000F233B"/>
    <w:rsid w:val="000F7B5D"/>
    <w:rsid w:val="0010078B"/>
    <w:rsid w:val="00100B21"/>
    <w:rsid w:val="001015AF"/>
    <w:rsid w:val="00102936"/>
    <w:rsid w:val="00104DB7"/>
    <w:rsid w:val="0010595A"/>
    <w:rsid w:val="00107F8D"/>
    <w:rsid w:val="00117745"/>
    <w:rsid w:val="0012174F"/>
    <w:rsid w:val="0012432B"/>
    <w:rsid w:val="001251B4"/>
    <w:rsid w:val="001254CF"/>
    <w:rsid w:val="001302C5"/>
    <w:rsid w:val="0013321C"/>
    <w:rsid w:val="001418FB"/>
    <w:rsid w:val="00142142"/>
    <w:rsid w:val="0014394E"/>
    <w:rsid w:val="00150A29"/>
    <w:rsid w:val="00150C9B"/>
    <w:rsid w:val="00155A79"/>
    <w:rsid w:val="00156B0A"/>
    <w:rsid w:val="00157F0E"/>
    <w:rsid w:val="00161F9F"/>
    <w:rsid w:val="00165712"/>
    <w:rsid w:val="00172D21"/>
    <w:rsid w:val="00175AEF"/>
    <w:rsid w:val="00176E86"/>
    <w:rsid w:val="001965C8"/>
    <w:rsid w:val="00196F11"/>
    <w:rsid w:val="00197598"/>
    <w:rsid w:val="001A11FD"/>
    <w:rsid w:val="001A3959"/>
    <w:rsid w:val="001B24B1"/>
    <w:rsid w:val="001C0602"/>
    <w:rsid w:val="001C7198"/>
    <w:rsid w:val="001D3D1E"/>
    <w:rsid w:val="001D4EAA"/>
    <w:rsid w:val="001E36EF"/>
    <w:rsid w:val="001E7DB4"/>
    <w:rsid w:val="001F21F7"/>
    <w:rsid w:val="002039B9"/>
    <w:rsid w:val="0020511F"/>
    <w:rsid w:val="0020552B"/>
    <w:rsid w:val="00206CA5"/>
    <w:rsid w:val="00213FD6"/>
    <w:rsid w:val="002140D4"/>
    <w:rsid w:val="002221A9"/>
    <w:rsid w:val="002227A9"/>
    <w:rsid w:val="002230AE"/>
    <w:rsid w:val="0022345F"/>
    <w:rsid w:val="00223830"/>
    <w:rsid w:val="00230510"/>
    <w:rsid w:val="002317F3"/>
    <w:rsid w:val="00234D42"/>
    <w:rsid w:val="002421BA"/>
    <w:rsid w:val="00243D80"/>
    <w:rsid w:val="002462A7"/>
    <w:rsid w:val="00251847"/>
    <w:rsid w:val="00252EE8"/>
    <w:rsid w:val="00256DBF"/>
    <w:rsid w:val="00260A77"/>
    <w:rsid w:val="0026145E"/>
    <w:rsid w:val="00262731"/>
    <w:rsid w:val="00266E3C"/>
    <w:rsid w:val="002729B1"/>
    <w:rsid w:val="00285D9B"/>
    <w:rsid w:val="002873E5"/>
    <w:rsid w:val="00295307"/>
    <w:rsid w:val="00296F71"/>
    <w:rsid w:val="002A030C"/>
    <w:rsid w:val="002A4B5F"/>
    <w:rsid w:val="002B1722"/>
    <w:rsid w:val="002C2CE6"/>
    <w:rsid w:val="002C42F6"/>
    <w:rsid w:val="002C7104"/>
    <w:rsid w:val="002C7672"/>
    <w:rsid w:val="002C7AD7"/>
    <w:rsid w:val="002D061C"/>
    <w:rsid w:val="002D1C0D"/>
    <w:rsid w:val="002D3666"/>
    <w:rsid w:val="002D50B8"/>
    <w:rsid w:val="002E18B2"/>
    <w:rsid w:val="002E2F80"/>
    <w:rsid w:val="002E307B"/>
    <w:rsid w:val="002E5264"/>
    <w:rsid w:val="002E5C2E"/>
    <w:rsid w:val="002E7ECA"/>
    <w:rsid w:val="002F04FC"/>
    <w:rsid w:val="002F0834"/>
    <w:rsid w:val="002F097F"/>
    <w:rsid w:val="002F2F37"/>
    <w:rsid w:val="002F40AE"/>
    <w:rsid w:val="002F438E"/>
    <w:rsid w:val="003072CB"/>
    <w:rsid w:val="003139D1"/>
    <w:rsid w:val="00325185"/>
    <w:rsid w:val="00326840"/>
    <w:rsid w:val="0033677B"/>
    <w:rsid w:val="00344565"/>
    <w:rsid w:val="00347665"/>
    <w:rsid w:val="00350B61"/>
    <w:rsid w:val="00356F9E"/>
    <w:rsid w:val="003575D7"/>
    <w:rsid w:val="00360A12"/>
    <w:rsid w:val="003622F1"/>
    <w:rsid w:val="0036551F"/>
    <w:rsid w:val="00366254"/>
    <w:rsid w:val="00371E81"/>
    <w:rsid w:val="0037444C"/>
    <w:rsid w:val="00380479"/>
    <w:rsid w:val="00382D9C"/>
    <w:rsid w:val="00384C9B"/>
    <w:rsid w:val="003942EC"/>
    <w:rsid w:val="00397E88"/>
    <w:rsid w:val="003A25F2"/>
    <w:rsid w:val="003A3352"/>
    <w:rsid w:val="003A3480"/>
    <w:rsid w:val="003A39AC"/>
    <w:rsid w:val="003A4767"/>
    <w:rsid w:val="003A5D6D"/>
    <w:rsid w:val="003B6544"/>
    <w:rsid w:val="003D0496"/>
    <w:rsid w:val="003D137A"/>
    <w:rsid w:val="003D7E89"/>
    <w:rsid w:val="003F2C1C"/>
    <w:rsid w:val="003F5CB1"/>
    <w:rsid w:val="003F5D08"/>
    <w:rsid w:val="003F5DE1"/>
    <w:rsid w:val="003F7A7D"/>
    <w:rsid w:val="004032A7"/>
    <w:rsid w:val="004043DF"/>
    <w:rsid w:val="004073BA"/>
    <w:rsid w:val="0041368A"/>
    <w:rsid w:val="00414571"/>
    <w:rsid w:val="00417044"/>
    <w:rsid w:val="004204F2"/>
    <w:rsid w:val="004223FF"/>
    <w:rsid w:val="004224CD"/>
    <w:rsid w:val="0042464A"/>
    <w:rsid w:val="0043082F"/>
    <w:rsid w:val="00444345"/>
    <w:rsid w:val="00444947"/>
    <w:rsid w:val="00445D57"/>
    <w:rsid w:val="00445E1C"/>
    <w:rsid w:val="00466170"/>
    <w:rsid w:val="00475419"/>
    <w:rsid w:val="00475B32"/>
    <w:rsid w:val="00476EC0"/>
    <w:rsid w:val="00477C33"/>
    <w:rsid w:val="00480CE9"/>
    <w:rsid w:val="004818A5"/>
    <w:rsid w:val="00481C5E"/>
    <w:rsid w:val="004835CC"/>
    <w:rsid w:val="00484B88"/>
    <w:rsid w:val="004903A8"/>
    <w:rsid w:val="00497A49"/>
    <w:rsid w:val="004A254B"/>
    <w:rsid w:val="004A2580"/>
    <w:rsid w:val="004A5100"/>
    <w:rsid w:val="004A571C"/>
    <w:rsid w:val="004B1F4D"/>
    <w:rsid w:val="004B2402"/>
    <w:rsid w:val="004B6A8C"/>
    <w:rsid w:val="004C00D0"/>
    <w:rsid w:val="004C1D18"/>
    <w:rsid w:val="004C4D7B"/>
    <w:rsid w:val="004D592E"/>
    <w:rsid w:val="004E1FD2"/>
    <w:rsid w:val="004E6FD2"/>
    <w:rsid w:val="004F4DDA"/>
    <w:rsid w:val="00502200"/>
    <w:rsid w:val="00504360"/>
    <w:rsid w:val="00524447"/>
    <w:rsid w:val="00531041"/>
    <w:rsid w:val="00533349"/>
    <w:rsid w:val="00533599"/>
    <w:rsid w:val="00535E30"/>
    <w:rsid w:val="00535E63"/>
    <w:rsid w:val="00536FCE"/>
    <w:rsid w:val="00537104"/>
    <w:rsid w:val="00540666"/>
    <w:rsid w:val="005438C7"/>
    <w:rsid w:val="00544DB7"/>
    <w:rsid w:val="00546C16"/>
    <w:rsid w:val="00550FB8"/>
    <w:rsid w:val="005550DB"/>
    <w:rsid w:val="0055526A"/>
    <w:rsid w:val="00555F5D"/>
    <w:rsid w:val="005619D5"/>
    <w:rsid w:val="00566A0F"/>
    <w:rsid w:val="005678E7"/>
    <w:rsid w:val="005746E7"/>
    <w:rsid w:val="00574AB9"/>
    <w:rsid w:val="00577C14"/>
    <w:rsid w:val="00580EF0"/>
    <w:rsid w:val="00584331"/>
    <w:rsid w:val="0058638F"/>
    <w:rsid w:val="00586E77"/>
    <w:rsid w:val="00587BD3"/>
    <w:rsid w:val="00593741"/>
    <w:rsid w:val="00594228"/>
    <w:rsid w:val="0059775B"/>
    <w:rsid w:val="005A3574"/>
    <w:rsid w:val="005A5FC4"/>
    <w:rsid w:val="005B18AA"/>
    <w:rsid w:val="005B3A70"/>
    <w:rsid w:val="005B673D"/>
    <w:rsid w:val="005B6D50"/>
    <w:rsid w:val="005C5DB1"/>
    <w:rsid w:val="005D453F"/>
    <w:rsid w:val="005D513B"/>
    <w:rsid w:val="005D624C"/>
    <w:rsid w:val="005E122A"/>
    <w:rsid w:val="005F39F9"/>
    <w:rsid w:val="005F4C24"/>
    <w:rsid w:val="00602513"/>
    <w:rsid w:val="006026C0"/>
    <w:rsid w:val="00606332"/>
    <w:rsid w:val="00607316"/>
    <w:rsid w:val="00612F11"/>
    <w:rsid w:val="00623EA3"/>
    <w:rsid w:val="006248C3"/>
    <w:rsid w:val="00625391"/>
    <w:rsid w:val="00625FE6"/>
    <w:rsid w:val="00626432"/>
    <w:rsid w:val="00642BB3"/>
    <w:rsid w:val="00643084"/>
    <w:rsid w:val="006432BB"/>
    <w:rsid w:val="006476ED"/>
    <w:rsid w:val="00647D6D"/>
    <w:rsid w:val="00650141"/>
    <w:rsid w:val="00652D06"/>
    <w:rsid w:val="00654A39"/>
    <w:rsid w:val="00661911"/>
    <w:rsid w:val="006629D9"/>
    <w:rsid w:val="006659B2"/>
    <w:rsid w:val="006716E5"/>
    <w:rsid w:val="00674108"/>
    <w:rsid w:val="00674FA7"/>
    <w:rsid w:val="00681F23"/>
    <w:rsid w:val="00683A43"/>
    <w:rsid w:val="0069604B"/>
    <w:rsid w:val="006A177A"/>
    <w:rsid w:val="006A4CFA"/>
    <w:rsid w:val="006A5266"/>
    <w:rsid w:val="006A6187"/>
    <w:rsid w:val="006B2373"/>
    <w:rsid w:val="006B75F8"/>
    <w:rsid w:val="006C4557"/>
    <w:rsid w:val="006C69DA"/>
    <w:rsid w:val="006D1547"/>
    <w:rsid w:val="006D1CE2"/>
    <w:rsid w:val="006D46A6"/>
    <w:rsid w:val="006D544D"/>
    <w:rsid w:val="006D5E19"/>
    <w:rsid w:val="006E4223"/>
    <w:rsid w:val="006E4867"/>
    <w:rsid w:val="006E4908"/>
    <w:rsid w:val="006E4F3D"/>
    <w:rsid w:val="0070415D"/>
    <w:rsid w:val="00704DD2"/>
    <w:rsid w:val="00710CBA"/>
    <w:rsid w:val="00711513"/>
    <w:rsid w:val="0071345F"/>
    <w:rsid w:val="00715ABF"/>
    <w:rsid w:val="007201AE"/>
    <w:rsid w:val="00720E2A"/>
    <w:rsid w:val="007216BB"/>
    <w:rsid w:val="00721C6D"/>
    <w:rsid w:val="00722FC7"/>
    <w:rsid w:val="00723495"/>
    <w:rsid w:val="007249A1"/>
    <w:rsid w:val="00732E87"/>
    <w:rsid w:val="00741EA1"/>
    <w:rsid w:val="007431A1"/>
    <w:rsid w:val="0074473B"/>
    <w:rsid w:val="00761B13"/>
    <w:rsid w:val="00763120"/>
    <w:rsid w:val="00765233"/>
    <w:rsid w:val="00773885"/>
    <w:rsid w:val="00774265"/>
    <w:rsid w:val="00781F3E"/>
    <w:rsid w:val="00786F3F"/>
    <w:rsid w:val="007871CA"/>
    <w:rsid w:val="00794A82"/>
    <w:rsid w:val="007A18D4"/>
    <w:rsid w:val="007A4384"/>
    <w:rsid w:val="007B0A03"/>
    <w:rsid w:val="007B21CF"/>
    <w:rsid w:val="007B5F7F"/>
    <w:rsid w:val="007C1677"/>
    <w:rsid w:val="007D04AE"/>
    <w:rsid w:val="007E511E"/>
    <w:rsid w:val="007F4F83"/>
    <w:rsid w:val="008010F6"/>
    <w:rsid w:val="00803C2F"/>
    <w:rsid w:val="00825EFF"/>
    <w:rsid w:val="00830E5F"/>
    <w:rsid w:val="00831511"/>
    <w:rsid w:val="0083309A"/>
    <w:rsid w:val="00837A19"/>
    <w:rsid w:val="00841CB9"/>
    <w:rsid w:val="00842870"/>
    <w:rsid w:val="0084476A"/>
    <w:rsid w:val="008475EC"/>
    <w:rsid w:val="00847979"/>
    <w:rsid w:val="0086127A"/>
    <w:rsid w:val="00866630"/>
    <w:rsid w:val="00870921"/>
    <w:rsid w:val="00870D11"/>
    <w:rsid w:val="00875AF8"/>
    <w:rsid w:val="008823E7"/>
    <w:rsid w:val="008831DB"/>
    <w:rsid w:val="00884B1E"/>
    <w:rsid w:val="008874E1"/>
    <w:rsid w:val="0089070C"/>
    <w:rsid w:val="00893206"/>
    <w:rsid w:val="0089377A"/>
    <w:rsid w:val="008A45BD"/>
    <w:rsid w:val="008A5D13"/>
    <w:rsid w:val="008B5D7B"/>
    <w:rsid w:val="008C15CD"/>
    <w:rsid w:val="008C1C4D"/>
    <w:rsid w:val="008D43F9"/>
    <w:rsid w:val="008D52E4"/>
    <w:rsid w:val="008D5B37"/>
    <w:rsid w:val="008D7CE7"/>
    <w:rsid w:val="008F60EB"/>
    <w:rsid w:val="00900F32"/>
    <w:rsid w:val="009047E6"/>
    <w:rsid w:val="009064E9"/>
    <w:rsid w:val="00913F84"/>
    <w:rsid w:val="009154CD"/>
    <w:rsid w:val="009218B5"/>
    <w:rsid w:val="00922360"/>
    <w:rsid w:val="009237F7"/>
    <w:rsid w:val="00932AE7"/>
    <w:rsid w:val="00934612"/>
    <w:rsid w:val="00951A4E"/>
    <w:rsid w:val="009520A4"/>
    <w:rsid w:val="00957132"/>
    <w:rsid w:val="009717F0"/>
    <w:rsid w:val="0097471F"/>
    <w:rsid w:val="0097688E"/>
    <w:rsid w:val="00987B0B"/>
    <w:rsid w:val="009A2DDE"/>
    <w:rsid w:val="009A39A2"/>
    <w:rsid w:val="009B6D1A"/>
    <w:rsid w:val="009C3626"/>
    <w:rsid w:val="009C6B8C"/>
    <w:rsid w:val="009D4369"/>
    <w:rsid w:val="009E4114"/>
    <w:rsid w:val="009F06A9"/>
    <w:rsid w:val="009F10C6"/>
    <w:rsid w:val="009F48A0"/>
    <w:rsid w:val="009F5E60"/>
    <w:rsid w:val="009F7F71"/>
    <w:rsid w:val="00A05059"/>
    <w:rsid w:val="00A050EF"/>
    <w:rsid w:val="00A05732"/>
    <w:rsid w:val="00A06780"/>
    <w:rsid w:val="00A07BC4"/>
    <w:rsid w:val="00A13C5B"/>
    <w:rsid w:val="00A17CAF"/>
    <w:rsid w:val="00A274BE"/>
    <w:rsid w:val="00A27F9C"/>
    <w:rsid w:val="00A412BC"/>
    <w:rsid w:val="00A47486"/>
    <w:rsid w:val="00A533BF"/>
    <w:rsid w:val="00A5395E"/>
    <w:rsid w:val="00A575CB"/>
    <w:rsid w:val="00A61135"/>
    <w:rsid w:val="00A627CB"/>
    <w:rsid w:val="00A656EF"/>
    <w:rsid w:val="00A67B6B"/>
    <w:rsid w:val="00A717A0"/>
    <w:rsid w:val="00A72F57"/>
    <w:rsid w:val="00A738B1"/>
    <w:rsid w:val="00A76587"/>
    <w:rsid w:val="00A80087"/>
    <w:rsid w:val="00A900EC"/>
    <w:rsid w:val="00A905DC"/>
    <w:rsid w:val="00AA41E1"/>
    <w:rsid w:val="00AB1D8C"/>
    <w:rsid w:val="00AB28E5"/>
    <w:rsid w:val="00AB6673"/>
    <w:rsid w:val="00AD40BD"/>
    <w:rsid w:val="00AE4655"/>
    <w:rsid w:val="00B26AE1"/>
    <w:rsid w:val="00B3069A"/>
    <w:rsid w:val="00B32A14"/>
    <w:rsid w:val="00B3367D"/>
    <w:rsid w:val="00B33EDE"/>
    <w:rsid w:val="00B36FDA"/>
    <w:rsid w:val="00B4461B"/>
    <w:rsid w:val="00B53C4A"/>
    <w:rsid w:val="00B62BA8"/>
    <w:rsid w:val="00B64878"/>
    <w:rsid w:val="00B64BD0"/>
    <w:rsid w:val="00B6520B"/>
    <w:rsid w:val="00B67FD6"/>
    <w:rsid w:val="00B72502"/>
    <w:rsid w:val="00B76E3D"/>
    <w:rsid w:val="00B772BF"/>
    <w:rsid w:val="00B84CE8"/>
    <w:rsid w:val="00B85CCF"/>
    <w:rsid w:val="00B86A72"/>
    <w:rsid w:val="00B94732"/>
    <w:rsid w:val="00B963FC"/>
    <w:rsid w:val="00B97680"/>
    <w:rsid w:val="00BA1766"/>
    <w:rsid w:val="00BA5AD8"/>
    <w:rsid w:val="00BA688F"/>
    <w:rsid w:val="00BB4B9E"/>
    <w:rsid w:val="00BC1C03"/>
    <w:rsid w:val="00BC4E82"/>
    <w:rsid w:val="00BE2319"/>
    <w:rsid w:val="00BE4B67"/>
    <w:rsid w:val="00BE6A05"/>
    <w:rsid w:val="00BF351F"/>
    <w:rsid w:val="00C022E3"/>
    <w:rsid w:val="00C0268D"/>
    <w:rsid w:val="00C02805"/>
    <w:rsid w:val="00C02A32"/>
    <w:rsid w:val="00C0346D"/>
    <w:rsid w:val="00C050AD"/>
    <w:rsid w:val="00C05F77"/>
    <w:rsid w:val="00C10558"/>
    <w:rsid w:val="00C11959"/>
    <w:rsid w:val="00C151C8"/>
    <w:rsid w:val="00C15EC5"/>
    <w:rsid w:val="00C21E52"/>
    <w:rsid w:val="00C31304"/>
    <w:rsid w:val="00C340EE"/>
    <w:rsid w:val="00C36A92"/>
    <w:rsid w:val="00C50F13"/>
    <w:rsid w:val="00C53333"/>
    <w:rsid w:val="00C60A88"/>
    <w:rsid w:val="00C60DA9"/>
    <w:rsid w:val="00C625FA"/>
    <w:rsid w:val="00C65CD1"/>
    <w:rsid w:val="00C71DD6"/>
    <w:rsid w:val="00C72DCE"/>
    <w:rsid w:val="00C73FA7"/>
    <w:rsid w:val="00C73FE5"/>
    <w:rsid w:val="00C7418E"/>
    <w:rsid w:val="00C77A63"/>
    <w:rsid w:val="00C84BC1"/>
    <w:rsid w:val="00C851A9"/>
    <w:rsid w:val="00C91124"/>
    <w:rsid w:val="00C92798"/>
    <w:rsid w:val="00C93A24"/>
    <w:rsid w:val="00CA579D"/>
    <w:rsid w:val="00CA7537"/>
    <w:rsid w:val="00CB02C4"/>
    <w:rsid w:val="00CB2130"/>
    <w:rsid w:val="00CB3461"/>
    <w:rsid w:val="00CB60D7"/>
    <w:rsid w:val="00CC2189"/>
    <w:rsid w:val="00CC61A9"/>
    <w:rsid w:val="00CD336A"/>
    <w:rsid w:val="00CD62A2"/>
    <w:rsid w:val="00CE31A5"/>
    <w:rsid w:val="00CE7BA3"/>
    <w:rsid w:val="00CF3463"/>
    <w:rsid w:val="00CF46F5"/>
    <w:rsid w:val="00CF54A6"/>
    <w:rsid w:val="00CF6BB5"/>
    <w:rsid w:val="00D01440"/>
    <w:rsid w:val="00D03075"/>
    <w:rsid w:val="00D05390"/>
    <w:rsid w:val="00D10FB2"/>
    <w:rsid w:val="00D1198B"/>
    <w:rsid w:val="00D14E5C"/>
    <w:rsid w:val="00D172FE"/>
    <w:rsid w:val="00D21489"/>
    <w:rsid w:val="00D27C67"/>
    <w:rsid w:val="00D35E14"/>
    <w:rsid w:val="00D37CD5"/>
    <w:rsid w:val="00D41F58"/>
    <w:rsid w:val="00D44370"/>
    <w:rsid w:val="00D50253"/>
    <w:rsid w:val="00D50B37"/>
    <w:rsid w:val="00D5215A"/>
    <w:rsid w:val="00D5457E"/>
    <w:rsid w:val="00D5581D"/>
    <w:rsid w:val="00D57FBC"/>
    <w:rsid w:val="00D602BD"/>
    <w:rsid w:val="00D6418B"/>
    <w:rsid w:val="00D65E54"/>
    <w:rsid w:val="00D738B5"/>
    <w:rsid w:val="00D74FFF"/>
    <w:rsid w:val="00D80B09"/>
    <w:rsid w:val="00D878A6"/>
    <w:rsid w:val="00D935EB"/>
    <w:rsid w:val="00DA08C3"/>
    <w:rsid w:val="00DA3C1B"/>
    <w:rsid w:val="00DA627C"/>
    <w:rsid w:val="00DB604A"/>
    <w:rsid w:val="00DC6FE3"/>
    <w:rsid w:val="00DC700B"/>
    <w:rsid w:val="00DF1F96"/>
    <w:rsid w:val="00E100AE"/>
    <w:rsid w:val="00E102CB"/>
    <w:rsid w:val="00E1687A"/>
    <w:rsid w:val="00E17D25"/>
    <w:rsid w:val="00E261DF"/>
    <w:rsid w:val="00E32040"/>
    <w:rsid w:val="00E52A7D"/>
    <w:rsid w:val="00E64978"/>
    <w:rsid w:val="00E64C0B"/>
    <w:rsid w:val="00E710E1"/>
    <w:rsid w:val="00E804C9"/>
    <w:rsid w:val="00E81064"/>
    <w:rsid w:val="00E9039B"/>
    <w:rsid w:val="00EA386E"/>
    <w:rsid w:val="00EA5DA5"/>
    <w:rsid w:val="00EB1907"/>
    <w:rsid w:val="00EB2E1D"/>
    <w:rsid w:val="00EB596D"/>
    <w:rsid w:val="00EB722C"/>
    <w:rsid w:val="00EB7247"/>
    <w:rsid w:val="00EB79AD"/>
    <w:rsid w:val="00EC5B2E"/>
    <w:rsid w:val="00ED1071"/>
    <w:rsid w:val="00ED2295"/>
    <w:rsid w:val="00ED4794"/>
    <w:rsid w:val="00ED4E7C"/>
    <w:rsid w:val="00EE0E7F"/>
    <w:rsid w:val="00EE3C2A"/>
    <w:rsid w:val="00EF59F7"/>
    <w:rsid w:val="00F0442E"/>
    <w:rsid w:val="00F06FE5"/>
    <w:rsid w:val="00F116D3"/>
    <w:rsid w:val="00F15CF0"/>
    <w:rsid w:val="00F15F2D"/>
    <w:rsid w:val="00F2227F"/>
    <w:rsid w:val="00F24AC1"/>
    <w:rsid w:val="00F325D3"/>
    <w:rsid w:val="00F42AD8"/>
    <w:rsid w:val="00F53D49"/>
    <w:rsid w:val="00F5419D"/>
    <w:rsid w:val="00F54BBB"/>
    <w:rsid w:val="00F56282"/>
    <w:rsid w:val="00F632DE"/>
    <w:rsid w:val="00F63D3F"/>
    <w:rsid w:val="00F65818"/>
    <w:rsid w:val="00F74B05"/>
    <w:rsid w:val="00F76923"/>
    <w:rsid w:val="00F80905"/>
    <w:rsid w:val="00F8657D"/>
    <w:rsid w:val="00FA138D"/>
    <w:rsid w:val="00FA2DC7"/>
    <w:rsid w:val="00FA65A7"/>
    <w:rsid w:val="00FD3425"/>
    <w:rsid w:val="00FD5F6D"/>
    <w:rsid w:val="00FE156A"/>
    <w:rsid w:val="00FE44EE"/>
    <w:rsid w:val="00FE6B72"/>
    <w:rsid w:val="00FF6F39"/>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PersonName"/>
  <w:shapeDefaults>
    <o:shapedefaults v:ext="edit" spidmax="10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C3626"/>
    <w:pPr>
      <w:spacing w:after="100" w:line="240" w:lineRule="auto"/>
      <w:jc w:val="both"/>
    </w:pPr>
    <w:rPr>
      <w:rFonts w:ascii="Calibri" w:eastAsia="Calibri" w:hAnsi="Calibri" w:cs="Times New Roman"/>
    </w:rPr>
  </w:style>
  <w:style w:type="paragraph" w:styleId="Ttulo1">
    <w:name w:val="heading 1"/>
    <w:basedOn w:val="Normal"/>
    <w:next w:val="Normal"/>
    <w:link w:val="Ttulo1Car"/>
    <w:uiPriority w:val="9"/>
    <w:qFormat/>
    <w:rsid w:val="009C3626"/>
    <w:pPr>
      <w:keepNext/>
      <w:keepLines/>
      <w:spacing w:before="480" w:after="0"/>
      <w:outlineLvl w:val="0"/>
    </w:pPr>
    <w:rPr>
      <w:rFonts w:asciiTheme="minorHAnsi" w:eastAsiaTheme="majorEastAsia" w:hAnsiTheme="minorHAnsi" w:cstheme="majorBidi"/>
      <w:b/>
      <w:bCs/>
      <w:sz w:val="36"/>
      <w:szCs w:val="28"/>
    </w:rPr>
  </w:style>
  <w:style w:type="paragraph" w:styleId="Ttulo2">
    <w:name w:val="heading 2"/>
    <w:basedOn w:val="Normal"/>
    <w:next w:val="Normal"/>
    <w:link w:val="Ttulo2Car"/>
    <w:uiPriority w:val="9"/>
    <w:unhideWhenUsed/>
    <w:qFormat/>
    <w:rsid w:val="009C3626"/>
    <w:pPr>
      <w:keepNext/>
      <w:keepLines/>
      <w:spacing w:before="200" w:after="0"/>
      <w:outlineLvl w:val="1"/>
    </w:pPr>
    <w:rPr>
      <w:rFonts w:asciiTheme="minorHAnsi" w:eastAsiaTheme="majorEastAsia" w:hAnsiTheme="minorHAnsi" w:cstheme="majorBidi"/>
      <w:b/>
      <w:bCs/>
      <w:caps/>
      <w:sz w:val="32"/>
      <w:szCs w:val="26"/>
    </w:rPr>
  </w:style>
  <w:style w:type="paragraph" w:styleId="Ttulo3">
    <w:name w:val="heading 3"/>
    <w:basedOn w:val="Normal"/>
    <w:next w:val="Normal"/>
    <w:link w:val="Ttulo3Car"/>
    <w:uiPriority w:val="9"/>
    <w:unhideWhenUsed/>
    <w:qFormat/>
    <w:rsid w:val="009C3626"/>
    <w:pPr>
      <w:keepNext/>
      <w:keepLines/>
      <w:spacing w:before="200" w:after="0"/>
      <w:outlineLvl w:val="2"/>
    </w:pPr>
    <w:rPr>
      <w:rFonts w:asciiTheme="minorHAnsi" w:eastAsiaTheme="majorEastAsia" w:hAnsiTheme="minorHAnsi" w:cstheme="majorBidi"/>
      <w:b/>
      <w:bCs/>
      <w:caps/>
      <w:sz w:val="28"/>
    </w:rPr>
  </w:style>
  <w:style w:type="paragraph" w:styleId="Ttulo4">
    <w:name w:val="heading 4"/>
    <w:basedOn w:val="Normal"/>
    <w:next w:val="Normal"/>
    <w:link w:val="Ttulo4Car"/>
    <w:uiPriority w:val="9"/>
    <w:unhideWhenUsed/>
    <w:qFormat/>
    <w:rsid w:val="009C3626"/>
    <w:pPr>
      <w:keepNext/>
      <w:keepLines/>
      <w:spacing w:before="200" w:after="0"/>
      <w:outlineLvl w:val="3"/>
    </w:pPr>
    <w:rPr>
      <w:rFonts w:asciiTheme="minorHAnsi" w:eastAsiaTheme="majorEastAsia" w:hAnsiTheme="minorHAnsi" w:cstheme="majorBidi"/>
      <w:b/>
      <w:bCs/>
      <w:iCs/>
    </w:rPr>
  </w:style>
  <w:style w:type="paragraph" w:styleId="Ttulo5">
    <w:name w:val="heading 5"/>
    <w:basedOn w:val="Normal"/>
    <w:next w:val="Normal"/>
    <w:link w:val="Ttulo5Car"/>
    <w:uiPriority w:val="9"/>
    <w:unhideWhenUsed/>
    <w:qFormat/>
    <w:rsid w:val="007A18D4"/>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9C3626"/>
    <w:rPr>
      <w:rFonts w:eastAsiaTheme="majorEastAsia" w:cstheme="majorBidi"/>
      <w:b/>
      <w:bCs/>
      <w:sz w:val="36"/>
      <w:szCs w:val="28"/>
    </w:rPr>
  </w:style>
  <w:style w:type="character" w:customStyle="1" w:styleId="Ttulo2Car">
    <w:name w:val="Título 2 Car"/>
    <w:basedOn w:val="Fuentedeprrafopredeter"/>
    <w:link w:val="Ttulo2"/>
    <w:uiPriority w:val="9"/>
    <w:rsid w:val="009C3626"/>
    <w:rPr>
      <w:rFonts w:eastAsiaTheme="majorEastAsia" w:cstheme="majorBidi"/>
      <w:b/>
      <w:bCs/>
      <w:caps/>
      <w:sz w:val="32"/>
      <w:szCs w:val="26"/>
    </w:rPr>
  </w:style>
  <w:style w:type="character" w:customStyle="1" w:styleId="Ttulo3Car">
    <w:name w:val="Título 3 Car"/>
    <w:basedOn w:val="Fuentedeprrafopredeter"/>
    <w:link w:val="Ttulo3"/>
    <w:uiPriority w:val="9"/>
    <w:rsid w:val="009C3626"/>
    <w:rPr>
      <w:rFonts w:eastAsiaTheme="majorEastAsia" w:cstheme="majorBidi"/>
      <w:b/>
      <w:bCs/>
      <w:caps/>
      <w:sz w:val="28"/>
    </w:rPr>
  </w:style>
  <w:style w:type="paragraph" w:styleId="Sinespaciado">
    <w:name w:val="No Spacing"/>
    <w:uiPriority w:val="1"/>
    <w:qFormat/>
    <w:rsid w:val="009C3626"/>
    <w:pPr>
      <w:spacing w:after="0" w:line="240" w:lineRule="auto"/>
    </w:pPr>
    <w:rPr>
      <w:rFonts w:ascii="Calibri" w:eastAsia="Calibri" w:hAnsi="Calibri" w:cs="Times New Roman"/>
    </w:rPr>
  </w:style>
  <w:style w:type="paragraph" w:styleId="Piedepgina">
    <w:name w:val="footer"/>
    <w:basedOn w:val="Normal"/>
    <w:link w:val="PiedepginaCar"/>
    <w:uiPriority w:val="99"/>
    <w:unhideWhenUsed/>
    <w:rsid w:val="000C467D"/>
    <w:pPr>
      <w:tabs>
        <w:tab w:val="center" w:pos="4252"/>
        <w:tab w:val="right" w:pos="8504"/>
      </w:tabs>
    </w:pPr>
  </w:style>
  <w:style w:type="character" w:customStyle="1" w:styleId="PiedepginaCar">
    <w:name w:val="Pie de página Car"/>
    <w:basedOn w:val="Fuentedeprrafopredeter"/>
    <w:link w:val="Piedepgina"/>
    <w:uiPriority w:val="99"/>
    <w:rsid w:val="000C467D"/>
    <w:rPr>
      <w:rFonts w:ascii="Calibri" w:eastAsia="Calibri" w:hAnsi="Calibri" w:cs="Times New Roman"/>
    </w:rPr>
  </w:style>
  <w:style w:type="paragraph" w:styleId="Encabezado">
    <w:name w:val="header"/>
    <w:basedOn w:val="Normal"/>
    <w:link w:val="EncabezadoCar"/>
    <w:uiPriority w:val="99"/>
    <w:unhideWhenUsed/>
    <w:rsid w:val="000C467D"/>
    <w:pPr>
      <w:tabs>
        <w:tab w:val="center" w:pos="4419"/>
        <w:tab w:val="right" w:pos="8838"/>
      </w:tabs>
      <w:spacing w:after="0"/>
    </w:pPr>
  </w:style>
  <w:style w:type="character" w:customStyle="1" w:styleId="EncabezadoCar">
    <w:name w:val="Encabezado Car"/>
    <w:basedOn w:val="Fuentedeprrafopredeter"/>
    <w:link w:val="Encabezado"/>
    <w:uiPriority w:val="99"/>
    <w:rsid w:val="000C467D"/>
    <w:rPr>
      <w:rFonts w:ascii="Calibri" w:eastAsia="Calibri" w:hAnsi="Calibri" w:cs="Times New Roman"/>
    </w:rPr>
  </w:style>
  <w:style w:type="paragraph" w:styleId="Textonotapie">
    <w:name w:val="footnote text"/>
    <w:basedOn w:val="Normal"/>
    <w:link w:val="TextonotapieCar"/>
    <w:uiPriority w:val="99"/>
    <w:unhideWhenUsed/>
    <w:rsid w:val="000C467D"/>
    <w:rPr>
      <w:sz w:val="20"/>
      <w:szCs w:val="20"/>
    </w:rPr>
  </w:style>
  <w:style w:type="character" w:customStyle="1" w:styleId="TextonotapieCar">
    <w:name w:val="Texto nota pie Car"/>
    <w:basedOn w:val="Fuentedeprrafopredeter"/>
    <w:link w:val="Textonotapie"/>
    <w:uiPriority w:val="99"/>
    <w:rsid w:val="000C467D"/>
    <w:rPr>
      <w:rFonts w:ascii="Calibri" w:eastAsia="Calibri" w:hAnsi="Calibri" w:cs="Times New Roman"/>
      <w:sz w:val="20"/>
      <w:szCs w:val="20"/>
    </w:rPr>
  </w:style>
  <w:style w:type="character" w:styleId="Refdenotaalpie">
    <w:name w:val="footnote reference"/>
    <w:basedOn w:val="Fuentedeprrafopredeter"/>
    <w:uiPriority w:val="99"/>
    <w:unhideWhenUsed/>
    <w:rsid w:val="000C467D"/>
    <w:rPr>
      <w:vertAlign w:val="superscript"/>
    </w:rPr>
  </w:style>
  <w:style w:type="character" w:styleId="Hipervnculo">
    <w:name w:val="Hyperlink"/>
    <w:basedOn w:val="Fuentedeprrafopredeter"/>
    <w:uiPriority w:val="99"/>
    <w:unhideWhenUsed/>
    <w:rsid w:val="000C467D"/>
    <w:rPr>
      <w:color w:val="0000FF"/>
      <w:u w:val="single"/>
    </w:rPr>
  </w:style>
  <w:style w:type="paragraph" w:styleId="Epgrafe">
    <w:name w:val="caption"/>
    <w:basedOn w:val="Normal"/>
    <w:next w:val="Normal"/>
    <w:uiPriority w:val="35"/>
    <w:unhideWhenUsed/>
    <w:qFormat/>
    <w:rsid w:val="000C467D"/>
    <w:pPr>
      <w:jc w:val="center"/>
    </w:pPr>
    <w:rPr>
      <w:rFonts w:eastAsia="Times New Roman"/>
      <w:b/>
      <w:bCs/>
      <w:sz w:val="18"/>
      <w:szCs w:val="18"/>
      <w:lang w:val="es-CO" w:bidi="en-US"/>
    </w:rPr>
  </w:style>
  <w:style w:type="table" w:styleId="Tablaconcuadrcula">
    <w:name w:val="Table Grid"/>
    <w:basedOn w:val="Tablanormal"/>
    <w:uiPriority w:val="59"/>
    <w:rsid w:val="000C467D"/>
    <w:pPr>
      <w:spacing w:after="0" w:line="240" w:lineRule="auto"/>
    </w:pPr>
    <w:rPr>
      <w:lang w:val="es-CO"/>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0C467D"/>
    <w:pPr>
      <w:autoSpaceDE w:val="0"/>
      <w:autoSpaceDN w:val="0"/>
      <w:adjustRightInd w:val="0"/>
      <w:spacing w:after="0" w:line="240" w:lineRule="auto"/>
    </w:pPr>
    <w:rPr>
      <w:rFonts w:ascii="Century Gothic" w:eastAsia="Calibri" w:hAnsi="Century Gothic" w:cs="Century Gothic"/>
      <w:color w:val="000000"/>
      <w:sz w:val="24"/>
      <w:szCs w:val="24"/>
      <w:lang w:val="es-CO" w:eastAsia="es-CO"/>
    </w:rPr>
  </w:style>
  <w:style w:type="paragraph" w:styleId="Textodeglobo">
    <w:name w:val="Balloon Text"/>
    <w:basedOn w:val="Normal"/>
    <w:link w:val="TextodegloboCar"/>
    <w:uiPriority w:val="99"/>
    <w:semiHidden/>
    <w:unhideWhenUsed/>
    <w:rsid w:val="000C467D"/>
    <w:pPr>
      <w:spacing w:after="0"/>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0C467D"/>
    <w:rPr>
      <w:rFonts w:ascii="Tahoma" w:eastAsia="Calibri" w:hAnsi="Tahoma" w:cs="Tahoma"/>
      <w:sz w:val="16"/>
      <w:szCs w:val="16"/>
    </w:rPr>
  </w:style>
  <w:style w:type="paragraph" w:styleId="Prrafodelista">
    <w:name w:val="List Paragraph"/>
    <w:basedOn w:val="Normal"/>
    <w:uiPriority w:val="34"/>
    <w:qFormat/>
    <w:rsid w:val="003D7E89"/>
    <w:pPr>
      <w:ind w:left="720"/>
      <w:contextualSpacing/>
    </w:pPr>
    <w:rPr>
      <w:rFonts w:asciiTheme="minorHAnsi" w:eastAsiaTheme="minorEastAsia" w:hAnsiTheme="minorHAnsi" w:cstheme="minorBidi"/>
      <w:lang w:val="es-CO" w:bidi="en-US"/>
    </w:rPr>
  </w:style>
  <w:style w:type="paragraph" w:styleId="TDC1">
    <w:name w:val="toc 1"/>
    <w:basedOn w:val="Normal"/>
    <w:next w:val="Normal"/>
    <w:autoRedefine/>
    <w:uiPriority w:val="39"/>
    <w:unhideWhenUsed/>
    <w:rsid w:val="00092997"/>
    <w:pPr>
      <w:spacing w:before="120" w:after="0"/>
      <w:jc w:val="left"/>
    </w:pPr>
    <w:rPr>
      <w:rFonts w:asciiTheme="minorHAnsi" w:hAnsiTheme="minorHAnsi"/>
      <w:b/>
      <w:bCs/>
      <w:i/>
      <w:iCs/>
      <w:sz w:val="24"/>
      <w:szCs w:val="24"/>
    </w:rPr>
  </w:style>
  <w:style w:type="paragraph" w:styleId="TDC2">
    <w:name w:val="toc 2"/>
    <w:basedOn w:val="Normal"/>
    <w:next w:val="Normal"/>
    <w:autoRedefine/>
    <w:uiPriority w:val="39"/>
    <w:unhideWhenUsed/>
    <w:rsid w:val="00092997"/>
    <w:pPr>
      <w:spacing w:before="120" w:after="0"/>
      <w:ind w:left="220"/>
      <w:jc w:val="left"/>
    </w:pPr>
    <w:rPr>
      <w:rFonts w:asciiTheme="minorHAnsi" w:hAnsiTheme="minorHAnsi"/>
      <w:b/>
      <w:bCs/>
    </w:rPr>
  </w:style>
  <w:style w:type="character" w:styleId="Refdecomentario">
    <w:name w:val="annotation reference"/>
    <w:basedOn w:val="Fuentedeprrafopredeter"/>
    <w:uiPriority w:val="99"/>
    <w:semiHidden/>
    <w:unhideWhenUsed/>
    <w:rsid w:val="00092997"/>
    <w:rPr>
      <w:sz w:val="16"/>
      <w:szCs w:val="16"/>
    </w:rPr>
  </w:style>
  <w:style w:type="paragraph" w:styleId="Textocomentario">
    <w:name w:val="annotation text"/>
    <w:basedOn w:val="Normal"/>
    <w:link w:val="TextocomentarioCar"/>
    <w:uiPriority w:val="99"/>
    <w:semiHidden/>
    <w:unhideWhenUsed/>
    <w:rsid w:val="00092997"/>
    <w:rPr>
      <w:sz w:val="20"/>
      <w:szCs w:val="20"/>
    </w:rPr>
  </w:style>
  <w:style w:type="character" w:customStyle="1" w:styleId="TextocomentarioCar">
    <w:name w:val="Texto comentario Car"/>
    <w:basedOn w:val="Fuentedeprrafopredeter"/>
    <w:link w:val="Textocomentario"/>
    <w:uiPriority w:val="99"/>
    <w:semiHidden/>
    <w:rsid w:val="00092997"/>
    <w:rPr>
      <w:rFonts w:ascii="Calibri" w:eastAsia="Calibri" w:hAnsi="Calibri" w:cs="Times New Roman"/>
      <w:sz w:val="20"/>
      <w:szCs w:val="20"/>
    </w:rPr>
  </w:style>
  <w:style w:type="character" w:customStyle="1" w:styleId="AsuntodelcomentarioCar">
    <w:name w:val="Asunto del comentario Car"/>
    <w:basedOn w:val="TextocomentarioCar"/>
    <w:link w:val="Asuntodelcomentario"/>
    <w:uiPriority w:val="99"/>
    <w:semiHidden/>
    <w:rsid w:val="00092997"/>
    <w:rPr>
      <w:rFonts w:ascii="Calibri" w:eastAsia="Calibri" w:hAnsi="Calibri" w:cs="Times New Roman"/>
      <w:b/>
      <w:bCs/>
      <w:sz w:val="20"/>
      <w:szCs w:val="20"/>
    </w:rPr>
  </w:style>
  <w:style w:type="paragraph" w:styleId="Asuntodelcomentario">
    <w:name w:val="annotation subject"/>
    <w:basedOn w:val="Textocomentario"/>
    <w:next w:val="Textocomentario"/>
    <w:link w:val="AsuntodelcomentarioCar"/>
    <w:uiPriority w:val="99"/>
    <w:semiHidden/>
    <w:unhideWhenUsed/>
    <w:rsid w:val="00092997"/>
    <w:rPr>
      <w:b/>
      <w:bCs/>
    </w:rPr>
  </w:style>
  <w:style w:type="paragraph" w:styleId="NormalWeb">
    <w:name w:val="Normal (Web)"/>
    <w:basedOn w:val="Normal"/>
    <w:uiPriority w:val="99"/>
    <w:unhideWhenUsed/>
    <w:rsid w:val="00092997"/>
    <w:pPr>
      <w:spacing w:before="100" w:beforeAutospacing="1" w:afterAutospacing="1"/>
      <w:jc w:val="left"/>
    </w:pPr>
    <w:rPr>
      <w:rFonts w:ascii="Times New Roman" w:eastAsia="Times New Roman" w:hAnsi="Times New Roman"/>
      <w:sz w:val="24"/>
      <w:szCs w:val="24"/>
      <w:lang w:eastAsia="es-ES"/>
    </w:rPr>
  </w:style>
  <w:style w:type="paragraph" w:styleId="Mapadeldocumento">
    <w:name w:val="Document Map"/>
    <w:basedOn w:val="Normal"/>
    <w:link w:val="MapadeldocumentoCar"/>
    <w:uiPriority w:val="99"/>
    <w:semiHidden/>
    <w:unhideWhenUsed/>
    <w:rsid w:val="00F65818"/>
    <w:pPr>
      <w:spacing w:after="0"/>
    </w:pPr>
    <w:rPr>
      <w:rFonts w:ascii="Tahoma" w:hAnsi="Tahoma" w:cs="Tahoma"/>
      <w:sz w:val="16"/>
      <w:szCs w:val="16"/>
    </w:rPr>
  </w:style>
  <w:style w:type="character" w:customStyle="1" w:styleId="MapadeldocumentoCar">
    <w:name w:val="Mapa del documento Car"/>
    <w:basedOn w:val="Fuentedeprrafopredeter"/>
    <w:link w:val="Mapadeldocumento"/>
    <w:uiPriority w:val="99"/>
    <w:semiHidden/>
    <w:rsid w:val="00F65818"/>
    <w:rPr>
      <w:rFonts w:ascii="Tahoma" w:eastAsia="Calibri" w:hAnsi="Tahoma" w:cs="Tahoma"/>
      <w:sz w:val="16"/>
      <w:szCs w:val="16"/>
    </w:rPr>
  </w:style>
  <w:style w:type="paragraph" w:styleId="TDC3">
    <w:name w:val="toc 3"/>
    <w:basedOn w:val="Normal"/>
    <w:next w:val="Normal"/>
    <w:autoRedefine/>
    <w:uiPriority w:val="39"/>
    <w:unhideWhenUsed/>
    <w:rsid w:val="000C582C"/>
    <w:pPr>
      <w:spacing w:after="0"/>
      <w:ind w:left="440"/>
      <w:jc w:val="left"/>
    </w:pPr>
    <w:rPr>
      <w:rFonts w:asciiTheme="minorHAnsi" w:hAnsiTheme="minorHAnsi"/>
      <w:sz w:val="20"/>
      <w:szCs w:val="20"/>
    </w:rPr>
  </w:style>
  <w:style w:type="paragraph" w:styleId="TDC4">
    <w:name w:val="toc 4"/>
    <w:basedOn w:val="Normal"/>
    <w:next w:val="Normal"/>
    <w:autoRedefine/>
    <w:uiPriority w:val="39"/>
    <w:unhideWhenUsed/>
    <w:rsid w:val="000C582C"/>
    <w:pPr>
      <w:spacing w:after="0"/>
      <w:ind w:left="660"/>
      <w:jc w:val="left"/>
    </w:pPr>
    <w:rPr>
      <w:rFonts w:asciiTheme="minorHAnsi" w:hAnsiTheme="minorHAnsi"/>
      <w:sz w:val="20"/>
      <w:szCs w:val="20"/>
    </w:rPr>
  </w:style>
  <w:style w:type="paragraph" w:styleId="TDC5">
    <w:name w:val="toc 5"/>
    <w:basedOn w:val="Normal"/>
    <w:next w:val="Normal"/>
    <w:autoRedefine/>
    <w:uiPriority w:val="39"/>
    <w:unhideWhenUsed/>
    <w:rsid w:val="000C582C"/>
    <w:pPr>
      <w:spacing w:after="0"/>
      <w:ind w:left="880"/>
      <w:jc w:val="left"/>
    </w:pPr>
    <w:rPr>
      <w:rFonts w:asciiTheme="minorHAnsi" w:hAnsiTheme="minorHAnsi"/>
      <w:sz w:val="20"/>
      <w:szCs w:val="20"/>
    </w:rPr>
  </w:style>
  <w:style w:type="paragraph" w:styleId="TDC6">
    <w:name w:val="toc 6"/>
    <w:basedOn w:val="Normal"/>
    <w:next w:val="Normal"/>
    <w:autoRedefine/>
    <w:uiPriority w:val="39"/>
    <w:unhideWhenUsed/>
    <w:rsid w:val="000C582C"/>
    <w:pPr>
      <w:spacing w:after="0"/>
      <w:ind w:left="1100"/>
      <w:jc w:val="left"/>
    </w:pPr>
    <w:rPr>
      <w:rFonts w:asciiTheme="minorHAnsi" w:hAnsiTheme="minorHAnsi"/>
      <w:sz w:val="20"/>
      <w:szCs w:val="20"/>
    </w:rPr>
  </w:style>
  <w:style w:type="paragraph" w:styleId="TDC7">
    <w:name w:val="toc 7"/>
    <w:basedOn w:val="Normal"/>
    <w:next w:val="Normal"/>
    <w:autoRedefine/>
    <w:uiPriority w:val="39"/>
    <w:unhideWhenUsed/>
    <w:rsid w:val="000C582C"/>
    <w:pPr>
      <w:spacing w:after="0"/>
      <w:ind w:left="1320"/>
      <w:jc w:val="left"/>
    </w:pPr>
    <w:rPr>
      <w:rFonts w:asciiTheme="minorHAnsi" w:hAnsiTheme="minorHAnsi"/>
      <w:sz w:val="20"/>
      <w:szCs w:val="20"/>
    </w:rPr>
  </w:style>
  <w:style w:type="paragraph" w:styleId="TDC8">
    <w:name w:val="toc 8"/>
    <w:basedOn w:val="Normal"/>
    <w:next w:val="Normal"/>
    <w:autoRedefine/>
    <w:uiPriority w:val="39"/>
    <w:unhideWhenUsed/>
    <w:rsid w:val="000C582C"/>
    <w:pPr>
      <w:spacing w:after="0"/>
      <w:ind w:left="1540"/>
      <w:jc w:val="left"/>
    </w:pPr>
    <w:rPr>
      <w:rFonts w:asciiTheme="minorHAnsi" w:hAnsiTheme="minorHAnsi"/>
      <w:sz w:val="20"/>
      <w:szCs w:val="20"/>
    </w:rPr>
  </w:style>
  <w:style w:type="paragraph" w:styleId="TDC9">
    <w:name w:val="toc 9"/>
    <w:basedOn w:val="Normal"/>
    <w:next w:val="Normal"/>
    <w:autoRedefine/>
    <w:uiPriority w:val="39"/>
    <w:unhideWhenUsed/>
    <w:rsid w:val="000C582C"/>
    <w:pPr>
      <w:spacing w:after="0"/>
      <w:ind w:left="1760"/>
      <w:jc w:val="left"/>
    </w:pPr>
    <w:rPr>
      <w:rFonts w:asciiTheme="minorHAnsi" w:hAnsiTheme="minorHAnsi"/>
      <w:sz w:val="20"/>
      <w:szCs w:val="20"/>
    </w:rPr>
  </w:style>
  <w:style w:type="paragraph" w:styleId="TtulodeTDC">
    <w:name w:val="TOC Heading"/>
    <w:basedOn w:val="Ttulo1"/>
    <w:next w:val="Normal"/>
    <w:uiPriority w:val="39"/>
    <w:unhideWhenUsed/>
    <w:qFormat/>
    <w:rsid w:val="00535E30"/>
    <w:pPr>
      <w:spacing w:line="276" w:lineRule="auto"/>
      <w:jc w:val="left"/>
      <w:outlineLvl w:val="9"/>
    </w:pPr>
    <w:rPr>
      <w:color w:val="365F91" w:themeColor="accent1" w:themeShade="BF"/>
      <w:sz w:val="28"/>
    </w:rPr>
  </w:style>
  <w:style w:type="table" w:styleId="Sombreadoclaro-nfasis1">
    <w:name w:val="Light Shading Accent 1"/>
    <w:basedOn w:val="Tablanormal"/>
    <w:uiPriority w:val="60"/>
    <w:rsid w:val="00A06780"/>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Cuadrculaclara-nfasis1">
    <w:name w:val="Light Grid Accent 1"/>
    <w:basedOn w:val="Tablanormal"/>
    <w:uiPriority w:val="62"/>
    <w:rsid w:val="00A06780"/>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character" w:styleId="nfasis">
    <w:name w:val="Emphasis"/>
    <w:basedOn w:val="Fuentedeprrafopredeter"/>
    <w:uiPriority w:val="20"/>
    <w:qFormat/>
    <w:rsid w:val="00EB2E1D"/>
    <w:rPr>
      <w:i/>
      <w:iCs/>
    </w:rPr>
  </w:style>
  <w:style w:type="character" w:customStyle="1" w:styleId="Ttulo4Car">
    <w:name w:val="Título 4 Car"/>
    <w:basedOn w:val="Fuentedeprrafopredeter"/>
    <w:link w:val="Ttulo4"/>
    <w:uiPriority w:val="9"/>
    <w:rsid w:val="009C3626"/>
    <w:rPr>
      <w:rFonts w:eastAsiaTheme="majorEastAsia" w:cstheme="majorBidi"/>
      <w:b/>
      <w:bCs/>
      <w:iCs/>
    </w:rPr>
  </w:style>
  <w:style w:type="table" w:styleId="Cuadrculamedia3-nfasis5">
    <w:name w:val="Medium Grid 3 Accent 5"/>
    <w:basedOn w:val="Tablanormal"/>
    <w:uiPriority w:val="69"/>
    <w:rsid w:val="009520A4"/>
    <w:pPr>
      <w:spacing w:after="0" w:line="240" w:lineRule="auto"/>
    </w:pPr>
    <w:rPr>
      <w:rFonts w:eastAsiaTheme="minorEastAsia"/>
      <w:lang w:val="en-US" w:bidi="en-US"/>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Sombreadomedio1-nfasis1">
    <w:name w:val="Medium Shading 1 Accent 1"/>
    <w:basedOn w:val="Tablanormal"/>
    <w:uiPriority w:val="63"/>
    <w:rsid w:val="004B6A8C"/>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customStyle="1" w:styleId="Sombreadomedio1-nfasis11">
    <w:name w:val="Sombreado medio 1 - Énfasis 11"/>
    <w:basedOn w:val="Tablanormal"/>
    <w:uiPriority w:val="63"/>
    <w:rsid w:val="00C7418E"/>
    <w:pPr>
      <w:spacing w:after="0" w:line="240" w:lineRule="auto"/>
      <w:jc w:val="both"/>
    </w:pPr>
    <w:rPr>
      <w:rFonts w:ascii="Maiandra GD" w:eastAsia="Times New Roman" w:hAnsi="Maiandra GD" w:cs="Times New Roman"/>
      <w:sz w:val="24"/>
      <w:szCs w:val="24"/>
      <w:lang w:val="es-CO"/>
    </w:r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Listaclara-nfasis1">
    <w:name w:val="Light List Accent 1"/>
    <w:basedOn w:val="Tablanormal"/>
    <w:uiPriority w:val="61"/>
    <w:rsid w:val="00502200"/>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Ttulo">
    <w:name w:val="Title"/>
    <w:basedOn w:val="Normal"/>
    <w:next w:val="Normal"/>
    <w:link w:val="TtuloCar"/>
    <w:uiPriority w:val="10"/>
    <w:qFormat/>
    <w:rsid w:val="0047541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ar">
    <w:name w:val="Título Car"/>
    <w:basedOn w:val="Fuentedeprrafopredeter"/>
    <w:link w:val="Ttulo"/>
    <w:uiPriority w:val="10"/>
    <w:rsid w:val="00475419"/>
    <w:rPr>
      <w:rFonts w:asciiTheme="majorHAnsi" w:eastAsiaTheme="majorEastAsia" w:hAnsiTheme="majorHAnsi" w:cstheme="majorBidi"/>
      <w:color w:val="17365D" w:themeColor="text2" w:themeShade="BF"/>
      <w:spacing w:val="5"/>
      <w:kern w:val="28"/>
      <w:sz w:val="52"/>
      <w:szCs w:val="52"/>
    </w:rPr>
  </w:style>
  <w:style w:type="character" w:customStyle="1" w:styleId="Ttulo5Car">
    <w:name w:val="Título 5 Car"/>
    <w:basedOn w:val="Fuentedeprrafopredeter"/>
    <w:link w:val="Ttulo5"/>
    <w:uiPriority w:val="9"/>
    <w:rsid w:val="007A18D4"/>
    <w:rPr>
      <w:rFonts w:asciiTheme="majorHAnsi" w:eastAsiaTheme="majorEastAsia" w:hAnsiTheme="majorHAnsi" w:cstheme="majorBidi"/>
      <w:color w:val="243F60" w:themeColor="accent1" w:themeShade="7F"/>
    </w:rPr>
  </w:style>
  <w:style w:type="table" w:customStyle="1" w:styleId="Cuadrculaclara-nfasis11">
    <w:name w:val="Cuadrícula clara - Énfasis 11"/>
    <w:basedOn w:val="Tablanormal"/>
    <w:uiPriority w:val="62"/>
    <w:rsid w:val="007A18D4"/>
    <w:pPr>
      <w:spacing w:after="0" w:line="240" w:lineRule="auto"/>
    </w:pPr>
    <w:rPr>
      <w:lang w:val="es-CO"/>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customStyle="1" w:styleId="Cuadrculaclara-nfasis13">
    <w:name w:val="Cuadrícula clara - Énfasis 13"/>
    <w:basedOn w:val="Tablanormal"/>
    <w:uiPriority w:val="62"/>
    <w:rsid w:val="005678E7"/>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Lines="0" w:beforeAutospacing="0" w:afterLines="0" w:afterAutospacing="0" w:line="240" w:lineRule="auto"/>
      </w:pPr>
      <w:rPr>
        <w:rFonts w:asciiTheme="majorHAnsi" w:eastAsiaTheme="majorEastAsia" w:hAnsiTheme="majorHAnsi" w:cstheme="majorBidi" w:hint="default"/>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Lines="0" w:beforeAutospacing="0" w:afterLines="0" w:afterAutospacing="0" w:line="240" w:lineRule="auto"/>
      </w:pPr>
      <w:rPr>
        <w:rFonts w:asciiTheme="majorHAnsi" w:eastAsiaTheme="majorEastAsia" w:hAnsiTheme="majorHAnsi" w:cstheme="majorBidi" w:hint="default"/>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hint="default"/>
        <w:b/>
        <w:bCs/>
      </w:rPr>
    </w:tblStylePr>
    <w:tblStylePr w:type="lastCol">
      <w:rPr>
        <w:rFonts w:asciiTheme="majorHAnsi" w:eastAsiaTheme="majorEastAsia" w:hAnsiTheme="majorHAnsi" w:cstheme="majorBidi" w:hint="default"/>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character" w:styleId="Hipervnculovisitado">
    <w:name w:val="FollowedHyperlink"/>
    <w:basedOn w:val="Fuentedeprrafopredeter"/>
    <w:uiPriority w:val="99"/>
    <w:semiHidden/>
    <w:unhideWhenUsed/>
    <w:rsid w:val="00C36A92"/>
    <w:rPr>
      <w:color w:val="800080"/>
      <w:u w:val="single"/>
    </w:rPr>
  </w:style>
  <w:style w:type="paragraph" w:customStyle="1" w:styleId="xl107">
    <w:name w:val="xl107"/>
    <w:basedOn w:val="Normal"/>
    <w:rsid w:val="00C36A92"/>
    <w:pPr>
      <w:spacing w:before="100" w:beforeAutospacing="1" w:afterAutospacing="1"/>
      <w:jc w:val="left"/>
    </w:pPr>
    <w:rPr>
      <w:rFonts w:eastAsia="Times New Roman"/>
      <w:lang w:val="es-CO" w:eastAsia="es-CO"/>
    </w:rPr>
  </w:style>
  <w:style w:type="paragraph" w:customStyle="1" w:styleId="xl108">
    <w:name w:val="xl108"/>
    <w:basedOn w:val="Normal"/>
    <w:rsid w:val="00C36A92"/>
    <w:pPr>
      <w:spacing w:before="100" w:beforeAutospacing="1" w:afterAutospacing="1"/>
      <w:jc w:val="left"/>
      <w:textAlignment w:val="top"/>
    </w:pPr>
    <w:rPr>
      <w:rFonts w:eastAsia="Times New Roman"/>
      <w:lang w:val="es-CO" w:eastAsia="es-CO"/>
    </w:rPr>
  </w:style>
  <w:style w:type="paragraph" w:customStyle="1" w:styleId="xl109">
    <w:name w:val="xl109"/>
    <w:basedOn w:val="Normal"/>
    <w:rsid w:val="00C36A92"/>
    <w:pPr>
      <w:spacing w:before="100" w:beforeAutospacing="1" w:afterAutospacing="1"/>
      <w:jc w:val="center"/>
      <w:textAlignment w:val="center"/>
    </w:pPr>
    <w:rPr>
      <w:rFonts w:eastAsia="Times New Roman"/>
      <w:lang w:val="es-CO" w:eastAsia="es-CO"/>
    </w:rPr>
  </w:style>
  <w:style w:type="paragraph" w:customStyle="1" w:styleId="xl110">
    <w:name w:val="xl110"/>
    <w:basedOn w:val="Normal"/>
    <w:rsid w:val="00C36A92"/>
    <w:pPr>
      <w:spacing w:before="100" w:beforeAutospacing="1" w:afterAutospacing="1"/>
      <w:jc w:val="center"/>
      <w:textAlignment w:val="center"/>
    </w:pPr>
    <w:rPr>
      <w:rFonts w:eastAsia="Times New Roman"/>
      <w:lang w:val="es-CO" w:eastAsia="es-CO"/>
    </w:rPr>
  </w:style>
  <w:style w:type="paragraph" w:customStyle="1" w:styleId="xl111">
    <w:name w:val="xl111"/>
    <w:basedOn w:val="Normal"/>
    <w:rsid w:val="00C36A92"/>
    <w:pPr>
      <w:spacing w:before="100" w:beforeAutospacing="1" w:afterAutospacing="1"/>
      <w:jc w:val="center"/>
      <w:textAlignment w:val="center"/>
    </w:pPr>
    <w:rPr>
      <w:rFonts w:eastAsia="Times New Roman"/>
      <w:lang w:val="es-CO" w:eastAsia="es-CO"/>
    </w:rPr>
  </w:style>
  <w:style w:type="paragraph" w:customStyle="1" w:styleId="xl112">
    <w:name w:val="xl112"/>
    <w:basedOn w:val="Normal"/>
    <w:rsid w:val="00C36A92"/>
    <w:pPr>
      <w:pBdr>
        <w:top w:val="single" w:sz="4" w:space="0" w:color="auto"/>
        <w:left w:val="single" w:sz="4" w:space="0" w:color="auto"/>
        <w:bottom w:val="single" w:sz="4" w:space="0" w:color="auto"/>
        <w:right w:val="single" w:sz="4" w:space="0" w:color="auto"/>
      </w:pBdr>
      <w:spacing w:before="100" w:beforeAutospacing="1" w:afterAutospacing="1"/>
      <w:jc w:val="center"/>
      <w:textAlignment w:val="center"/>
    </w:pPr>
    <w:rPr>
      <w:rFonts w:eastAsia="Times New Roman"/>
      <w:lang w:val="es-CO" w:eastAsia="es-CO"/>
    </w:rPr>
  </w:style>
  <w:style w:type="paragraph" w:customStyle="1" w:styleId="xl113">
    <w:name w:val="xl113"/>
    <w:basedOn w:val="Normal"/>
    <w:rsid w:val="00C36A92"/>
    <w:pPr>
      <w:pBdr>
        <w:top w:val="single" w:sz="4" w:space="0" w:color="auto"/>
        <w:left w:val="single" w:sz="4" w:space="0" w:color="auto"/>
        <w:bottom w:val="single" w:sz="4" w:space="0" w:color="auto"/>
        <w:right w:val="single" w:sz="4" w:space="0" w:color="auto"/>
      </w:pBdr>
      <w:shd w:val="clear" w:color="000000" w:fill="92D050"/>
      <w:spacing w:before="100" w:beforeAutospacing="1" w:afterAutospacing="1"/>
      <w:jc w:val="center"/>
      <w:textAlignment w:val="center"/>
    </w:pPr>
    <w:rPr>
      <w:rFonts w:eastAsia="Times New Roman"/>
      <w:color w:val="000000"/>
      <w:lang w:val="es-CO" w:eastAsia="es-CO"/>
    </w:rPr>
  </w:style>
  <w:style w:type="paragraph" w:customStyle="1" w:styleId="xl114">
    <w:name w:val="xl114"/>
    <w:basedOn w:val="Normal"/>
    <w:rsid w:val="00C36A92"/>
    <w:pPr>
      <w:pBdr>
        <w:top w:val="single" w:sz="4" w:space="0" w:color="auto"/>
        <w:left w:val="single" w:sz="4" w:space="0" w:color="auto"/>
        <w:bottom w:val="single" w:sz="4" w:space="0" w:color="auto"/>
        <w:right w:val="single" w:sz="4" w:space="0" w:color="auto"/>
      </w:pBdr>
      <w:spacing w:before="100" w:beforeAutospacing="1" w:afterAutospacing="1"/>
      <w:jc w:val="left"/>
      <w:textAlignment w:val="center"/>
    </w:pPr>
    <w:rPr>
      <w:rFonts w:eastAsia="Times New Roman"/>
      <w:lang w:val="es-CO" w:eastAsia="es-CO"/>
    </w:rPr>
  </w:style>
  <w:style w:type="paragraph" w:customStyle="1" w:styleId="xl115">
    <w:name w:val="xl115"/>
    <w:basedOn w:val="Normal"/>
    <w:rsid w:val="00C36A92"/>
    <w:pPr>
      <w:pBdr>
        <w:top w:val="single" w:sz="4" w:space="0" w:color="auto"/>
        <w:left w:val="single" w:sz="4" w:space="0" w:color="auto"/>
        <w:bottom w:val="single" w:sz="4" w:space="0" w:color="auto"/>
        <w:right w:val="single" w:sz="4" w:space="0" w:color="auto"/>
      </w:pBdr>
      <w:spacing w:before="100" w:beforeAutospacing="1" w:afterAutospacing="1"/>
      <w:jc w:val="left"/>
      <w:textAlignment w:val="top"/>
    </w:pPr>
    <w:rPr>
      <w:rFonts w:eastAsia="Times New Roman"/>
      <w:lang w:val="es-CO" w:eastAsia="es-CO"/>
    </w:rPr>
  </w:style>
  <w:style w:type="paragraph" w:customStyle="1" w:styleId="xl116">
    <w:name w:val="xl116"/>
    <w:basedOn w:val="Normal"/>
    <w:rsid w:val="00C36A92"/>
    <w:pPr>
      <w:pBdr>
        <w:top w:val="single" w:sz="4" w:space="0" w:color="auto"/>
        <w:left w:val="single" w:sz="4" w:space="0" w:color="auto"/>
        <w:bottom w:val="single" w:sz="4" w:space="0" w:color="auto"/>
        <w:right w:val="single" w:sz="4" w:space="0" w:color="auto"/>
      </w:pBdr>
      <w:spacing w:before="100" w:beforeAutospacing="1" w:afterAutospacing="1"/>
      <w:jc w:val="center"/>
      <w:textAlignment w:val="center"/>
    </w:pPr>
    <w:rPr>
      <w:rFonts w:eastAsia="Times New Roman"/>
      <w:lang w:val="es-CO" w:eastAsia="es-CO"/>
    </w:rPr>
  </w:style>
  <w:style w:type="paragraph" w:customStyle="1" w:styleId="xl117">
    <w:name w:val="xl117"/>
    <w:basedOn w:val="Normal"/>
    <w:rsid w:val="00C36A92"/>
    <w:pPr>
      <w:spacing w:before="100" w:beforeAutospacing="1" w:afterAutospacing="1"/>
      <w:jc w:val="center"/>
      <w:textAlignment w:val="center"/>
    </w:pPr>
    <w:rPr>
      <w:rFonts w:eastAsia="Times New Roman"/>
      <w:b/>
      <w:bCs/>
      <w:lang w:val="es-CO" w:eastAsia="es-CO"/>
    </w:rPr>
  </w:style>
  <w:style w:type="paragraph" w:customStyle="1" w:styleId="xl118">
    <w:name w:val="xl118"/>
    <w:basedOn w:val="Normal"/>
    <w:rsid w:val="00C36A92"/>
    <w:pPr>
      <w:spacing w:before="100" w:beforeAutospacing="1" w:afterAutospacing="1"/>
      <w:jc w:val="center"/>
      <w:textAlignment w:val="center"/>
    </w:pPr>
    <w:rPr>
      <w:rFonts w:eastAsia="Times New Roman"/>
      <w:b/>
      <w:bCs/>
      <w:lang w:val="es-CO" w:eastAsia="es-CO"/>
    </w:rPr>
  </w:style>
  <w:style w:type="paragraph" w:customStyle="1" w:styleId="xl119">
    <w:name w:val="xl119"/>
    <w:basedOn w:val="Normal"/>
    <w:rsid w:val="00C36A92"/>
    <w:pPr>
      <w:pBdr>
        <w:top w:val="single" w:sz="4" w:space="0" w:color="auto"/>
        <w:left w:val="single" w:sz="4" w:space="0" w:color="auto"/>
        <w:bottom w:val="single" w:sz="4" w:space="0" w:color="auto"/>
        <w:right w:val="single" w:sz="4" w:space="0" w:color="auto"/>
      </w:pBdr>
      <w:spacing w:before="100" w:beforeAutospacing="1" w:afterAutospacing="1"/>
      <w:jc w:val="left"/>
      <w:textAlignment w:val="center"/>
    </w:pPr>
    <w:rPr>
      <w:rFonts w:eastAsia="Times New Roman"/>
      <w:color w:val="000000"/>
      <w:lang w:val="es-CO" w:eastAsia="es-CO"/>
    </w:rPr>
  </w:style>
  <w:style w:type="paragraph" w:customStyle="1" w:styleId="xl120">
    <w:name w:val="xl120"/>
    <w:basedOn w:val="Normal"/>
    <w:rsid w:val="00C36A92"/>
    <w:pPr>
      <w:pBdr>
        <w:top w:val="single" w:sz="4" w:space="0" w:color="auto"/>
        <w:left w:val="single" w:sz="4" w:space="0" w:color="auto"/>
        <w:bottom w:val="single" w:sz="4" w:space="0" w:color="auto"/>
        <w:right w:val="single" w:sz="4" w:space="0" w:color="auto"/>
      </w:pBdr>
      <w:spacing w:before="100" w:beforeAutospacing="1" w:afterAutospacing="1"/>
      <w:jc w:val="center"/>
      <w:textAlignment w:val="center"/>
    </w:pPr>
    <w:rPr>
      <w:rFonts w:eastAsia="Times New Roman"/>
      <w:color w:val="000000"/>
      <w:lang w:val="es-CO" w:eastAsia="es-CO"/>
    </w:rPr>
  </w:style>
  <w:style w:type="paragraph" w:customStyle="1" w:styleId="xl121">
    <w:name w:val="xl121"/>
    <w:basedOn w:val="Normal"/>
    <w:rsid w:val="00C36A92"/>
    <w:pPr>
      <w:spacing w:before="100" w:beforeAutospacing="1" w:afterAutospacing="1"/>
      <w:jc w:val="left"/>
      <w:textAlignment w:val="top"/>
    </w:pPr>
    <w:rPr>
      <w:rFonts w:eastAsia="Times New Roman"/>
      <w:color w:val="000000"/>
      <w:lang w:val="es-CO" w:eastAsia="es-CO"/>
    </w:rPr>
  </w:style>
  <w:style w:type="paragraph" w:customStyle="1" w:styleId="xl122">
    <w:name w:val="xl122"/>
    <w:basedOn w:val="Normal"/>
    <w:rsid w:val="00C36A92"/>
    <w:pPr>
      <w:spacing w:before="100" w:beforeAutospacing="1" w:afterAutospacing="1"/>
      <w:jc w:val="center"/>
      <w:textAlignment w:val="center"/>
    </w:pPr>
    <w:rPr>
      <w:rFonts w:eastAsia="Times New Roman"/>
      <w:color w:val="000000"/>
      <w:lang w:val="es-CO" w:eastAsia="es-CO"/>
    </w:rPr>
  </w:style>
  <w:style w:type="paragraph" w:customStyle="1" w:styleId="xl123">
    <w:name w:val="xl123"/>
    <w:basedOn w:val="Normal"/>
    <w:rsid w:val="00C36A92"/>
    <w:pPr>
      <w:spacing w:before="100" w:beforeAutospacing="1" w:afterAutospacing="1"/>
      <w:jc w:val="center"/>
      <w:textAlignment w:val="center"/>
    </w:pPr>
    <w:rPr>
      <w:rFonts w:eastAsia="Times New Roman"/>
      <w:color w:val="000000"/>
      <w:lang w:val="es-CO" w:eastAsia="es-CO"/>
    </w:rPr>
  </w:style>
  <w:style w:type="paragraph" w:customStyle="1" w:styleId="xl124">
    <w:name w:val="xl124"/>
    <w:basedOn w:val="Normal"/>
    <w:rsid w:val="00C36A92"/>
    <w:pPr>
      <w:spacing w:before="100" w:beforeAutospacing="1" w:afterAutospacing="1"/>
      <w:jc w:val="center"/>
      <w:textAlignment w:val="center"/>
    </w:pPr>
    <w:rPr>
      <w:rFonts w:eastAsia="Times New Roman"/>
      <w:color w:val="000000"/>
      <w:lang w:val="es-CO" w:eastAsia="es-CO"/>
    </w:rPr>
  </w:style>
  <w:style w:type="paragraph" w:customStyle="1" w:styleId="xl125">
    <w:name w:val="xl125"/>
    <w:basedOn w:val="Normal"/>
    <w:rsid w:val="00C36A92"/>
    <w:pPr>
      <w:pBdr>
        <w:top w:val="single" w:sz="4" w:space="0" w:color="auto"/>
        <w:left w:val="single" w:sz="4" w:space="0" w:color="auto"/>
        <w:bottom w:val="single" w:sz="4" w:space="0" w:color="auto"/>
        <w:right w:val="single" w:sz="4" w:space="0" w:color="auto"/>
      </w:pBdr>
      <w:spacing w:before="100" w:beforeAutospacing="1" w:afterAutospacing="1"/>
      <w:jc w:val="left"/>
      <w:textAlignment w:val="top"/>
    </w:pPr>
    <w:rPr>
      <w:rFonts w:eastAsia="Times New Roman"/>
      <w:color w:val="000000"/>
      <w:lang w:val="es-CO" w:eastAsia="es-CO"/>
    </w:rPr>
  </w:style>
  <w:style w:type="paragraph" w:customStyle="1" w:styleId="xl126">
    <w:name w:val="xl126"/>
    <w:basedOn w:val="Normal"/>
    <w:rsid w:val="00C36A92"/>
    <w:pPr>
      <w:pBdr>
        <w:top w:val="single" w:sz="4" w:space="0" w:color="auto"/>
        <w:left w:val="single" w:sz="4" w:space="0" w:color="auto"/>
        <w:bottom w:val="single" w:sz="4" w:space="0" w:color="auto"/>
        <w:right w:val="single" w:sz="4" w:space="0" w:color="auto"/>
      </w:pBdr>
      <w:spacing w:before="100" w:beforeAutospacing="1" w:afterAutospacing="1"/>
      <w:jc w:val="center"/>
      <w:textAlignment w:val="center"/>
    </w:pPr>
    <w:rPr>
      <w:rFonts w:eastAsia="Times New Roman"/>
      <w:color w:val="000000"/>
      <w:lang w:val="es-CO" w:eastAsia="es-CO"/>
    </w:rPr>
  </w:style>
  <w:style w:type="paragraph" w:customStyle="1" w:styleId="xl127">
    <w:name w:val="xl127"/>
    <w:basedOn w:val="Normal"/>
    <w:rsid w:val="00C36A92"/>
    <w:pPr>
      <w:pBdr>
        <w:top w:val="single" w:sz="4" w:space="0" w:color="auto"/>
        <w:left w:val="single" w:sz="4" w:space="0" w:color="auto"/>
        <w:bottom w:val="single" w:sz="4" w:space="0" w:color="auto"/>
        <w:right w:val="single" w:sz="4" w:space="0" w:color="auto"/>
      </w:pBdr>
      <w:spacing w:before="100" w:beforeAutospacing="1" w:afterAutospacing="1"/>
      <w:jc w:val="left"/>
    </w:pPr>
    <w:rPr>
      <w:rFonts w:eastAsia="Times New Roman"/>
      <w:lang w:val="es-CO" w:eastAsia="es-CO"/>
    </w:rPr>
  </w:style>
  <w:style w:type="paragraph" w:customStyle="1" w:styleId="xl128">
    <w:name w:val="xl128"/>
    <w:basedOn w:val="Normal"/>
    <w:rsid w:val="00C36A92"/>
    <w:pPr>
      <w:pBdr>
        <w:top w:val="single" w:sz="4" w:space="0" w:color="auto"/>
        <w:left w:val="single" w:sz="4" w:space="0" w:color="auto"/>
        <w:bottom w:val="single" w:sz="4" w:space="0" w:color="auto"/>
        <w:right w:val="single" w:sz="4" w:space="0" w:color="auto"/>
      </w:pBdr>
      <w:spacing w:before="100" w:beforeAutospacing="1" w:afterAutospacing="1"/>
      <w:jc w:val="center"/>
      <w:textAlignment w:val="center"/>
    </w:pPr>
    <w:rPr>
      <w:rFonts w:eastAsia="Times New Roman"/>
      <w:lang w:val="es-CO" w:eastAsia="es-CO"/>
    </w:rPr>
  </w:style>
  <w:style w:type="paragraph" w:customStyle="1" w:styleId="xl129">
    <w:name w:val="xl129"/>
    <w:basedOn w:val="Normal"/>
    <w:rsid w:val="00C36A92"/>
    <w:pPr>
      <w:pBdr>
        <w:top w:val="single" w:sz="4" w:space="0" w:color="auto"/>
        <w:left w:val="single" w:sz="4" w:space="0" w:color="auto"/>
        <w:bottom w:val="single" w:sz="4" w:space="0" w:color="auto"/>
        <w:right w:val="single" w:sz="4" w:space="0" w:color="auto"/>
      </w:pBdr>
      <w:spacing w:before="100" w:beforeAutospacing="1" w:afterAutospacing="1"/>
      <w:jc w:val="center"/>
      <w:textAlignment w:val="center"/>
    </w:pPr>
    <w:rPr>
      <w:rFonts w:eastAsia="Times New Roman"/>
      <w:lang w:val="es-CO" w:eastAsia="es-CO"/>
    </w:rPr>
  </w:style>
  <w:style w:type="paragraph" w:customStyle="1" w:styleId="xl130">
    <w:name w:val="xl130"/>
    <w:basedOn w:val="Normal"/>
    <w:rsid w:val="00C36A92"/>
    <w:pPr>
      <w:pBdr>
        <w:top w:val="single" w:sz="4" w:space="0" w:color="auto"/>
        <w:left w:val="single" w:sz="4" w:space="0" w:color="auto"/>
        <w:bottom w:val="single" w:sz="4" w:space="0" w:color="auto"/>
        <w:right w:val="single" w:sz="4" w:space="0" w:color="auto"/>
      </w:pBdr>
      <w:spacing w:before="100" w:beforeAutospacing="1" w:afterAutospacing="1"/>
      <w:jc w:val="center"/>
      <w:textAlignment w:val="center"/>
    </w:pPr>
    <w:rPr>
      <w:rFonts w:eastAsia="Times New Roman"/>
      <w:color w:val="000000"/>
      <w:lang w:val="es-CO" w:eastAsia="es-CO"/>
    </w:rPr>
  </w:style>
  <w:style w:type="paragraph" w:customStyle="1" w:styleId="xl131">
    <w:name w:val="xl131"/>
    <w:basedOn w:val="Normal"/>
    <w:rsid w:val="00C36A92"/>
    <w:pPr>
      <w:pBdr>
        <w:top w:val="single" w:sz="4" w:space="0" w:color="auto"/>
        <w:left w:val="single" w:sz="4" w:space="0" w:color="auto"/>
        <w:bottom w:val="single" w:sz="4" w:space="0" w:color="auto"/>
        <w:right w:val="single" w:sz="4" w:space="0" w:color="auto"/>
      </w:pBdr>
      <w:shd w:val="clear" w:color="000000" w:fill="B8CCE4"/>
      <w:spacing w:before="100" w:beforeAutospacing="1" w:afterAutospacing="1"/>
      <w:jc w:val="center"/>
      <w:textAlignment w:val="center"/>
    </w:pPr>
    <w:rPr>
      <w:rFonts w:eastAsia="Times New Roman"/>
      <w:b/>
      <w:bCs/>
      <w:lang w:val="es-CO" w:eastAsia="es-CO"/>
    </w:rPr>
  </w:style>
  <w:style w:type="paragraph" w:customStyle="1" w:styleId="xl132">
    <w:name w:val="xl132"/>
    <w:basedOn w:val="Normal"/>
    <w:rsid w:val="00C36A92"/>
    <w:pPr>
      <w:pBdr>
        <w:top w:val="single" w:sz="4" w:space="0" w:color="auto"/>
        <w:left w:val="single" w:sz="4" w:space="0" w:color="auto"/>
        <w:bottom w:val="single" w:sz="4" w:space="0" w:color="auto"/>
        <w:right w:val="single" w:sz="4" w:space="0" w:color="auto"/>
      </w:pBdr>
      <w:shd w:val="clear" w:color="000000" w:fill="B8CCE4"/>
      <w:spacing w:before="100" w:beforeAutospacing="1" w:afterAutospacing="1"/>
      <w:jc w:val="center"/>
      <w:textAlignment w:val="center"/>
    </w:pPr>
    <w:rPr>
      <w:rFonts w:eastAsia="Times New Roman"/>
      <w:b/>
      <w:bCs/>
      <w:lang w:val="es-CO" w:eastAsia="es-CO"/>
    </w:rPr>
  </w:style>
  <w:style w:type="paragraph" w:customStyle="1" w:styleId="xl133">
    <w:name w:val="xl133"/>
    <w:basedOn w:val="Normal"/>
    <w:rsid w:val="00C36A92"/>
    <w:pPr>
      <w:pBdr>
        <w:top w:val="single" w:sz="4" w:space="0" w:color="auto"/>
        <w:left w:val="single" w:sz="4" w:space="0" w:color="auto"/>
        <w:bottom w:val="single" w:sz="4" w:space="0" w:color="auto"/>
        <w:right w:val="single" w:sz="4" w:space="0" w:color="auto"/>
      </w:pBdr>
      <w:spacing w:before="100" w:beforeAutospacing="1" w:afterAutospacing="1"/>
      <w:jc w:val="left"/>
      <w:textAlignment w:val="center"/>
    </w:pPr>
    <w:rPr>
      <w:rFonts w:eastAsia="Times New Roman"/>
      <w:lang w:val="es-CO" w:eastAsia="es-CO"/>
    </w:rPr>
  </w:style>
  <w:style w:type="paragraph" w:customStyle="1" w:styleId="xl134">
    <w:name w:val="xl134"/>
    <w:basedOn w:val="Normal"/>
    <w:rsid w:val="00C36A92"/>
    <w:pPr>
      <w:pBdr>
        <w:top w:val="single" w:sz="4" w:space="0" w:color="auto"/>
        <w:left w:val="single" w:sz="4" w:space="0" w:color="auto"/>
        <w:bottom w:val="single" w:sz="4" w:space="0" w:color="auto"/>
        <w:right w:val="single" w:sz="4" w:space="0" w:color="auto"/>
      </w:pBdr>
      <w:shd w:val="clear" w:color="000000" w:fill="B8CCE4"/>
      <w:spacing w:before="100" w:beforeAutospacing="1" w:afterAutospacing="1"/>
      <w:jc w:val="center"/>
      <w:textAlignment w:val="center"/>
    </w:pPr>
    <w:rPr>
      <w:rFonts w:eastAsia="Times New Roman"/>
      <w:b/>
      <w:bCs/>
      <w:lang w:val="es-CO" w:eastAsia="es-CO"/>
    </w:rPr>
  </w:style>
  <w:style w:type="paragraph" w:customStyle="1" w:styleId="xl135">
    <w:name w:val="xl135"/>
    <w:basedOn w:val="Normal"/>
    <w:rsid w:val="00C36A92"/>
    <w:pPr>
      <w:pBdr>
        <w:top w:val="single" w:sz="4" w:space="0" w:color="auto"/>
        <w:left w:val="single" w:sz="4" w:space="0" w:color="auto"/>
        <w:bottom w:val="single" w:sz="4" w:space="0" w:color="auto"/>
        <w:right w:val="single" w:sz="4" w:space="0" w:color="auto"/>
      </w:pBdr>
      <w:shd w:val="clear" w:color="000000" w:fill="B8CCE4"/>
      <w:spacing w:before="100" w:beforeAutospacing="1" w:afterAutospacing="1"/>
      <w:jc w:val="center"/>
      <w:textAlignment w:val="center"/>
    </w:pPr>
    <w:rPr>
      <w:rFonts w:eastAsia="Times New Roman"/>
      <w:b/>
      <w:bCs/>
      <w:lang w:val="es-CO" w:eastAsia="es-CO"/>
    </w:rPr>
  </w:style>
  <w:style w:type="paragraph" w:customStyle="1" w:styleId="xl136">
    <w:name w:val="xl136"/>
    <w:basedOn w:val="Normal"/>
    <w:rsid w:val="00C36A92"/>
    <w:pPr>
      <w:pBdr>
        <w:top w:val="single" w:sz="4" w:space="0" w:color="auto"/>
        <w:left w:val="single" w:sz="4" w:space="0" w:color="auto"/>
        <w:bottom w:val="single" w:sz="4" w:space="0" w:color="auto"/>
        <w:right w:val="single" w:sz="4" w:space="0" w:color="auto"/>
      </w:pBdr>
      <w:spacing w:before="100" w:beforeAutospacing="1" w:afterAutospacing="1"/>
      <w:jc w:val="center"/>
      <w:textAlignment w:val="center"/>
    </w:pPr>
    <w:rPr>
      <w:rFonts w:eastAsia="Times New Roman"/>
      <w:lang w:val="es-CO" w:eastAsia="es-CO"/>
    </w:rPr>
  </w:style>
  <w:style w:type="paragraph" w:customStyle="1" w:styleId="xl137">
    <w:name w:val="xl137"/>
    <w:basedOn w:val="Normal"/>
    <w:rsid w:val="00C36A92"/>
    <w:pPr>
      <w:pBdr>
        <w:top w:val="single" w:sz="4" w:space="0" w:color="auto"/>
        <w:left w:val="single" w:sz="4" w:space="0" w:color="auto"/>
        <w:bottom w:val="single" w:sz="4" w:space="0" w:color="auto"/>
        <w:right w:val="single" w:sz="4" w:space="0" w:color="auto"/>
      </w:pBdr>
      <w:spacing w:before="100" w:beforeAutospacing="1" w:afterAutospacing="1"/>
      <w:jc w:val="left"/>
      <w:textAlignment w:val="center"/>
    </w:pPr>
    <w:rPr>
      <w:rFonts w:eastAsia="Times New Roman"/>
      <w:color w:val="000000"/>
      <w:lang w:val="es-CO" w:eastAsia="es-CO"/>
    </w:rPr>
  </w:style>
  <w:style w:type="paragraph" w:customStyle="1" w:styleId="xl138">
    <w:name w:val="xl138"/>
    <w:basedOn w:val="Normal"/>
    <w:rsid w:val="00C36A92"/>
    <w:pPr>
      <w:pBdr>
        <w:top w:val="single" w:sz="4" w:space="0" w:color="auto"/>
        <w:left w:val="single" w:sz="4" w:space="0" w:color="auto"/>
        <w:bottom w:val="single" w:sz="4" w:space="0" w:color="auto"/>
        <w:right w:val="single" w:sz="4" w:space="0" w:color="auto"/>
      </w:pBdr>
      <w:shd w:val="clear" w:color="000000" w:fill="D8E4BC"/>
      <w:spacing w:before="100" w:beforeAutospacing="1" w:afterAutospacing="1"/>
      <w:jc w:val="center"/>
      <w:textAlignment w:val="center"/>
    </w:pPr>
    <w:rPr>
      <w:rFonts w:eastAsia="Times New Roman"/>
      <w:color w:val="000000"/>
      <w:lang w:val="es-CO" w:eastAsia="es-CO"/>
    </w:rPr>
  </w:style>
  <w:style w:type="paragraph" w:customStyle="1" w:styleId="xl139">
    <w:name w:val="xl139"/>
    <w:basedOn w:val="Normal"/>
    <w:rsid w:val="00C36A92"/>
    <w:pPr>
      <w:pBdr>
        <w:top w:val="single" w:sz="4" w:space="0" w:color="auto"/>
        <w:left w:val="single" w:sz="4" w:space="0" w:color="auto"/>
        <w:bottom w:val="single" w:sz="4" w:space="0" w:color="auto"/>
        <w:right w:val="single" w:sz="4" w:space="0" w:color="auto"/>
      </w:pBdr>
      <w:shd w:val="clear" w:color="000000" w:fill="D8E4BC"/>
      <w:spacing w:before="100" w:beforeAutospacing="1" w:afterAutospacing="1"/>
      <w:jc w:val="center"/>
      <w:textAlignment w:val="center"/>
    </w:pPr>
    <w:rPr>
      <w:rFonts w:eastAsia="Times New Roman"/>
      <w:color w:val="000000"/>
      <w:lang w:val="es-CO" w:eastAsia="es-CO"/>
    </w:rPr>
  </w:style>
  <w:style w:type="paragraph" w:customStyle="1" w:styleId="xl140">
    <w:name w:val="xl140"/>
    <w:basedOn w:val="Normal"/>
    <w:rsid w:val="00C36A92"/>
    <w:pPr>
      <w:pBdr>
        <w:top w:val="single" w:sz="4" w:space="0" w:color="auto"/>
        <w:left w:val="single" w:sz="4" w:space="0" w:color="auto"/>
        <w:bottom w:val="single" w:sz="4" w:space="0" w:color="auto"/>
        <w:right w:val="single" w:sz="4" w:space="0" w:color="auto"/>
      </w:pBdr>
      <w:shd w:val="clear" w:color="000000" w:fill="D8E4BC"/>
      <w:spacing w:before="100" w:beforeAutospacing="1" w:afterAutospacing="1"/>
      <w:jc w:val="center"/>
      <w:textAlignment w:val="center"/>
    </w:pPr>
    <w:rPr>
      <w:rFonts w:eastAsia="Times New Roman"/>
      <w:color w:val="000000"/>
      <w:lang w:val="es-CO" w:eastAsia="es-CO"/>
    </w:rPr>
  </w:style>
  <w:style w:type="paragraph" w:customStyle="1" w:styleId="xl141">
    <w:name w:val="xl141"/>
    <w:basedOn w:val="Normal"/>
    <w:rsid w:val="00C36A92"/>
    <w:pPr>
      <w:pBdr>
        <w:top w:val="single" w:sz="4" w:space="0" w:color="auto"/>
        <w:left w:val="single" w:sz="4" w:space="0" w:color="auto"/>
        <w:bottom w:val="single" w:sz="4" w:space="0" w:color="auto"/>
        <w:right w:val="single" w:sz="4" w:space="0" w:color="auto"/>
      </w:pBdr>
      <w:shd w:val="clear" w:color="000000" w:fill="DCE6F1"/>
      <w:spacing w:before="100" w:beforeAutospacing="1" w:afterAutospacing="1"/>
      <w:jc w:val="center"/>
      <w:textAlignment w:val="center"/>
    </w:pPr>
    <w:rPr>
      <w:rFonts w:eastAsia="Times New Roman"/>
      <w:lang w:val="es-CO" w:eastAsia="es-CO"/>
    </w:rPr>
  </w:style>
  <w:style w:type="paragraph" w:customStyle="1" w:styleId="xl142">
    <w:name w:val="xl142"/>
    <w:basedOn w:val="Normal"/>
    <w:rsid w:val="00C36A92"/>
    <w:pPr>
      <w:pBdr>
        <w:top w:val="single" w:sz="4" w:space="0" w:color="auto"/>
        <w:left w:val="single" w:sz="4" w:space="0" w:color="auto"/>
        <w:right w:val="single" w:sz="4" w:space="0" w:color="auto"/>
      </w:pBdr>
      <w:spacing w:before="100" w:beforeAutospacing="1" w:afterAutospacing="1"/>
      <w:jc w:val="left"/>
      <w:textAlignment w:val="center"/>
    </w:pPr>
    <w:rPr>
      <w:rFonts w:eastAsia="Times New Roman"/>
      <w:lang w:val="es-CO" w:eastAsia="es-CO"/>
    </w:rPr>
  </w:style>
  <w:style w:type="paragraph" w:customStyle="1" w:styleId="xl143">
    <w:name w:val="xl143"/>
    <w:basedOn w:val="Normal"/>
    <w:rsid w:val="00C36A92"/>
    <w:pPr>
      <w:pBdr>
        <w:left w:val="single" w:sz="4" w:space="0" w:color="auto"/>
        <w:bottom w:val="single" w:sz="4" w:space="0" w:color="auto"/>
        <w:right w:val="single" w:sz="4" w:space="0" w:color="auto"/>
      </w:pBdr>
      <w:spacing w:before="100" w:beforeAutospacing="1" w:afterAutospacing="1"/>
      <w:jc w:val="left"/>
      <w:textAlignment w:val="center"/>
    </w:pPr>
    <w:rPr>
      <w:rFonts w:eastAsia="Times New Roman"/>
      <w:lang w:val="es-CO" w:eastAsia="es-CO"/>
    </w:rPr>
  </w:style>
  <w:style w:type="paragraph" w:customStyle="1" w:styleId="xl144">
    <w:name w:val="xl144"/>
    <w:basedOn w:val="Normal"/>
    <w:rsid w:val="00C36A92"/>
    <w:pPr>
      <w:pBdr>
        <w:top w:val="single" w:sz="4" w:space="0" w:color="auto"/>
        <w:left w:val="single" w:sz="4" w:space="0" w:color="auto"/>
        <w:bottom w:val="single" w:sz="4" w:space="0" w:color="auto"/>
        <w:right w:val="single" w:sz="4" w:space="0" w:color="auto"/>
      </w:pBdr>
      <w:shd w:val="clear" w:color="000000" w:fill="B8CCE4"/>
      <w:spacing w:before="100" w:beforeAutospacing="1" w:afterAutospacing="1"/>
      <w:jc w:val="left"/>
      <w:textAlignment w:val="center"/>
    </w:pPr>
    <w:rPr>
      <w:rFonts w:eastAsia="Times New Roman"/>
      <w:b/>
      <w:bCs/>
      <w:lang w:val="es-CO" w:eastAsia="es-CO"/>
    </w:rPr>
  </w:style>
  <w:style w:type="paragraph" w:customStyle="1" w:styleId="xl145">
    <w:name w:val="xl145"/>
    <w:basedOn w:val="Normal"/>
    <w:rsid w:val="00C36A92"/>
    <w:pPr>
      <w:pBdr>
        <w:top w:val="single" w:sz="4" w:space="0" w:color="auto"/>
        <w:left w:val="single" w:sz="4" w:space="0" w:color="auto"/>
        <w:bottom w:val="single" w:sz="4" w:space="0" w:color="auto"/>
        <w:right w:val="single" w:sz="4" w:space="0" w:color="auto"/>
      </w:pBdr>
      <w:spacing w:before="100" w:beforeAutospacing="1" w:afterAutospacing="1"/>
      <w:jc w:val="center"/>
      <w:textAlignment w:val="center"/>
    </w:pPr>
    <w:rPr>
      <w:rFonts w:eastAsia="Times New Roman"/>
      <w:lang w:val="es-CO" w:eastAsia="es-CO"/>
    </w:rPr>
  </w:style>
  <w:style w:type="paragraph" w:customStyle="1" w:styleId="xl146">
    <w:name w:val="xl146"/>
    <w:basedOn w:val="Normal"/>
    <w:rsid w:val="00C36A92"/>
    <w:pPr>
      <w:pBdr>
        <w:top w:val="single" w:sz="4" w:space="0" w:color="auto"/>
        <w:left w:val="single" w:sz="4" w:space="0" w:color="auto"/>
        <w:bottom w:val="single" w:sz="4" w:space="0" w:color="auto"/>
        <w:right w:val="single" w:sz="4" w:space="0" w:color="auto"/>
      </w:pBdr>
      <w:spacing w:before="100" w:beforeAutospacing="1" w:afterAutospacing="1"/>
      <w:jc w:val="center"/>
      <w:textAlignment w:val="center"/>
    </w:pPr>
    <w:rPr>
      <w:rFonts w:eastAsia="Times New Roman"/>
      <w:lang w:val="es-CO" w:eastAsia="es-CO"/>
    </w:rPr>
  </w:style>
  <w:style w:type="paragraph" w:customStyle="1" w:styleId="xl147">
    <w:name w:val="xl147"/>
    <w:basedOn w:val="Normal"/>
    <w:rsid w:val="00C36A92"/>
    <w:pPr>
      <w:spacing w:before="100" w:beforeAutospacing="1" w:afterAutospacing="1"/>
      <w:jc w:val="center"/>
      <w:textAlignment w:val="center"/>
    </w:pPr>
    <w:rPr>
      <w:rFonts w:eastAsia="Times New Roman"/>
      <w:b/>
      <w:bCs/>
      <w:lang w:val="es-CO" w:eastAsia="es-CO"/>
    </w:rPr>
  </w:style>
  <w:style w:type="paragraph" w:customStyle="1" w:styleId="xl148">
    <w:name w:val="xl148"/>
    <w:basedOn w:val="Normal"/>
    <w:rsid w:val="00C36A92"/>
    <w:pPr>
      <w:pBdr>
        <w:top w:val="single" w:sz="4" w:space="0" w:color="auto"/>
        <w:left w:val="single" w:sz="4" w:space="0" w:color="auto"/>
        <w:bottom w:val="single" w:sz="4" w:space="0" w:color="auto"/>
        <w:right w:val="single" w:sz="4" w:space="0" w:color="auto"/>
      </w:pBdr>
      <w:shd w:val="clear" w:color="000000" w:fill="DCE6F1"/>
      <w:spacing w:before="100" w:beforeAutospacing="1" w:afterAutospacing="1"/>
      <w:jc w:val="center"/>
      <w:textAlignment w:val="center"/>
    </w:pPr>
    <w:rPr>
      <w:rFonts w:eastAsia="Times New Roman"/>
      <w:color w:val="000000"/>
      <w:lang w:val="es-CO" w:eastAsia="es-CO"/>
    </w:rPr>
  </w:style>
  <w:style w:type="paragraph" w:customStyle="1" w:styleId="xl149">
    <w:name w:val="xl149"/>
    <w:basedOn w:val="Normal"/>
    <w:rsid w:val="00C36A92"/>
    <w:pPr>
      <w:pBdr>
        <w:top w:val="single" w:sz="4" w:space="0" w:color="auto"/>
        <w:left w:val="single" w:sz="4" w:space="0" w:color="auto"/>
        <w:bottom w:val="single" w:sz="4" w:space="0" w:color="auto"/>
        <w:right w:val="single" w:sz="4" w:space="0" w:color="auto"/>
      </w:pBdr>
      <w:shd w:val="clear" w:color="000000" w:fill="DCE6F1"/>
      <w:spacing w:before="100" w:beforeAutospacing="1" w:afterAutospacing="1"/>
      <w:jc w:val="center"/>
      <w:textAlignment w:val="center"/>
    </w:pPr>
    <w:rPr>
      <w:rFonts w:eastAsia="Times New Roman"/>
      <w:color w:val="000000"/>
      <w:lang w:val="es-CO" w:eastAsia="es-CO"/>
    </w:rPr>
  </w:style>
  <w:style w:type="paragraph" w:customStyle="1" w:styleId="xl150">
    <w:name w:val="xl150"/>
    <w:basedOn w:val="Normal"/>
    <w:rsid w:val="00C36A92"/>
    <w:pPr>
      <w:pBdr>
        <w:top w:val="single" w:sz="4" w:space="0" w:color="auto"/>
        <w:left w:val="single" w:sz="4" w:space="0" w:color="auto"/>
        <w:bottom w:val="single" w:sz="4" w:space="0" w:color="auto"/>
        <w:right w:val="single" w:sz="4" w:space="0" w:color="auto"/>
      </w:pBdr>
      <w:shd w:val="clear" w:color="000000" w:fill="DCE6F1"/>
      <w:spacing w:before="100" w:beforeAutospacing="1" w:afterAutospacing="1"/>
      <w:jc w:val="center"/>
      <w:textAlignment w:val="center"/>
    </w:pPr>
    <w:rPr>
      <w:rFonts w:eastAsia="Times New Roman"/>
      <w:lang w:val="es-CO" w:eastAsia="es-C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C3626"/>
    <w:pPr>
      <w:spacing w:after="100" w:line="240" w:lineRule="auto"/>
      <w:jc w:val="both"/>
    </w:pPr>
    <w:rPr>
      <w:rFonts w:ascii="Calibri" w:eastAsia="Calibri" w:hAnsi="Calibri" w:cs="Times New Roman"/>
    </w:rPr>
  </w:style>
  <w:style w:type="paragraph" w:styleId="Ttulo1">
    <w:name w:val="heading 1"/>
    <w:basedOn w:val="Normal"/>
    <w:next w:val="Normal"/>
    <w:link w:val="Ttulo1Car"/>
    <w:uiPriority w:val="9"/>
    <w:qFormat/>
    <w:rsid w:val="009C3626"/>
    <w:pPr>
      <w:keepNext/>
      <w:keepLines/>
      <w:spacing w:before="480" w:after="0"/>
      <w:outlineLvl w:val="0"/>
    </w:pPr>
    <w:rPr>
      <w:rFonts w:asciiTheme="minorHAnsi" w:eastAsiaTheme="majorEastAsia" w:hAnsiTheme="minorHAnsi" w:cstheme="majorBidi"/>
      <w:b/>
      <w:bCs/>
      <w:sz w:val="36"/>
      <w:szCs w:val="28"/>
    </w:rPr>
  </w:style>
  <w:style w:type="paragraph" w:styleId="Ttulo2">
    <w:name w:val="heading 2"/>
    <w:basedOn w:val="Normal"/>
    <w:next w:val="Normal"/>
    <w:link w:val="Ttulo2Car"/>
    <w:uiPriority w:val="9"/>
    <w:unhideWhenUsed/>
    <w:qFormat/>
    <w:rsid w:val="009C3626"/>
    <w:pPr>
      <w:keepNext/>
      <w:keepLines/>
      <w:spacing w:before="200" w:after="0"/>
      <w:outlineLvl w:val="1"/>
    </w:pPr>
    <w:rPr>
      <w:rFonts w:asciiTheme="minorHAnsi" w:eastAsiaTheme="majorEastAsia" w:hAnsiTheme="minorHAnsi" w:cstheme="majorBidi"/>
      <w:b/>
      <w:bCs/>
      <w:caps/>
      <w:sz w:val="32"/>
      <w:szCs w:val="26"/>
    </w:rPr>
  </w:style>
  <w:style w:type="paragraph" w:styleId="Ttulo3">
    <w:name w:val="heading 3"/>
    <w:basedOn w:val="Normal"/>
    <w:next w:val="Normal"/>
    <w:link w:val="Ttulo3Car"/>
    <w:uiPriority w:val="9"/>
    <w:unhideWhenUsed/>
    <w:qFormat/>
    <w:rsid w:val="009C3626"/>
    <w:pPr>
      <w:keepNext/>
      <w:keepLines/>
      <w:spacing w:before="200" w:after="0"/>
      <w:outlineLvl w:val="2"/>
    </w:pPr>
    <w:rPr>
      <w:rFonts w:asciiTheme="minorHAnsi" w:eastAsiaTheme="majorEastAsia" w:hAnsiTheme="minorHAnsi" w:cstheme="majorBidi"/>
      <w:b/>
      <w:bCs/>
      <w:caps/>
      <w:sz w:val="28"/>
    </w:rPr>
  </w:style>
  <w:style w:type="paragraph" w:styleId="Ttulo4">
    <w:name w:val="heading 4"/>
    <w:basedOn w:val="Normal"/>
    <w:next w:val="Normal"/>
    <w:link w:val="Ttulo4Car"/>
    <w:uiPriority w:val="9"/>
    <w:unhideWhenUsed/>
    <w:qFormat/>
    <w:rsid w:val="009C3626"/>
    <w:pPr>
      <w:keepNext/>
      <w:keepLines/>
      <w:spacing w:before="200" w:after="0"/>
      <w:outlineLvl w:val="3"/>
    </w:pPr>
    <w:rPr>
      <w:rFonts w:asciiTheme="minorHAnsi" w:eastAsiaTheme="majorEastAsia" w:hAnsiTheme="minorHAnsi" w:cstheme="majorBidi"/>
      <w:b/>
      <w:bCs/>
      <w:iC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9C3626"/>
    <w:rPr>
      <w:rFonts w:eastAsiaTheme="majorEastAsia" w:cstheme="majorBidi"/>
      <w:b/>
      <w:bCs/>
      <w:sz w:val="36"/>
      <w:szCs w:val="28"/>
    </w:rPr>
  </w:style>
  <w:style w:type="character" w:customStyle="1" w:styleId="Ttulo2Car">
    <w:name w:val="Título 2 Car"/>
    <w:basedOn w:val="Fuentedeprrafopredeter"/>
    <w:link w:val="Ttulo2"/>
    <w:uiPriority w:val="9"/>
    <w:rsid w:val="009C3626"/>
    <w:rPr>
      <w:rFonts w:eastAsiaTheme="majorEastAsia" w:cstheme="majorBidi"/>
      <w:b/>
      <w:bCs/>
      <w:caps/>
      <w:sz w:val="32"/>
      <w:szCs w:val="26"/>
    </w:rPr>
  </w:style>
  <w:style w:type="character" w:customStyle="1" w:styleId="Ttulo3Car">
    <w:name w:val="Título 3 Car"/>
    <w:basedOn w:val="Fuentedeprrafopredeter"/>
    <w:link w:val="Ttulo3"/>
    <w:uiPriority w:val="9"/>
    <w:rsid w:val="009C3626"/>
    <w:rPr>
      <w:rFonts w:eastAsiaTheme="majorEastAsia" w:cstheme="majorBidi"/>
      <w:b/>
      <w:bCs/>
      <w:caps/>
      <w:sz w:val="28"/>
    </w:rPr>
  </w:style>
  <w:style w:type="paragraph" w:styleId="Sinespaciado">
    <w:name w:val="No Spacing"/>
    <w:uiPriority w:val="1"/>
    <w:qFormat/>
    <w:rsid w:val="009C3626"/>
    <w:pPr>
      <w:spacing w:after="0" w:line="240" w:lineRule="auto"/>
    </w:pPr>
    <w:rPr>
      <w:rFonts w:ascii="Calibri" w:eastAsia="Calibri" w:hAnsi="Calibri" w:cs="Times New Roman"/>
    </w:rPr>
  </w:style>
  <w:style w:type="paragraph" w:styleId="Piedepgina">
    <w:name w:val="footer"/>
    <w:basedOn w:val="Normal"/>
    <w:link w:val="PiedepginaCar"/>
    <w:uiPriority w:val="99"/>
    <w:unhideWhenUsed/>
    <w:rsid w:val="000C467D"/>
    <w:pPr>
      <w:tabs>
        <w:tab w:val="center" w:pos="4252"/>
        <w:tab w:val="right" w:pos="8504"/>
      </w:tabs>
    </w:pPr>
  </w:style>
  <w:style w:type="character" w:customStyle="1" w:styleId="PiedepginaCar">
    <w:name w:val="Pie de página Car"/>
    <w:basedOn w:val="Fuentedeprrafopredeter"/>
    <w:link w:val="Piedepgina"/>
    <w:uiPriority w:val="99"/>
    <w:rsid w:val="000C467D"/>
    <w:rPr>
      <w:rFonts w:ascii="Calibri" w:eastAsia="Calibri" w:hAnsi="Calibri" w:cs="Times New Roman"/>
    </w:rPr>
  </w:style>
  <w:style w:type="paragraph" w:styleId="Encabezado">
    <w:name w:val="header"/>
    <w:basedOn w:val="Normal"/>
    <w:link w:val="EncabezadoCar"/>
    <w:uiPriority w:val="99"/>
    <w:unhideWhenUsed/>
    <w:rsid w:val="000C467D"/>
    <w:pPr>
      <w:tabs>
        <w:tab w:val="center" w:pos="4419"/>
        <w:tab w:val="right" w:pos="8838"/>
      </w:tabs>
      <w:spacing w:after="0"/>
    </w:pPr>
  </w:style>
  <w:style w:type="character" w:customStyle="1" w:styleId="EncabezadoCar">
    <w:name w:val="Encabezado Car"/>
    <w:basedOn w:val="Fuentedeprrafopredeter"/>
    <w:link w:val="Encabezado"/>
    <w:uiPriority w:val="99"/>
    <w:rsid w:val="000C467D"/>
    <w:rPr>
      <w:rFonts w:ascii="Calibri" w:eastAsia="Calibri" w:hAnsi="Calibri" w:cs="Times New Roman"/>
    </w:rPr>
  </w:style>
  <w:style w:type="paragraph" w:styleId="Textonotapie">
    <w:name w:val="footnote text"/>
    <w:basedOn w:val="Normal"/>
    <w:link w:val="TextonotapieCar"/>
    <w:uiPriority w:val="99"/>
    <w:unhideWhenUsed/>
    <w:rsid w:val="000C467D"/>
    <w:rPr>
      <w:sz w:val="20"/>
      <w:szCs w:val="20"/>
    </w:rPr>
  </w:style>
  <w:style w:type="character" w:customStyle="1" w:styleId="TextonotapieCar">
    <w:name w:val="Texto nota pie Car"/>
    <w:basedOn w:val="Fuentedeprrafopredeter"/>
    <w:link w:val="Textonotapie"/>
    <w:uiPriority w:val="99"/>
    <w:rsid w:val="000C467D"/>
    <w:rPr>
      <w:rFonts w:ascii="Calibri" w:eastAsia="Calibri" w:hAnsi="Calibri" w:cs="Times New Roman"/>
      <w:sz w:val="20"/>
      <w:szCs w:val="20"/>
    </w:rPr>
  </w:style>
  <w:style w:type="character" w:styleId="Refdenotaalpie">
    <w:name w:val="footnote reference"/>
    <w:basedOn w:val="Fuentedeprrafopredeter"/>
    <w:uiPriority w:val="99"/>
    <w:unhideWhenUsed/>
    <w:rsid w:val="000C467D"/>
    <w:rPr>
      <w:vertAlign w:val="superscript"/>
    </w:rPr>
  </w:style>
  <w:style w:type="character" w:styleId="Hipervnculo">
    <w:name w:val="Hyperlink"/>
    <w:basedOn w:val="Fuentedeprrafopredeter"/>
    <w:uiPriority w:val="99"/>
    <w:unhideWhenUsed/>
    <w:rsid w:val="000C467D"/>
    <w:rPr>
      <w:color w:val="0000FF"/>
      <w:u w:val="single"/>
    </w:rPr>
  </w:style>
  <w:style w:type="paragraph" w:styleId="Epgrafe">
    <w:name w:val="caption"/>
    <w:basedOn w:val="Normal"/>
    <w:next w:val="Normal"/>
    <w:uiPriority w:val="35"/>
    <w:unhideWhenUsed/>
    <w:qFormat/>
    <w:rsid w:val="000C467D"/>
    <w:pPr>
      <w:jc w:val="center"/>
    </w:pPr>
    <w:rPr>
      <w:rFonts w:eastAsia="Times New Roman"/>
      <w:b/>
      <w:bCs/>
      <w:sz w:val="18"/>
      <w:szCs w:val="18"/>
      <w:lang w:val="es-CO" w:bidi="en-US"/>
    </w:rPr>
  </w:style>
  <w:style w:type="table" w:styleId="Tablaconcuadrcula">
    <w:name w:val="Table Grid"/>
    <w:basedOn w:val="Tablanormal"/>
    <w:uiPriority w:val="59"/>
    <w:rsid w:val="000C467D"/>
    <w:pPr>
      <w:spacing w:after="0" w:line="240" w:lineRule="auto"/>
    </w:pPr>
    <w:rPr>
      <w:lang w:val="es-CO"/>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0C467D"/>
    <w:pPr>
      <w:autoSpaceDE w:val="0"/>
      <w:autoSpaceDN w:val="0"/>
      <w:adjustRightInd w:val="0"/>
      <w:spacing w:after="0" w:line="240" w:lineRule="auto"/>
    </w:pPr>
    <w:rPr>
      <w:rFonts w:ascii="Century Gothic" w:eastAsia="Calibri" w:hAnsi="Century Gothic" w:cs="Century Gothic"/>
      <w:color w:val="000000"/>
      <w:sz w:val="24"/>
      <w:szCs w:val="24"/>
      <w:lang w:val="es-CO" w:eastAsia="es-CO"/>
    </w:rPr>
  </w:style>
  <w:style w:type="paragraph" w:styleId="Textodeglobo">
    <w:name w:val="Balloon Text"/>
    <w:basedOn w:val="Normal"/>
    <w:link w:val="TextodegloboCar"/>
    <w:uiPriority w:val="99"/>
    <w:semiHidden/>
    <w:unhideWhenUsed/>
    <w:rsid w:val="000C467D"/>
    <w:pPr>
      <w:spacing w:after="0"/>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0C467D"/>
    <w:rPr>
      <w:rFonts w:ascii="Tahoma" w:eastAsia="Calibri" w:hAnsi="Tahoma" w:cs="Tahoma"/>
      <w:sz w:val="16"/>
      <w:szCs w:val="16"/>
    </w:rPr>
  </w:style>
  <w:style w:type="paragraph" w:styleId="Prrafodelista">
    <w:name w:val="List Paragraph"/>
    <w:basedOn w:val="Normal"/>
    <w:uiPriority w:val="34"/>
    <w:qFormat/>
    <w:rsid w:val="003D7E89"/>
    <w:pPr>
      <w:ind w:left="720"/>
      <w:contextualSpacing/>
    </w:pPr>
    <w:rPr>
      <w:rFonts w:asciiTheme="minorHAnsi" w:eastAsiaTheme="minorEastAsia" w:hAnsiTheme="minorHAnsi" w:cstheme="minorBidi"/>
      <w:lang w:val="es-CO" w:bidi="en-US"/>
    </w:rPr>
  </w:style>
  <w:style w:type="paragraph" w:styleId="TDC1">
    <w:name w:val="toc 1"/>
    <w:basedOn w:val="Normal"/>
    <w:next w:val="Normal"/>
    <w:autoRedefine/>
    <w:uiPriority w:val="39"/>
    <w:unhideWhenUsed/>
    <w:rsid w:val="00092997"/>
    <w:pPr>
      <w:spacing w:before="120" w:after="0"/>
      <w:jc w:val="left"/>
    </w:pPr>
    <w:rPr>
      <w:rFonts w:asciiTheme="minorHAnsi" w:hAnsiTheme="minorHAnsi"/>
      <w:b/>
      <w:bCs/>
      <w:i/>
      <w:iCs/>
      <w:sz w:val="24"/>
      <w:szCs w:val="24"/>
    </w:rPr>
  </w:style>
  <w:style w:type="paragraph" w:styleId="TDC2">
    <w:name w:val="toc 2"/>
    <w:basedOn w:val="Normal"/>
    <w:next w:val="Normal"/>
    <w:autoRedefine/>
    <w:uiPriority w:val="39"/>
    <w:unhideWhenUsed/>
    <w:rsid w:val="00092997"/>
    <w:pPr>
      <w:spacing w:before="120" w:after="0"/>
      <w:ind w:left="220"/>
      <w:jc w:val="left"/>
    </w:pPr>
    <w:rPr>
      <w:rFonts w:asciiTheme="minorHAnsi" w:hAnsiTheme="minorHAnsi"/>
      <w:b/>
      <w:bCs/>
    </w:rPr>
  </w:style>
  <w:style w:type="character" w:styleId="Refdecomentario">
    <w:name w:val="annotation reference"/>
    <w:basedOn w:val="Fuentedeprrafopredeter"/>
    <w:uiPriority w:val="99"/>
    <w:semiHidden/>
    <w:unhideWhenUsed/>
    <w:rsid w:val="00092997"/>
    <w:rPr>
      <w:sz w:val="16"/>
      <w:szCs w:val="16"/>
    </w:rPr>
  </w:style>
  <w:style w:type="paragraph" w:styleId="Textocomentario">
    <w:name w:val="annotation text"/>
    <w:basedOn w:val="Normal"/>
    <w:link w:val="TextocomentarioCar"/>
    <w:uiPriority w:val="99"/>
    <w:semiHidden/>
    <w:unhideWhenUsed/>
    <w:rsid w:val="00092997"/>
    <w:rPr>
      <w:sz w:val="20"/>
      <w:szCs w:val="20"/>
    </w:rPr>
  </w:style>
  <w:style w:type="character" w:customStyle="1" w:styleId="TextocomentarioCar">
    <w:name w:val="Texto comentario Car"/>
    <w:basedOn w:val="Fuentedeprrafopredeter"/>
    <w:link w:val="Textocomentario"/>
    <w:uiPriority w:val="99"/>
    <w:semiHidden/>
    <w:rsid w:val="00092997"/>
    <w:rPr>
      <w:rFonts w:ascii="Calibri" w:eastAsia="Calibri" w:hAnsi="Calibri" w:cs="Times New Roman"/>
      <w:sz w:val="20"/>
      <w:szCs w:val="20"/>
    </w:rPr>
  </w:style>
  <w:style w:type="character" w:customStyle="1" w:styleId="AsuntodelcomentarioCar">
    <w:name w:val="Asunto del comentario Car"/>
    <w:basedOn w:val="TextocomentarioCar"/>
    <w:link w:val="Asuntodelcomentario"/>
    <w:uiPriority w:val="99"/>
    <w:semiHidden/>
    <w:rsid w:val="00092997"/>
    <w:rPr>
      <w:rFonts w:ascii="Calibri" w:eastAsia="Calibri" w:hAnsi="Calibri" w:cs="Times New Roman"/>
      <w:b/>
      <w:bCs/>
      <w:sz w:val="20"/>
      <w:szCs w:val="20"/>
    </w:rPr>
  </w:style>
  <w:style w:type="paragraph" w:styleId="Asuntodelcomentario">
    <w:name w:val="annotation subject"/>
    <w:basedOn w:val="Textocomentario"/>
    <w:next w:val="Textocomentario"/>
    <w:link w:val="AsuntodelcomentarioCar"/>
    <w:uiPriority w:val="99"/>
    <w:semiHidden/>
    <w:unhideWhenUsed/>
    <w:rsid w:val="00092997"/>
    <w:rPr>
      <w:b/>
      <w:bCs/>
    </w:rPr>
  </w:style>
  <w:style w:type="paragraph" w:styleId="NormalWeb">
    <w:name w:val="Normal (Web)"/>
    <w:basedOn w:val="Normal"/>
    <w:uiPriority w:val="99"/>
    <w:unhideWhenUsed/>
    <w:rsid w:val="00092997"/>
    <w:pPr>
      <w:spacing w:before="100" w:beforeAutospacing="1" w:afterAutospacing="1"/>
      <w:jc w:val="left"/>
    </w:pPr>
    <w:rPr>
      <w:rFonts w:ascii="Times New Roman" w:eastAsia="Times New Roman" w:hAnsi="Times New Roman"/>
      <w:sz w:val="24"/>
      <w:szCs w:val="24"/>
      <w:lang w:eastAsia="es-ES"/>
    </w:rPr>
  </w:style>
  <w:style w:type="paragraph" w:styleId="Mapadeldocumento">
    <w:name w:val="Document Map"/>
    <w:basedOn w:val="Normal"/>
    <w:link w:val="MapadeldocumentoCar"/>
    <w:uiPriority w:val="99"/>
    <w:semiHidden/>
    <w:unhideWhenUsed/>
    <w:rsid w:val="00F65818"/>
    <w:pPr>
      <w:spacing w:after="0"/>
    </w:pPr>
    <w:rPr>
      <w:rFonts w:ascii="Tahoma" w:hAnsi="Tahoma" w:cs="Tahoma"/>
      <w:sz w:val="16"/>
      <w:szCs w:val="16"/>
    </w:rPr>
  </w:style>
  <w:style w:type="character" w:customStyle="1" w:styleId="MapadeldocumentoCar">
    <w:name w:val="Mapa del documento Car"/>
    <w:basedOn w:val="Fuentedeprrafopredeter"/>
    <w:link w:val="Mapadeldocumento"/>
    <w:uiPriority w:val="99"/>
    <w:semiHidden/>
    <w:rsid w:val="00F65818"/>
    <w:rPr>
      <w:rFonts w:ascii="Tahoma" w:eastAsia="Calibri" w:hAnsi="Tahoma" w:cs="Tahoma"/>
      <w:sz w:val="16"/>
      <w:szCs w:val="16"/>
    </w:rPr>
  </w:style>
  <w:style w:type="paragraph" w:styleId="TDC3">
    <w:name w:val="toc 3"/>
    <w:basedOn w:val="Normal"/>
    <w:next w:val="Normal"/>
    <w:autoRedefine/>
    <w:uiPriority w:val="39"/>
    <w:unhideWhenUsed/>
    <w:rsid w:val="000C582C"/>
    <w:pPr>
      <w:spacing w:after="0"/>
      <w:ind w:left="440"/>
      <w:jc w:val="left"/>
    </w:pPr>
    <w:rPr>
      <w:rFonts w:asciiTheme="minorHAnsi" w:hAnsiTheme="minorHAnsi"/>
      <w:sz w:val="20"/>
      <w:szCs w:val="20"/>
    </w:rPr>
  </w:style>
  <w:style w:type="paragraph" w:styleId="TDC4">
    <w:name w:val="toc 4"/>
    <w:basedOn w:val="Normal"/>
    <w:next w:val="Normal"/>
    <w:autoRedefine/>
    <w:uiPriority w:val="39"/>
    <w:unhideWhenUsed/>
    <w:rsid w:val="000C582C"/>
    <w:pPr>
      <w:spacing w:after="0"/>
      <w:ind w:left="660"/>
      <w:jc w:val="left"/>
    </w:pPr>
    <w:rPr>
      <w:rFonts w:asciiTheme="minorHAnsi" w:hAnsiTheme="minorHAnsi"/>
      <w:sz w:val="20"/>
      <w:szCs w:val="20"/>
    </w:rPr>
  </w:style>
  <w:style w:type="paragraph" w:styleId="TDC5">
    <w:name w:val="toc 5"/>
    <w:basedOn w:val="Normal"/>
    <w:next w:val="Normal"/>
    <w:autoRedefine/>
    <w:uiPriority w:val="39"/>
    <w:unhideWhenUsed/>
    <w:rsid w:val="000C582C"/>
    <w:pPr>
      <w:spacing w:after="0"/>
      <w:ind w:left="880"/>
      <w:jc w:val="left"/>
    </w:pPr>
    <w:rPr>
      <w:rFonts w:asciiTheme="minorHAnsi" w:hAnsiTheme="minorHAnsi"/>
      <w:sz w:val="20"/>
      <w:szCs w:val="20"/>
    </w:rPr>
  </w:style>
  <w:style w:type="paragraph" w:styleId="TDC6">
    <w:name w:val="toc 6"/>
    <w:basedOn w:val="Normal"/>
    <w:next w:val="Normal"/>
    <w:autoRedefine/>
    <w:uiPriority w:val="39"/>
    <w:unhideWhenUsed/>
    <w:rsid w:val="000C582C"/>
    <w:pPr>
      <w:spacing w:after="0"/>
      <w:ind w:left="1100"/>
      <w:jc w:val="left"/>
    </w:pPr>
    <w:rPr>
      <w:rFonts w:asciiTheme="minorHAnsi" w:hAnsiTheme="minorHAnsi"/>
      <w:sz w:val="20"/>
      <w:szCs w:val="20"/>
    </w:rPr>
  </w:style>
  <w:style w:type="paragraph" w:styleId="TDC7">
    <w:name w:val="toc 7"/>
    <w:basedOn w:val="Normal"/>
    <w:next w:val="Normal"/>
    <w:autoRedefine/>
    <w:uiPriority w:val="39"/>
    <w:unhideWhenUsed/>
    <w:rsid w:val="000C582C"/>
    <w:pPr>
      <w:spacing w:after="0"/>
      <w:ind w:left="1320"/>
      <w:jc w:val="left"/>
    </w:pPr>
    <w:rPr>
      <w:rFonts w:asciiTheme="minorHAnsi" w:hAnsiTheme="minorHAnsi"/>
      <w:sz w:val="20"/>
      <w:szCs w:val="20"/>
    </w:rPr>
  </w:style>
  <w:style w:type="paragraph" w:styleId="TDC8">
    <w:name w:val="toc 8"/>
    <w:basedOn w:val="Normal"/>
    <w:next w:val="Normal"/>
    <w:autoRedefine/>
    <w:uiPriority w:val="39"/>
    <w:unhideWhenUsed/>
    <w:rsid w:val="000C582C"/>
    <w:pPr>
      <w:spacing w:after="0"/>
      <w:ind w:left="1540"/>
      <w:jc w:val="left"/>
    </w:pPr>
    <w:rPr>
      <w:rFonts w:asciiTheme="minorHAnsi" w:hAnsiTheme="minorHAnsi"/>
      <w:sz w:val="20"/>
      <w:szCs w:val="20"/>
    </w:rPr>
  </w:style>
  <w:style w:type="paragraph" w:styleId="TDC9">
    <w:name w:val="toc 9"/>
    <w:basedOn w:val="Normal"/>
    <w:next w:val="Normal"/>
    <w:autoRedefine/>
    <w:uiPriority w:val="39"/>
    <w:unhideWhenUsed/>
    <w:rsid w:val="000C582C"/>
    <w:pPr>
      <w:spacing w:after="0"/>
      <w:ind w:left="1760"/>
      <w:jc w:val="left"/>
    </w:pPr>
    <w:rPr>
      <w:rFonts w:asciiTheme="minorHAnsi" w:hAnsiTheme="minorHAnsi"/>
      <w:sz w:val="20"/>
      <w:szCs w:val="20"/>
    </w:rPr>
  </w:style>
  <w:style w:type="paragraph" w:styleId="TtulodeTDC">
    <w:name w:val="TOC Heading"/>
    <w:basedOn w:val="Ttulo1"/>
    <w:next w:val="Normal"/>
    <w:uiPriority w:val="39"/>
    <w:unhideWhenUsed/>
    <w:qFormat/>
    <w:rsid w:val="00535E30"/>
    <w:pPr>
      <w:spacing w:line="276" w:lineRule="auto"/>
      <w:jc w:val="left"/>
      <w:outlineLvl w:val="9"/>
    </w:pPr>
    <w:rPr>
      <w:color w:val="365F91" w:themeColor="accent1" w:themeShade="BF"/>
      <w:sz w:val="28"/>
    </w:rPr>
  </w:style>
  <w:style w:type="table" w:styleId="Sombreadoclaro-nfasis1">
    <w:name w:val="Light Shading Accent 1"/>
    <w:basedOn w:val="Tablanormal"/>
    <w:uiPriority w:val="60"/>
    <w:rsid w:val="00A06780"/>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Cuadrculaclara-nfasis1">
    <w:name w:val="Light Grid Accent 1"/>
    <w:basedOn w:val="Tablanormal"/>
    <w:uiPriority w:val="62"/>
    <w:rsid w:val="00A06780"/>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character" w:styleId="nfasis">
    <w:name w:val="Emphasis"/>
    <w:basedOn w:val="Fuentedeprrafopredeter"/>
    <w:uiPriority w:val="20"/>
    <w:qFormat/>
    <w:rsid w:val="00EB2E1D"/>
    <w:rPr>
      <w:i/>
      <w:iCs/>
    </w:rPr>
  </w:style>
  <w:style w:type="character" w:customStyle="1" w:styleId="Ttulo4Car">
    <w:name w:val="Título 4 Car"/>
    <w:basedOn w:val="Fuentedeprrafopredeter"/>
    <w:link w:val="Ttulo4"/>
    <w:uiPriority w:val="9"/>
    <w:rsid w:val="009C3626"/>
    <w:rPr>
      <w:rFonts w:eastAsiaTheme="majorEastAsia" w:cstheme="majorBidi"/>
      <w:b/>
      <w:bCs/>
      <w:iCs/>
    </w:rPr>
  </w:style>
  <w:style w:type="table" w:styleId="Cuadrculamedia3-nfasis5">
    <w:name w:val="Medium Grid 3 Accent 5"/>
    <w:basedOn w:val="Tablanormal"/>
    <w:uiPriority w:val="69"/>
    <w:rsid w:val="009520A4"/>
    <w:pPr>
      <w:spacing w:after="0" w:line="240" w:lineRule="auto"/>
    </w:pPr>
    <w:rPr>
      <w:rFonts w:eastAsiaTheme="minorEastAsia"/>
      <w:lang w:val="en-US" w:bidi="en-US"/>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Sombreadomedio1-nfasis1">
    <w:name w:val="Medium Shading 1 Accent 1"/>
    <w:basedOn w:val="Tablanormal"/>
    <w:uiPriority w:val="63"/>
    <w:rsid w:val="004B6A8C"/>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customStyle="1" w:styleId="Sombreadomedio1-nfasis11">
    <w:name w:val="Sombreado medio 1 - Énfasis 11"/>
    <w:basedOn w:val="Tablanormal"/>
    <w:uiPriority w:val="63"/>
    <w:rsid w:val="00C7418E"/>
    <w:pPr>
      <w:spacing w:after="0" w:line="240" w:lineRule="auto"/>
      <w:jc w:val="both"/>
    </w:pPr>
    <w:rPr>
      <w:rFonts w:ascii="Maiandra GD" w:eastAsia="Times New Roman" w:hAnsi="Maiandra GD" w:cs="Times New Roman"/>
      <w:sz w:val="24"/>
      <w:szCs w:val="24"/>
      <w:lang w:val="es-CO"/>
    </w:r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Listaclara-nfasis1">
    <w:name w:val="Light List Accent 1"/>
    <w:basedOn w:val="Tablanormal"/>
    <w:uiPriority w:val="61"/>
    <w:rsid w:val="00502200"/>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Ttulo">
    <w:name w:val="Title"/>
    <w:basedOn w:val="Normal"/>
    <w:next w:val="Normal"/>
    <w:link w:val="TtuloCar"/>
    <w:uiPriority w:val="10"/>
    <w:qFormat/>
    <w:rsid w:val="0047541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ar">
    <w:name w:val="Título Car"/>
    <w:basedOn w:val="Fuentedeprrafopredeter"/>
    <w:link w:val="Ttulo"/>
    <w:uiPriority w:val="10"/>
    <w:rsid w:val="00475419"/>
    <w:rPr>
      <w:rFonts w:asciiTheme="majorHAnsi" w:eastAsiaTheme="majorEastAsia" w:hAnsiTheme="majorHAnsi" w:cstheme="majorBidi"/>
      <w:color w:val="17365D" w:themeColor="text2" w:themeShade="BF"/>
      <w:spacing w:val="5"/>
      <w:kern w:val="28"/>
      <w:sz w:val="52"/>
      <w:szCs w:val="5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466677">
      <w:bodyDiv w:val="1"/>
      <w:marLeft w:val="0"/>
      <w:marRight w:val="0"/>
      <w:marTop w:val="0"/>
      <w:marBottom w:val="0"/>
      <w:divBdr>
        <w:top w:val="none" w:sz="0" w:space="0" w:color="auto"/>
        <w:left w:val="none" w:sz="0" w:space="0" w:color="auto"/>
        <w:bottom w:val="none" w:sz="0" w:space="0" w:color="auto"/>
        <w:right w:val="none" w:sz="0" w:space="0" w:color="auto"/>
      </w:divBdr>
    </w:div>
    <w:div w:id="141776394">
      <w:bodyDiv w:val="1"/>
      <w:marLeft w:val="0"/>
      <w:marRight w:val="0"/>
      <w:marTop w:val="0"/>
      <w:marBottom w:val="0"/>
      <w:divBdr>
        <w:top w:val="none" w:sz="0" w:space="0" w:color="auto"/>
        <w:left w:val="none" w:sz="0" w:space="0" w:color="auto"/>
        <w:bottom w:val="none" w:sz="0" w:space="0" w:color="auto"/>
        <w:right w:val="none" w:sz="0" w:space="0" w:color="auto"/>
      </w:divBdr>
    </w:div>
    <w:div w:id="355161056">
      <w:bodyDiv w:val="1"/>
      <w:marLeft w:val="0"/>
      <w:marRight w:val="0"/>
      <w:marTop w:val="0"/>
      <w:marBottom w:val="0"/>
      <w:divBdr>
        <w:top w:val="none" w:sz="0" w:space="0" w:color="auto"/>
        <w:left w:val="none" w:sz="0" w:space="0" w:color="auto"/>
        <w:bottom w:val="none" w:sz="0" w:space="0" w:color="auto"/>
        <w:right w:val="none" w:sz="0" w:space="0" w:color="auto"/>
      </w:divBdr>
    </w:div>
    <w:div w:id="640425673">
      <w:bodyDiv w:val="1"/>
      <w:marLeft w:val="0"/>
      <w:marRight w:val="0"/>
      <w:marTop w:val="0"/>
      <w:marBottom w:val="0"/>
      <w:divBdr>
        <w:top w:val="none" w:sz="0" w:space="0" w:color="auto"/>
        <w:left w:val="none" w:sz="0" w:space="0" w:color="auto"/>
        <w:bottom w:val="none" w:sz="0" w:space="0" w:color="auto"/>
        <w:right w:val="none" w:sz="0" w:space="0" w:color="auto"/>
      </w:divBdr>
    </w:div>
    <w:div w:id="706568152">
      <w:bodyDiv w:val="1"/>
      <w:marLeft w:val="0"/>
      <w:marRight w:val="0"/>
      <w:marTop w:val="0"/>
      <w:marBottom w:val="0"/>
      <w:divBdr>
        <w:top w:val="none" w:sz="0" w:space="0" w:color="auto"/>
        <w:left w:val="none" w:sz="0" w:space="0" w:color="auto"/>
        <w:bottom w:val="none" w:sz="0" w:space="0" w:color="auto"/>
        <w:right w:val="none" w:sz="0" w:space="0" w:color="auto"/>
      </w:divBdr>
    </w:div>
    <w:div w:id="946542429">
      <w:bodyDiv w:val="1"/>
      <w:marLeft w:val="0"/>
      <w:marRight w:val="0"/>
      <w:marTop w:val="0"/>
      <w:marBottom w:val="0"/>
      <w:divBdr>
        <w:top w:val="none" w:sz="0" w:space="0" w:color="auto"/>
        <w:left w:val="none" w:sz="0" w:space="0" w:color="auto"/>
        <w:bottom w:val="none" w:sz="0" w:space="0" w:color="auto"/>
        <w:right w:val="none" w:sz="0" w:space="0" w:color="auto"/>
      </w:divBdr>
    </w:div>
    <w:div w:id="1019626803">
      <w:bodyDiv w:val="1"/>
      <w:marLeft w:val="0"/>
      <w:marRight w:val="0"/>
      <w:marTop w:val="0"/>
      <w:marBottom w:val="0"/>
      <w:divBdr>
        <w:top w:val="none" w:sz="0" w:space="0" w:color="auto"/>
        <w:left w:val="none" w:sz="0" w:space="0" w:color="auto"/>
        <w:bottom w:val="none" w:sz="0" w:space="0" w:color="auto"/>
        <w:right w:val="none" w:sz="0" w:space="0" w:color="auto"/>
      </w:divBdr>
    </w:div>
    <w:div w:id="1243878486">
      <w:bodyDiv w:val="1"/>
      <w:marLeft w:val="0"/>
      <w:marRight w:val="0"/>
      <w:marTop w:val="0"/>
      <w:marBottom w:val="0"/>
      <w:divBdr>
        <w:top w:val="none" w:sz="0" w:space="0" w:color="auto"/>
        <w:left w:val="none" w:sz="0" w:space="0" w:color="auto"/>
        <w:bottom w:val="none" w:sz="0" w:space="0" w:color="auto"/>
        <w:right w:val="none" w:sz="0" w:space="0" w:color="auto"/>
      </w:divBdr>
    </w:div>
    <w:div w:id="1325283102">
      <w:bodyDiv w:val="1"/>
      <w:marLeft w:val="0"/>
      <w:marRight w:val="0"/>
      <w:marTop w:val="0"/>
      <w:marBottom w:val="0"/>
      <w:divBdr>
        <w:top w:val="none" w:sz="0" w:space="0" w:color="auto"/>
        <w:left w:val="none" w:sz="0" w:space="0" w:color="auto"/>
        <w:bottom w:val="none" w:sz="0" w:space="0" w:color="auto"/>
        <w:right w:val="none" w:sz="0" w:space="0" w:color="auto"/>
      </w:divBdr>
    </w:div>
    <w:div w:id="1522083252">
      <w:bodyDiv w:val="1"/>
      <w:marLeft w:val="0"/>
      <w:marRight w:val="0"/>
      <w:marTop w:val="0"/>
      <w:marBottom w:val="0"/>
      <w:divBdr>
        <w:top w:val="none" w:sz="0" w:space="0" w:color="auto"/>
        <w:left w:val="none" w:sz="0" w:space="0" w:color="auto"/>
        <w:bottom w:val="none" w:sz="0" w:space="0" w:color="auto"/>
        <w:right w:val="none" w:sz="0" w:space="0" w:color="auto"/>
      </w:divBdr>
    </w:div>
    <w:div w:id="1569850926">
      <w:bodyDiv w:val="1"/>
      <w:marLeft w:val="0"/>
      <w:marRight w:val="0"/>
      <w:marTop w:val="0"/>
      <w:marBottom w:val="0"/>
      <w:divBdr>
        <w:top w:val="none" w:sz="0" w:space="0" w:color="auto"/>
        <w:left w:val="none" w:sz="0" w:space="0" w:color="auto"/>
        <w:bottom w:val="none" w:sz="0" w:space="0" w:color="auto"/>
        <w:right w:val="none" w:sz="0" w:space="0" w:color="auto"/>
      </w:divBdr>
    </w:div>
    <w:div w:id="1630017543">
      <w:bodyDiv w:val="1"/>
      <w:marLeft w:val="0"/>
      <w:marRight w:val="0"/>
      <w:marTop w:val="0"/>
      <w:marBottom w:val="0"/>
      <w:divBdr>
        <w:top w:val="none" w:sz="0" w:space="0" w:color="auto"/>
        <w:left w:val="none" w:sz="0" w:space="0" w:color="auto"/>
        <w:bottom w:val="none" w:sz="0" w:space="0" w:color="auto"/>
        <w:right w:val="none" w:sz="0" w:space="0" w:color="auto"/>
      </w:divBdr>
    </w:div>
    <w:div w:id="1881672527">
      <w:bodyDiv w:val="1"/>
      <w:marLeft w:val="0"/>
      <w:marRight w:val="0"/>
      <w:marTop w:val="0"/>
      <w:marBottom w:val="0"/>
      <w:divBdr>
        <w:top w:val="none" w:sz="0" w:space="0" w:color="auto"/>
        <w:left w:val="none" w:sz="0" w:space="0" w:color="auto"/>
        <w:bottom w:val="none" w:sz="0" w:space="0" w:color="auto"/>
        <w:right w:val="none" w:sz="0" w:space="0" w:color="auto"/>
      </w:divBdr>
    </w:div>
    <w:div w:id="1955209278">
      <w:bodyDiv w:val="1"/>
      <w:marLeft w:val="0"/>
      <w:marRight w:val="0"/>
      <w:marTop w:val="0"/>
      <w:marBottom w:val="0"/>
      <w:divBdr>
        <w:top w:val="none" w:sz="0" w:space="0" w:color="auto"/>
        <w:left w:val="none" w:sz="0" w:space="0" w:color="auto"/>
        <w:bottom w:val="none" w:sz="0" w:space="0" w:color="auto"/>
        <w:right w:val="none" w:sz="0" w:space="0" w:color="auto"/>
      </w:divBdr>
    </w:div>
    <w:div w:id="1995065903">
      <w:bodyDiv w:val="1"/>
      <w:marLeft w:val="0"/>
      <w:marRight w:val="0"/>
      <w:marTop w:val="0"/>
      <w:marBottom w:val="0"/>
      <w:divBdr>
        <w:top w:val="none" w:sz="0" w:space="0" w:color="auto"/>
        <w:left w:val="none" w:sz="0" w:space="0" w:color="auto"/>
        <w:bottom w:val="none" w:sz="0" w:space="0" w:color="auto"/>
        <w:right w:val="none" w:sz="0" w:space="0" w:color="auto"/>
      </w:divBdr>
    </w:div>
    <w:div w:id="20098683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chart" Target="charts/chart1.xml"/><Relationship Id="rId21" Type="http://schemas.openxmlformats.org/officeDocument/2006/relationships/image" Target="media/image10.jpeg"/><Relationship Id="rId42" Type="http://schemas.openxmlformats.org/officeDocument/2006/relationships/chart" Target="charts/chart12.xml"/><Relationship Id="rId47" Type="http://schemas.openxmlformats.org/officeDocument/2006/relationships/chart" Target="charts/chart17.xml"/><Relationship Id="rId63" Type="http://schemas.openxmlformats.org/officeDocument/2006/relationships/chart" Target="charts/chart25.xml"/><Relationship Id="rId68" Type="http://schemas.openxmlformats.org/officeDocument/2006/relationships/chart" Target="charts/chart30.xml"/><Relationship Id="rId84" Type="http://schemas.openxmlformats.org/officeDocument/2006/relationships/chart" Target="charts/chart40.xml"/><Relationship Id="rId89" Type="http://schemas.openxmlformats.org/officeDocument/2006/relationships/chart" Target="charts/chart44.xml"/><Relationship Id="rId16" Type="http://schemas.openxmlformats.org/officeDocument/2006/relationships/image" Target="media/image6.png"/><Relationship Id="rId11" Type="http://schemas.openxmlformats.org/officeDocument/2006/relationships/image" Target="media/image3.jpeg"/><Relationship Id="rId32" Type="http://schemas.openxmlformats.org/officeDocument/2006/relationships/diagramQuickStyle" Target="diagrams/quickStyle1.xml"/><Relationship Id="rId37" Type="http://schemas.openxmlformats.org/officeDocument/2006/relationships/chart" Target="charts/chart7.xml"/><Relationship Id="rId53" Type="http://schemas.openxmlformats.org/officeDocument/2006/relationships/diagramColors" Target="diagrams/colors2.xml"/><Relationship Id="rId58" Type="http://schemas.openxmlformats.org/officeDocument/2006/relationships/chart" Target="charts/chart20.xml"/><Relationship Id="rId74" Type="http://schemas.openxmlformats.org/officeDocument/2006/relationships/diagramLayout" Target="diagrams/layout3.xml"/><Relationship Id="rId79" Type="http://schemas.openxmlformats.org/officeDocument/2006/relationships/chart" Target="charts/chart36.xml"/><Relationship Id="rId102" Type="http://schemas.openxmlformats.org/officeDocument/2006/relationships/chart" Target="charts/chart54.xml"/><Relationship Id="rId5" Type="http://schemas.openxmlformats.org/officeDocument/2006/relationships/settings" Target="settings.xml"/><Relationship Id="rId90" Type="http://schemas.openxmlformats.org/officeDocument/2006/relationships/chart" Target="charts/chart45.xml"/><Relationship Id="rId95" Type="http://schemas.openxmlformats.org/officeDocument/2006/relationships/chart" Target="charts/chart50.xml"/><Relationship Id="rId22" Type="http://schemas.openxmlformats.org/officeDocument/2006/relationships/hyperlink" Target="http://www.utp.edu.co/audienciapublica/" TargetMode="External"/><Relationship Id="rId27" Type="http://schemas.openxmlformats.org/officeDocument/2006/relationships/chart" Target="charts/chart2.xml"/><Relationship Id="rId43" Type="http://schemas.openxmlformats.org/officeDocument/2006/relationships/chart" Target="charts/chart13.xml"/><Relationship Id="rId48" Type="http://schemas.openxmlformats.org/officeDocument/2006/relationships/image" Target="media/image11.jpeg"/><Relationship Id="rId64" Type="http://schemas.openxmlformats.org/officeDocument/2006/relationships/chart" Target="charts/chart26.xml"/><Relationship Id="rId69" Type="http://schemas.openxmlformats.org/officeDocument/2006/relationships/chart" Target="charts/chart31.xml"/><Relationship Id="rId80" Type="http://schemas.openxmlformats.org/officeDocument/2006/relationships/chart" Target="charts/chart37.xml"/><Relationship Id="rId85" Type="http://schemas.openxmlformats.org/officeDocument/2006/relationships/image" Target="media/image14.jpeg"/><Relationship Id="rId12" Type="http://schemas.openxmlformats.org/officeDocument/2006/relationships/hyperlink" Target="http://www.utp.edu.co/pdi" TargetMode="External"/><Relationship Id="rId17" Type="http://schemas.openxmlformats.org/officeDocument/2006/relationships/image" Target="media/image7.jpeg"/><Relationship Id="rId33" Type="http://schemas.openxmlformats.org/officeDocument/2006/relationships/diagramColors" Target="diagrams/colors1.xml"/><Relationship Id="rId38" Type="http://schemas.openxmlformats.org/officeDocument/2006/relationships/chart" Target="charts/chart8.xml"/><Relationship Id="rId59" Type="http://schemas.openxmlformats.org/officeDocument/2006/relationships/chart" Target="charts/chart21.xml"/><Relationship Id="rId103" Type="http://schemas.openxmlformats.org/officeDocument/2006/relationships/header" Target="header2.xml"/><Relationship Id="rId20" Type="http://schemas.openxmlformats.org/officeDocument/2006/relationships/header" Target="header1.xml"/><Relationship Id="rId41" Type="http://schemas.openxmlformats.org/officeDocument/2006/relationships/chart" Target="charts/chart11.xml"/><Relationship Id="rId54" Type="http://schemas.microsoft.com/office/2007/relationships/diagramDrawing" Target="diagrams/drawing2.xml"/><Relationship Id="rId62" Type="http://schemas.openxmlformats.org/officeDocument/2006/relationships/chart" Target="charts/chart24.xml"/><Relationship Id="rId70" Type="http://schemas.openxmlformats.org/officeDocument/2006/relationships/chart" Target="charts/chart32.xml"/><Relationship Id="rId75" Type="http://schemas.openxmlformats.org/officeDocument/2006/relationships/diagramQuickStyle" Target="diagrams/quickStyle3.xml"/><Relationship Id="rId83" Type="http://schemas.openxmlformats.org/officeDocument/2006/relationships/chart" Target="charts/chart39.xml"/><Relationship Id="rId88" Type="http://schemas.openxmlformats.org/officeDocument/2006/relationships/chart" Target="charts/chart43.xml"/><Relationship Id="rId91" Type="http://schemas.openxmlformats.org/officeDocument/2006/relationships/chart" Target="charts/chart46.xml"/><Relationship Id="rId96" Type="http://schemas.openxmlformats.org/officeDocument/2006/relationships/chart" Target="charts/chart5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hyperlink" Target="http://www.utp.edu.co/quejasyreclamos/" TargetMode="External"/><Relationship Id="rId28" Type="http://schemas.openxmlformats.org/officeDocument/2006/relationships/chart" Target="charts/chart3.xml"/><Relationship Id="rId36" Type="http://schemas.openxmlformats.org/officeDocument/2006/relationships/chart" Target="charts/chart6.xml"/><Relationship Id="rId49" Type="http://schemas.openxmlformats.org/officeDocument/2006/relationships/image" Target="media/image12.jpeg"/><Relationship Id="rId57" Type="http://schemas.openxmlformats.org/officeDocument/2006/relationships/chart" Target="charts/chart19.xml"/><Relationship Id="rId10" Type="http://schemas.openxmlformats.org/officeDocument/2006/relationships/footer" Target="footer1.xml"/><Relationship Id="rId31" Type="http://schemas.openxmlformats.org/officeDocument/2006/relationships/diagramLayout" Target="diagrams/layout1.xml"/><Relationship Id="rId44" Type="http://schemas.openxmlformats.org/officeDocument/2006/relationships/chart" Target="charts/chart14.xml"/><Relationship Id="rId52" Type="http://schemas.openxmlformats.org/officeDocument/2006/relationships/diagramQuickStyle" Target="diagrams/quickStyle2.xml"/><Relationship Id="rId60" Type="http://schemas.openxmlformats.org/officeDocument/2006/relationships/chart" Target="charts/chart22.xml"/><Relationship Id="rId65" Type="http://schemas.openxmlformats.org/officeDocument/2006/relationships/chart" Target="charts/chart27.xml"/><Relationship Id="rId73" Type="http://schemas.openxmlformats.org/officeDocument/2006/relationships/diagramData" Target="diagrams/data3.xml"/><Relationship Id="rId78" Type="http://schemas.openxmlformats.org/officeDocument/2006/relationships/chart" Target="charts/chart35.xml"/><Relationship Id="rId81" Type="http://schemas.openxmlformats.org/officeDocument/2006/relationships/chart" Target="charts/chart38.xml"/><Relationship Id="rId86" Type="http://schemas.openxmlformats.org/officeDocument/2006/relationships/chart" Target="charts/chart41.xml"/><Relationship Id="rId94" Type="http://schemas.openxmlformats.org/officeDocument/2006/relationships/chart" Target="charts/chart49.xml"/><Relationship Id="rId99" Type="http://schemas.openxmlformats.org/officeDocument/2006/relationships/image" Target="media/image16.emf"/><Relationship Id="rId101" Type="http://schemas.openxmlformats.org/officeDocument/2006/relationships/chart" Target="charts/chart53.xml"/><Relationship Id="rId4" Type="http://schemas.microsoft.com/office/2007/relationships/stylesWithEffects" Target="stylesWithEffects.xml"/><Relationship Id="rId9" Type="http://schemas.openxmlformats.org/officeDocument/2006/relationships/image" Target="media/image2.png"/><Relationship Id="rId13" Type="http://schemas.openxmlformats.org/officeDocument/2006/relationships/hyperlink" Target="http://www.utp.edu.co/control-social" TargetMode="External"/><Relationship Id="rId18" Type="http://schemas.openxmlformats.org/officeDocument/2006/relationships/image" Target="media/image8.jpeg"/><Relationship Id="rId39" Type="http://schemas.openxmlformats.org/officeDocument/2006/relationships/chart" Target="charts/chart9.xml"/><Relationship Id="rId34" Type="http://schemas.microsoft.com/office/2007/relationships/diagramDrawing" Target="diagrams/drawing1.xml"/><Relationship Id="rId50" Type="http://schemas.openxmlformats.org/officeDocument/2006/relationships/diagramData" Target="diagrams/data2.xml"/><Relationship Id="rId55" Type="http://schemas.openxmlformats.org/officeDocument/2006/relationships/hyperlink" Target="http://www.utp.edu.co/acreditacion" TargetMode="External"/><Relationship Id="rId76" Type="http://schemas.openxmlformats.org/officeDocument/2006/relationships/diagramColors" Target="diagrams/colors3.xml"/><Relationship Id="rId97" Type="http://schemas.openxmlformats.org/officeDocument/2006/relationships/chart" Target="charts/chart52.xml"/><Relationship Id="rId104"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chart" Target="charts/chart33.xml"/><Relationship Id="rId92" Type="http://schemas.openxmlformats.org/officeDocument/2006/relationships/chart" Target="charts/chart47.xml"/><Relationship Id="rId2" Type="http://schemas.openxmlformats.org/officeDocument/2006/relationships/numbering" Target="numbering.xml"/><Relationship Id="rId29" Type="http://schemas.openxmlformats.org/officeDocument/2006/relationships/chart" Target="charts/chart4.xml"/><Relationship Id="rId24" Type="http://schemas.openxmlformats.org/officeDocument/2006/relationships/hyperlink" Target="http://www.utp.edu.co/control-social/inicio.html" TargetMode="External"/><Relationship Id="rId40" Type="http://schemas.openxmlformats.org/officeDocument/2006/relationships/chart" Target="charts/chart10.xml"/><Relationship Id="rId45" Type="http://schemas.openxmlformats.org/officeDocument/2006/relationships/chart" Target="charts/chart15.xml"/><Relationship Id="rId66" Type="http://schemas.openxmlformats.org/officeDocument/2006/relationships/chart" Target="charts/chart28.xml"/><Relationship Id="rId87" Type="http://schemas.openxmlformats.org/officeDocument/2006/relationships/chart" Target="charts/chart42.xml"/><Relationship Id="rId61" Type="http://schemas.openxmlformats.org/officeDocument/2006/relationships/chart" Target="charts/chart23.xml"/><Relationship Id="rId82" Type="http://schemas.openxmlformats.org/officeDocument/2006/relationships/image" Target="media/image13.jpeg"/><Relationship Id="rId19" Type="http://schemas.openxmlformats.org/officeDocument/2006/relationships/image" Target="media/image9.png"/><Relationship Id="rId14" Type="http://schemas.openxmlformats.org/officeDocument/2006/relationships/image" Target="media/image4.jpeg"/><Relationship Id="rId30" Type="http://schemas.openxmlformats.org/officeDocument/2006/relationships/diagramData" Target="diagrams/data1.xml"/><Relationship Id="rId35" Type="http://schemas.openxmlformats.org/officeDocument/2006/relationships/chart" Target="charts/chart5.xml"/><Relationship Id="rId56" Type="http://schemas.openxmlformats.org/officeDocument/2006/relationships/chart" Target="charts/chart18.xml"/><Relationship Id="rId77" Type="http://schemas.microsoft.com/office/2007/relationships/diagramDrawing" Target="diagrams/drawing3.xml"/><Relationship Id="rId100" Type="http://schemas.openxmlformats.org/officeDocument/2006/relationships/hyperlink" Target="http://www.utp.edu.co/pdi/insumos_actualizacion.htm" TargetMode="External"/><Relationship Id="rId105"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diagramLayout" Target="diagrams/layout2.xml"/><Relationship Id="rId72" Type="http://schemas.openxmlformats.org/officeDocument/2006/relationships/chart" Target="charts/chart34.xml"/><Relationship Id="rId93" Type="http://schemas.openxmlformats.org/officeDocument/2006/relationships/chart" Target="charts/chart48.xml"/><Relationship Id="rId98" Type="http://schemas.openxmlformats.org/officeDocument/2006/relationships/image" Target="media/image15.emf"/><Relationship Id="rId3" Type="http://schemas.openxmlformats.org/officeDocument/2006/relationships/styles" Target="styles.xml"/><Relationship Id="rId25" Type="http://schemas.openxmlformats.org/officeDocument/2006/relationships/hyperlink" Target="http://www.utp.edu.co/pdi/" TargetMode="External"/><Relationship Id="rId46" Type="http://schemas.openxmlformats.org/officeDocument/2006/relationships/chart" Target="charts/chart16.xml"/><Relationship Id="rId67" Type="http://schemas.openxmlformats.org/officeDocument/2006/relationships/chart" Target="charts/chart29.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charts/_rels/chart1.xml.rels><?xml version="1.0" encoding="UTF-8" standalone="yes"?>
<Relationships xmlns="http://schemas.openxmlformats.org/package/2006/relationships"><Relationship Id="rId1" Type="http://schemas.openxmlformats.org/officeDocument/2006/relationships/oleObject" Target="file:///C:\Dropbox\Trabajo\AIE\Informe%20de%20Gesti&#243;n%202012\Informe%20para%20el%20CSU\Resultados%20Finales%20PDI\Resultados%20PDI%202012%20Obj%20-%20Comp.xlsx" TargetMode="External"/></Relationships>
</file>

<file path=word/charts/_rels/chart2.xml.rels><?xml version="1.0" encoding="UTF-8" standalone="yes"?>
<Relationships xmlns="http://schemas.openxmlformats.org/package/2006/relationships"><Relationship Id="rId1" Type="http://schemas.openxmlformats.org/officeDocument/2006/relationships/package" Target="../embeddings/Hoja_de_c_lculo_de_Microsoft_Excel1.xlsx"/></Relationships>
</file>

<file path=word/charts/_rels/chart3.xml.rels><?xml version="1.0" encoding="UTF-8" standalone="yes"?>
<Relationships xmlns="http://schemas.openxmlformats.org/package/2006/relationships"><Relationship Id="rId1" Type="http://schemas.openxmlformats.org/officeDocument/2006/relationships/package" Target="../embeddings/Hoja_de_c_lculo_de_Microsoft_Excel2.xlsx"/></Relationships>
</file>

<file path=word/charts/_rels/chart4.xml.rels><?xml version="1.0" encoding="UTF-8" standalone="yes"?>
<Relationships xmlns="http://schemas.openxmlformats.org/package/2006/relationships"><Relationship Id="rId1" Type="http://schemas.openxmlformats.org/officeDocument/2006/relationships/package" Target="../embeddings/Hoja_de_c_lculo_de_Microsoft_Excel3.xlsx"/></Relationships>
</file>

<file path=word/charts/_rels/chart5.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6.xml.rels><?xml version="1.0" encoding="UTF-8" standalone="yes"?>
<Relationships xmlns="http://schemas.openxmlformats.org/package/2006/relationships"><Relationship Id="rId1" Type="http://schemas.openxmlformats.org/officeDocument/2006/relationships/package" Target="../embeddings/Hoja_de_c_lculo_de_Microsoft_Excel4.xlsx"/></Relationships>
</file>

<file path=word/charts/_rels/chart7.xml.rels><?xml version="1.0" encoding="UTF-8" standalone="yes"?>
<Relationships xmlns="http://schemas.openxmlformats.org/package/2006/relationships"><Relationship Id="rId1" Type="http://schemas.openxmlformats.org/officeDocument/2006/relationships/package" Target="../embeddings/Hoja_de_c_lculo_de_Microsoft_Excel5.xlsx"/></Relationships>
</file>

<file path=word/charts/_rels/chart8.xml.rels><?xml version="1.0" encoding="UTF-8" standalone="yes"?>
<Relationships xmlns="http://schemas.openxmlformats.org/package/2006/relationships"><Relationship Id="rId1" Type="http://schemas.openxmlformats.org/officeDocument/2006/relationships/package" Target="../embeddings/Hoja_de_c_lculo_de_Microsoft_Excel6.xlsx"/></Relationships>
</file>

<file path=word/charts/_rels/chart9.xml.rels><?xml version="1.0" encoding="UTF-8" standalone="yes"?>
<Relationships xmlns="http://schemas.openxmlformats.org/package/2006/relationships"><Relationship Id="rId1" Type="http://schemas.openxmlformats.org/officeDocument/2006/relationships/package" Target="../embeddings/Hoja_de_c_lculo_de_Microsoft_Excel7.xlsx"/></Relationships>
</file>

<file path=word/charts/_rels/chart10.xml.rels><?xml version="1.0" encoding="UTF-8" standalone="yes"?>
<Relationships xmlns="http://schemas.openxmlformats.org/package/2006/relationships"><Relationship Id="rId1" Type="http://schemas.openxmlformats.org/officeDocument/2006/relationships/package" Target="../embeddings/Hoja_de_c_lculo_de_Microsoft_Excel8.xlsx"/></Relationships>
</file>

<file path=word/charts/_rels/chart11.xml.rels><?xml version="1.0" encoding="UTF-8" standalone="yes"?>
<Relationships xmlns="http://schemas.openxmlformats.org/package/2006/relationships"><Relationship Id="rId1" Type="http://schemas.openxmlformats.org/officeDocument/2006/relationships/oleObject" Target="file:///C:\Users\Usuario%20UTP\Desktop\Documentos%20de%20trabajo\Capitulo%20Cobertura\Graficos.xlsx" TargetMode="External"/></Relationships>
</file>

<file path=word/charts/_rels/chart12.xml.rels><?xml version="1.0" encoding="UTF-8" standalone="yes"?>
<Relationships xmlns="http://schemas.openxmlformats.org/package/2006/relationships"><Relationship Id="rId1" Type="http://schemas.openxmlformats.org/officeDocument/2006/relationships/package" Target="../embeddings/Hoja_de_c_lculo_de_Microsoft_Excel9.xlsx"/></Relationships>
</file>

<file path=word/charts/_rels/chart13.xml.rels><?xml version="1.0" encoding="UTF-8" standalone="yes"?>
<Relationships xmlns="http://schemas.openxmlformats.org/package/2006/relationships"><Relationship Id="rId1" Type="http://schemas.openxmlformats.org/officeDocument/2006/relationships/oleObject" Target="file:///C:\Users\Usuario%20UTP\Desktop\Documentos%20de%20trabajo\Capitulo%20Cobertura\Graficos.xlsx" TargetMode="External"/></Relationships>
</file>

<file path=word/charts/_rels/chart14.xml.rels><?xml version="1.0" encoding="UTF-8" standalone="yes"?>
<Relationships xmlns="http://schemas.openxmlformats.org/package/2006/relationships"><Relationship Id="rId1" Type="http://schemas.openxmlformats.org/officeDocument/2006/relationships/package" Target="../embeddings/Hoja_de_c_lculo_de_Microsoft_Excel10.xlsx"/></Relationships>
</file>

<file path=word/charts/_rels/chart15.xml.rels><?xml version="1.0" encoding="UTF-8" standalone="yes"?>
<Relationships xmlns="http://schemas.openxmlformats.org/package/2006/relationships"><Relationship Id="rId1" Type="http://schemas.openxmlformats.org/officeDocument/2006/relationships/package" Target="../embeddings/Hoja_de_c_lculo_de_Microsoft_Excel11.xlsx"/></Relationships>
</file>

<file path=word/charts/_rels/chart16.xml.rels><?xml version="1.0" encoding="UTF-8" standalone="yes"?>
<Relationships xmlns="http://schemas.openxmlformats.org/package/2006/relationships"><Relationship Id="rId1" Type="http://schemas.openxmlformats.org/officeDocument/2006/relationships/package" Target="../embeddings/Hoja_de_c_lculo_de_Microsoft_Excel12.xlsx"/></Relationships>
</file>

<file path=word/charts/_rels/chart17.xml.rels><?xml version="1.0" encoding="UTF-8" standalone="yes"?>
<Relationships xmlns="http://schemas.openxmlformats.org/package/2006/relationships"><Relationship Id="rId1" Type="http://schemas.openxmlformats.org/officeDocument/2006/relationships/oleObject" Target="file:///C:\Users\Usuario%20UTP\Desktop\Documentos%20de%20trabajo\Capitulo%20Cobertura\Graficos.xlsx" TargetMode="External"/></Relationships>
</file>

<file path=word/charts/_rels/chart18.xml.rels><?xml version="1.0" encoding="UTF-8" standalone="yes"?>
<Relationships xmlns="http://schemas.openxmlformats.org/package/2006/relationships"><Relationship Id="rId1" Type="http://schemas.openxmlformats.org/officeDocument/2006/relationships/oleObject" Target="file:///C:\Users\Usuario%20UTP\Desktop\Documentos%20de%20trabajo\Capitulo%20Cobertura\Graficos.xlsx" TargetMode="External"/></Relationships>
</file>

<file path=word/charts/_rels/chart19.xml.rels><?xml version="1.0" encoding="UTF-8" standalone="yes"?>
<Relationships xmlns="http://schemas.openxmlformats.org/package/2006/relationships"><Relationship Id="rId1" Type="http://schemas.openxmlformats.org/officeDocument/2006/relationships/oleObject" Target="file:///C:\Users\Usuario%20UTP\Desktop\Documentos%20de%20trabajo\Capitulo%20Cobertura\Graficos.xlsx" TargetMode="External"/></Relationships>
</file>

<file path=word/charts/_rels/chart20.xml.rels><?xml version="1.0" encoding="UTF-8" standalone="yes"?>
<Relationships xmlns="http://schemas.openxmlformats.org/package/2006/relationships"><Relationship Id="rId1" Type="http://schemas.openxmlformats.org/officeDocument/2006/relationships/oleObject" Target="file:///C:\Users\Usuario%20UTP\Desktop\Documentos%20de%20trabajo\Capitulo%20Cobertura\Graficos.xlsx" TargetMode="External"/></Relationships>
</file>

<file path=word/charts/_rels/chart21.xml.rels><?xml version="1.0" encoding="UTF-8" standalone="yes"?>
<Relationships xmlns="http://schemas.openxmlformats.org/package/2006/relationships"><Relationship Id="rId1" Type="http://schemas.openxmlformats.org/officeDocument/2006/relationships/oleObject" Target="file:///C:\Users\Usuario%20UTP\Desktop\Documentos%20de%20trabajo\Capitulo%20Cobertura\Graficos.xlsx" TargetMode="External"/></Relationships>
</file>

<file path=word/charts/_rels/chart22.xml.rels><?xml version="1.0" encoding="UTF-8" standalone="yes"?>
<Relationships xmlns="http://schemas.openxmlformats.org/package/2006/relationships"><Relationship Id="rId1" Type="http://schemas.openxmlformats.org/officeDocument/2006/relationships/oleObject" Target="file:///C:\Users\Usuario%20UTP\Desktop\Documentos%20de%20trabajo\Capitulo%20Cobertura\Graficos.xlsx" TargetMode="External"/></Relationships>
</file>

<file path=word/charts/_rels/chart23.xml.rels><?xml version="1.0" encoding="UTF-8" standalone="yes"?>
<Relationships xmlns="http://schemas.openxmlformats.org/package/2006/relationships"><Relationship Id="rId1" Type="http://schemas.openxmlformats.org/officeDocument/2006/relationships/oleObject" Target="file:///C:\Dropbox\Trabajo\AIE\Documentos%20de%20trabajo\Capitulo%20Cobertura\Graficos.xlsx" TargetMode="External"/></Relationships>
</file>

<file path=word/charts/_rels/chart24.xml.rels><?xml version="1.0" encoding="UTF-8" standalone="yes"?>
<Relationships xmlns="http://schemas.openxmlformats.org/package/2006/relationships"><Relationship Id="rId1" Type="http://schemas.openxmlformats.org/officeDocument/2006/relationships/oleObject" Target="file:///C:\Dropbox\Trabajo\AIE\Documentos%20de%20trabajo\Capitulo%20Cobertura\Graficos.xlsx" TargetMode="External"/></Relationships>
</file>

<file path=word/charts/_rels/chart25.xml.rels><?xml version="1.0" encoding="UTF-8" standalone="yes"?>
<Relationships xmlns="http://schemas.openxmlformats.org/package/2006/relationships"><Relationship Id="rId1" Type="http://schemas.openxmlformats.org/officeDocument/2006/relationships/oleObject" Target="file:///C:\Users\Usuario%20UTP\Desktop\Documentos%20de%20trabajo\Capitulo%20Cobertura\Graficos.xlsx" TargetMode="External"/></Relationships>
</file>

<file path=word/charts/_rels/chart26.xml.rels><?xml version="1.0" encoding="UTF-8" standalone="yes"?>
<Relationships xmlns="http://schemas.openxmlformats.org/package/2006/relationships"><Relationship Id="rId1" Type="http://schemas.openxmlformats.org/officeDocument/2006/relationships/oleObject" Target="file:///C:\Users\Usuario%20UTP\Desktop\Documentos%20de%20trabajo\Capitulo%20Cobertura\Graficos.xlsx" TargetMode="External"/></Relationships>
</file>

<file path=word/charts/_rels/chart27.xml.rels><?xml version="1.0" encoding="UTF-8" standalone="yes"?>
<Relationships xmlns="http://schemas.openxmlformats.org/package/2006/relationships"><Relationship Id="rId1" Type="http://schemas.openxmlformats.org/officeDocument/2006/relationships/oleObject" Target="file:///C:\Users\Usuario%20UTP\Desktop\Documentos%20de%20trabajo\Capitulo%20Cobertura\Graficos.xlsx" TargetMode="External"/></Relationships>
</file>

<file path=word/charts/_rels/chart28.xml.rels><?xml version="1.0" encoding="UTF-8" standalone="yes"?>
<Relationships xmlns="http://schemas.openxmlformats.org/package/2006/relationships"><Relationship Id="rId1" Type="http://schemas.openxmlformats.org/officeDocument/2006/relationships/package" Target="../embeddings/Hoja_de_c_lculo_de_Microsoft_Excel13.xlsx"/></Relationships>
</file>

<file path=word/charts/_rels/chart29.xml.rels><?xml version="1.0" encoding="UTF-8" standalone="yes"?>
<Relationships xmlns="http://schemas.openxmlformats.org/package/2006/relationships"><Relationship Id="rId1" Type="http://schemas.openxmlformats.org/officeDocument/2006/relationships/package" Target="../embeddings/Hoja_de_c_lculo_de_Microsoft_Excel14.xlsx"/></Relationships>
</file>

<file path=word/charts/_rels/chart30.xml.rels><?xml version="1.0" encoding="UTF-8" standalone="yes"?>
<Relationships xmlns="http://schemas.openxmlformats.org/package/2006/relationships"><Relationship Id="rId1" Type="http://schemas.openxmlformats.org/officeDocument/2006/relationships/package" Target="../embeddings/Hoja_de_c_lculo_de_Microsoft_Excel15.xlsx"/></Relationships>
</file>

<file path=word/charts/_rels/chart31.xml.rels><?xml version="1.0" encoding="UTF-8" standalone="yes"?>
<Relationships xmlns="http://schemas.openxmlformats.org/package/2006/relationships"><Relationship Id="rId1" Type="http://schemas.openxmlformats.org/officeDocument/2006/relationships/package" Target="../embeddings/Hoja_de_c_lculo_de_Microsoft_Excel16.xlsx"/></Relationships>
</file>

<file path=word/charts/_rels/chart32.xml.rels><?xml version="1.0" encoding="UTF-8" standalone="yes"?>
<Relationships xmlns="http://schemas.openxmlformats.org/package/2006/relationships"><Relationship Id="rId1" Type="http://schemas.openxmlformats.org/officeDocument/2006/relationships/package" Target="../embeddings/Hoja_de_c_lculo_de_Microsoft_Excel17.xlsx"/></Relationships>
</file>

<file path=word/charts/_rels/chart33.xml.rels><?xml version="1.0" encoding="UTF-8" standalone="yes"?>
<Relationships xmlns="http://schemas.openxmlformats.org/package/2006/relationships"><Relationship Id="rId1" Type="http://schemas.openxmlformats.org/officeDocument/2006/relationships/oleObject" Target="Libro1" TargetMode="External"/></Relationships>
</file>

<file path=word/charts/_rels/chart34.xml.rels><?xml version="1.0" encoding="UTF-8" standalone="yes"?>
<Relationships xmlns="http://schemas.openxmlformats.org/package/2006/relationships"><Relationship Id="rId1" Type="http://schemas.openxmlformats.org/officeDocument/2006/relationships/package" Target="../embeddings/Hoja_de_c_lculo_de_Microsoft_Excel18.xlsx"/></Relationships>
</file>

<file path=word/charts/_rels/chart35.xml.rels><?xml version="1.0" encoding="UTF-8" standalone="yes"?>
<Relationships xmlns="http://schemas.openxmlformats.org/package/2006/relationships"><Relationship Id="rId1" Type="http://schemas.openxmlformats.org/officeDocument/2006/relationships/oleObject" Target="Libro1" TargetMode="External"/></Relationships>
</file>

<file path=word/charts/_rels/chart36.xml.rels><?xml version="1.0" encoding="UTF-8" standalone="yes"?>
<Relationships xmlns="http://schemas.openxmlformats.org/package/2006/relationships"><Relationship Id="rId1" Type="http://schemas.openxmlformats.org/officeDocument/2006/relationships/oleObject" Target="Libro1" TargetMode="External"/></Relationships>
</file>

<file path=word/charts/_rels/chart37.xml.rels><?xml version="1.0" encoding="UTF-8" standalone="yes"?>
<Relationships xmlns="http://schemas.openxmlformats.org/package/2006/relationships"><Relationship Id="rId1" Type="http://schemas.openxmlformats.org/officeDocument/2006/relationships/package" Target="../embeddings/Hoja_de_c_lculo_de_Microsoft_Excel19.xlsx"/></Relationships>
</file>

<file path=word/charts/_rels/chart38.xml.rels><?xml version="1.0" encoding="UTF-8" standalone="yes"?>
<Relationships xmlns="http://schemas.openxmlformats.org/package/2006/relationships"><Relationship Id="rId1" Type="http://schemas.openxmlformats.org/officeDocument/2006/relationships/oleObject" Target="Libro1" TargetMode="External"/></Relationships>
</file>

<file path=word/charts/_rels/chart39.xml.rels><?xml version="1.0" encoding="UTF-8" standalone="yes"?>
<Relationships xmlns="http://schemas.openxmlformats.org/package/2006/relationships"><Relationship Id="rId1" Type="http://schemas.openxmlformats.org/officeDocument/2006/relationships/oleObject" Target="file:///C:\Dropbox\Trabajo\Documentos%20de%20trabajo\InGestion\Internacionalizacion\Graficos.xlsx" TargetMode="External"/></Relationships>
</file>

<file path=word/charts/_rels/chart40.xml.rels><?xml version="1.0" encoding="UTF-8" standalone="yes"?>
<Relationships xmlns="http://schemas.openxmlformats.org/package/2006/relationships"><Relationship Id="rId1" Type="http://schemas.openxmlformats.org/officeDocument/2006/relationships/oleObject" Target="file:///C:\Dropbox\Trabajo\Documentos%20de%20trabajo\InGestion\Internacionalizacion\Graficos.xlsx" TargetMode="External"/></Relationships>
</file>

<file path=word/charts/_rels/chart41.xml.rels><?xml version="1.0" encoding="UTF-8" standalone="yes"?>
<Relationships xmlns="http://schemas.openxmlformats.org/package/2006/relationships"><Relationship Id="rId1" Type="http://schemas.openxmlformats.org/officeDocument/2006/relationships/oleObject" Target="file:///C:\Dropbox\Trabajo\Documentos%20de%20trabajo\InGestion\Internacionalizacion\Graficos.xlsx" TargetMode="External"/></Relationships>
</file>

<file path=word/charts/_rels/chart42.xml.rels><?xml version="1.0" encoding="UTF-8" standalone="yes"?>
<Relationships xmlns="http://schemas.openxmlformats.org/package/2006/relationships"><Relationship Id="rId1" Type="http://schemas.openxmlformats.org/officeDocument/2006/relationships/oleObject" Target="file:///C:\Dropbox\Trabajo\Documentos%20de%20trabajo\InGestion\Internacionalizacion\Graficos.xlsx" TargetMode="External"/></Relationships>
</file>

<file path=word/charts/_rels/chart43.xml.rels><?xml version="1.0" encoding="UTF-8" standalone="yes"?>
<Relationships xmlns="http://schemas.openxmlformats.org/package/2006/relationships"><Relationship Id="rId1" Type="http://schemas.openxmlformats.org/officeDocument/2006/relationships/package" Target="../embeddings/Hoja_de_c_lculo_de_Microsoft_Excel20.xlsx"/></Relationships>
</file>

<file path=word/charts/_rels/chart44.xml.rels><?xml version="1.0" encoding="UTF-8" standalone="yes"?>
<Relationships xmlns="http://schemas.openxmlformats.org/package/2006/relationships"><Relationship Id="rId1" Type="http://schemas.openxmlformats.org/officeDocument/2006/relationships/package" Target="../embeddings/Hoja_de_c_lculo_de_Microsoft_Excel21.xlsx"/></Relationships>
</file>

<file path=word/charts/_rels/chart45.xml.rels><?xml version="1.0" encoding="UTF-8" standalone="yes"?>
<Relationships xmlns="http://schemas.openxmlformats.org/package/2006/relationships"><Relationship Id="rId1" Type="http://schemas.openxmlformats.org/officeDocument/2006/relationships/package" Target="../embeddings/Hoja_de_c_lculo_de_Microsoft_Excel22.xlsx"/></Relationships>
</file>

<file path=word/charts/_rels/chart46.xml.rels><?xml version="1.0" encoding="UTF-8" standalone="yes"?>
<Relationships xmlns="http://schemas.openxmlformats.org/package/2006/relationships"><Relationship Id="rId1" Type="http://schemas.openxmlformats.org/officeDocument/2006/relationships/package" Target="../embeddings/Hoja_de_c_lculo_de_Microsoft_Excel23.xlsx"/></Relationships>
</file>

<file path=word/charts/_rels/chart47.xml.rels><?xml version="1.0" encoding="UTF-8" standalone="yes"?>
<Relationships xmlns="http://schemas.openxmlformats.org/package/2006/relationships"><Relationship Id="rId1" Type="http://schemas.openxmlformats.org/officeDocument/2006/relationships/package" Target="../embeddings/Hoja_de_c_lculo_de_Microsoft_Excel24.xlsx"/></Relationships>
</file>

<file path=word/charts/_rels/chart48.xml.rels><?xml version="1.0" encoding="UTF-8" standalone="yes"?>
<Relationships xmlns="http://schemas.openxmlformats.org/package/2006/relationships"><Relationship Id="rId1" Type="http://schemas.openxmlformats.org/officeDocument/2006/relationships/package" Target="../embeddings/Hoja_de_c_lculo_de_Microsoft_Excel25.xlsx"/></Relationships>
</file>

<file path=word/charts/_rels/chart49.xml.rels><?xml version="1.0" encoding="UTF-8" standalone="yes"?>
<Relationships xmlns="http://schemas.openxmlformats.org/package/2006/relationships"><Relationship Id="rId1" Type="http://schemas.openxmlformats.org/officeDocument/2006/relationships/package" Target="../embeddings/Hoja_de_c_lculo_de_Microsoft_Excel26.xlsx"/></Relationships>
</file>

<file path=word/charts/_rels/chart50.xml.rels><?xml version="1.0" encoding="UTF-8" standalone="yes"?>
<Relationships xmlns="http://schemas.openxmlformats.org/package/2006/relationships"><Relationship Id="rId1" Type="http://schemas.openxmlformats.org/officeDocument/2006/relationships/package" Target="../embeddings/Hoja_de_c_lculo_de_Microsoft_Excel27.xlsx"/></Relationships>
</file>

<file path=word/charts/_rels/chart51.xml.rels><?xml version="1.0" encoding="UTF-8" standalone="yes"?>
<Relationships xmlns="http://schemas.openxmlformats.org/package/2006/relationships"><Relationship Id="rId1" Type="http://schemas.openxmlformats.org/officeDocument/2006/relationships/package" Target="../embeddings/Hoja_de_c_lculo_de_Microsoft_Excel28.xlsx"/></Relationships>
</file>

<file path=word/charts/_rels/chart52.xml.rels><?xml version="1.0" encoding="UTF-8" standalone="yes"?>
<Relationships xmlns="http://schemas.openxmlformats.org/package/2006/relationships"><Relationship Id="rId1" Type="http://schemas.openxmlformats.org/officeDocument/2006/relationships/package" Target="../embeddings/Hoja_de_c_lculo_de_Microsoft_Excel29.xlsx"/></Relationships>
</file>

<file path=word/charts/_rels/chart53.xml.rels><?xml version="1.0" encoding="UTF-8" standalone="yes"?>
<Relationships xmlns="http://schemas.openxmlformats.org/package/2006/relationships"><Relationship Id="rId1" Type="http://schemas.openxmlformats.org/officeDocument/2006/relationships/oleObject" Target="file:///C:\Dropbox\Trabajo\AIE\Informe%20de%20Gesti&#243;n%202012\Informe%20para%20el%20CSU\Resultados%20Finales%20PDI\Resultados%20PDI%202012%20Obj%20-%20Comp.xlsx" TargetMode="External"/></Relationships>
</file>

<file path=word/charts/_rels/chart54.xml.rels><?xml version="1.0" encoding="UTF-8" standalone="yes"?>
<Relationships xmlns="http://schemas.openxmlformats.org/package/2006/relationships"><Relationship Id="rId1" Type="http://schemas.openxmlformats.org/officeDocument/2006/relationships/oleObject" Target="file:///C:\Dropbox\Trabajo\AIE\Informe%20de%20Gesti&#243;n%202012\Informe%20para%20el%20CSU\Resultados%20Finales%20PDI\Resultados%20PDI%202012%20Obj%20-%20Comp.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pP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c:spPr>
    </c:sideWall>
    <c:backWall>
      <c:thickness val="0"/>
      <c:spP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c:spPr>
    </c:backWall>
    <c:plotArea>
      <c:layout>
        <c:manualLayout>
          <c:layoutTarget val="inner"/>
          <c:xMode val="edge"/>
          <c:yMode val="edge"/>
          <c:x val="0.42014282176992046"/>
          <c:y val="3.3295493572921074E-2"/>
          <c:w val="0.44149239835586601"/>
          <c:h val="0.81031912431660202"/>
        </c:manualLayout>
      </c:layout>
      <c:bar3DChart>
        <c:barDir val="bar"/>
        <c:grouping val="clustered"/>
        <c:varyColors val="0"/>
        <c:ser>
          <c:idx val="0"/>
          <c:order val="0"/>
          <c:tx>
            <c:strRef>
              <c:f>Resumen!$D$58</c:f>
              <c:strCache>
                <c:ptCount val="1"/>
                <c:pt idx="0">
                  <c:v>Resultado a Nivel de Propósitos</c:v>
                </c:pt>
              </c:strCache>
            </c:strRef>
          </c:tx>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txPr>
              <a:bodyPr/>
              <a:lstStyle/>
              <a:p>
                <a:pPr>
                  <a:defRPr b="1">
                    <a:solidFill>
                      <a:schemeClr val="accent1">
                        <a:lumMod val="50000"/>
                      </a:schemeClr>
                    </a:solidFill>
                  </a:defRPr>
                </a:pPr>
                <a:endParaRPr lang="es-CO"/>
              </a:p>
            </c:txPr>
            <c:showLegendKey val="0"/>
            <c:showVal val="1"/>
            <c:showCatName val="0"/>
            <c:showSerName val="0"/>
            <c:showPercent val="0"/>
            <c:showBubbleSize val="0"/>
            <c:showLeaderLines val="0"/>
          </c:dLbls>
          <c:cat>
            <c:strRef>
              <c:f>Resumen!$B$59:$B$66</c:f>
              <c:strCache>
                <c:ptCount val="8"/>
                <c:pt idx="0">
                  <c:v>Desarrollo institucional</c:v>
                </c:pt>
                <c:pt idx="1">
                  <c:v>Cobertura con calidad</c:v>
                </c:pt>
                <c:pt idx="2">
                  <c:v>Bienestar institucional</c:v>
                </c:pt>
                <c:pt idx="3">
                  <c:v>Investigación, innovación y extensión</c:v>
                </c:pt>
                <c:pt idx="4">
                  <c:v>Internacionalización</c:v>
                </c:pt>
                <c:pt idx="5">
                  <c:v>Impacto regional</c:v>
                </c:pt>
                <c:pt idx="6">
                  <c:v>Alianzas estratégicas</c:v>
                </c:pt>
                <c:pt idx="7">
                  <c:v>Resultado 2012</c:v>
                </c:pt>
              </c:strCache>
            </c:strRef>
          </c:cat>
          <c:val>
            <c:numRef>
              <c:f>Resumen!$D$59:$D$66</c:f>
              <c:numCache>
                <c:formatCode>0.00%</c:formatCode>
                <c:ptCount val="8"/>
                <c:pt idx="0">
                  <c:v>0.98230994152046758</c:v>
                </c:pt>
                <c:pt idx="1">
                  <c:v>0.95927504317789314</c:v>
                </c:pt>
                <c:pt idx="2">
                  <c:v>1</c:v>
                </c:pt>
                <c:pt idx="3">
                  <c:v>0.86573051948051971</c:v>
                </c:pt>
                <c:pt idx="4">
                  <c:v>1</c:v>
                </c:pt>
                <c:pt idx="5">
                  <c:v>0.95000000000000018</c:v>
                </c:pt>
                <c:pt idx="6">
                  <c:v>0.88063492063492066</c:v>
                </c:pt>
                <c:pt idx="7">
                  <c:v>0.94028149463980271</c:v>
                </c:pt>
              </c:numCache>
            </c:numRef>
          </c:val>
        </c:ser>
        <c:ser>
          <c:idx val="1"/>
          <c:order val="1"/>
          <c:tx>
            <c:strRef>
              <c:f>Resumen!$E$58</c:f>
              <c:strCache>
                <c:ptCount val="1"/>
                <c:pt idx="0">
                  <c:v>Resultado a Nivel de Componentes</c:v>
                </c:pt>
              </c:strCache>
            </c:strRef>
          </c:tx>
          <c:spPr>
            <a:gradFill rotWithShape="1">
              <a:gsLst>
                <a:gs pos="0">
                  <a:schemeClr val="accent1">
                    <a:tint val="50000"/>
                    <a:satMod val="300000"/>
                  </a:schemeClr>
                </a:gs>
                <a:gs pos="35000">
                  <a:schemeClr val="accent1">
                    <a:tint val="37000"/>
                    <a:satMod val="300000"/>
                  </a:schemeClr>
                </a:gs>
                <a:gs pos="100000">
                  <a:schemeClr val="accent1">
                    <a:tint val="15000"/>
                    <a:satMod val="350000"/>
                  </a:schemeClr>
                </a:gs>
              </a:gsLst>
              <a:lin ang="16200000" scaled="1"/>
            </a:gradFill>
            <a:ln w="9525" cap="flat" cmpd="sng" algn="ctr">
              <a:solidFill>
                <a:schemeClr val="accent1">
                  <a:shade val="95000"/>
                  <a:satMod val="105000"/>
                </a:schemeClr>
              </a:solidFill>
              <a:prstDash val="solid"/>
            </a:ln>
            <a:effectLst>
              <a:outerShdw blurRad="40000" dist="20000" dir="5400000" rotWithShape="0">
                <a:srgbClr val="000000">
                  <a:alpha val="38000"/>
                </a:srgbClr>
              </a:outerShdw>
            </a:effectLst>
          </c:spPr>
          <c:invertIfNegative val="0"/>
          <c:dLbls>
            <c:txPr>
              <a:bodyPr/>
              <a:lstStyle/>
              <a:p>
                <a:pPr>
                  <a:defRPr b="1">
                    <a:solidFill>
                      <a:srgbClr val="C00000"/>
                    </a:solidFill>
                  </a:defRPr>
                </a:pPr>
                <a:endParaRPr lang="es-CO"/>
              </a:p>
            </c:txPr>
            <c:showLegendKey val="0"/>
            <c:showVal val="1"/>
            <c:showCatName val="0"/>
            <c:showSerName val="0"/>
            <c:showPercent val="0"/>
            <c:showBubbleSize val="0"/>
            <c:showLeaderLines val="0"/>
          </c:dLbls>
          <c:cat>
            <c:strRef>
              <c:f>Resumen!$B$59:$B$66</c:f>
              <c:strCache>
                <c:ptCount val="8"/>
                <c:pt idx="0">
                  <c:v>Desarrollo institucional</c:v>
                </c:pt>
                <c:pt idx="1">
                  <c:v>Cobertura con calidad</c:v>
                </c:pt>
                <c:pt idx="2">
                  <c:v>Bienestar institucional</c:v>
                </c:pt>
                <c:pt idx="3">
                  <c:v>Investigación, innovación y extensión</c:v>
                </c:pt>
                <c:pt idx="4">
                  <c:v>Internacionalización</c:v>
                </c:pt>
                <c:pt idx="5">
                  <c:v>Impacto regional</c:v>
                </c:pt>
                <c:pt idx="6">
                  <c:v>Alianzas estratégicas</c:v>
                </c:pt>
                <c:pt idx="7">
                  <c:v>Resultado 2012</c:v>
                </c:pt>
              </c:strCache>
            </c:strRef>
          </c:cat>
          <c:val>
            <c:numRef>
              <c:f>Resumen!$E$59:$E$66</c:f>
              <c:numCache>
                <c:formatCode>0.00%</c:formatCode>
                <c:ptCount val="8"/>
                <c:pt idx="0">
                  <c:v>0.94804374948547465</c:v>
                </c:pt>
                <c:pt idx="1">
                  <c:v>0.95930280741897411</c:v>
                </c:pt>
                <c:pt idx="2">
                  <c:v>0.96837681159420308</c:v>
                </c:pt>
                <c:pt idx="3">
                  <c:v>0.87655892771680954</c:v>
                </c:pt>
                <c:pt idx="4">
                  <c:v>0.75944230769230769</c:v>
                </c:pt>
                <c:pt idx="5">
                  <c:v>0.94587500000000024</c:v>
                </c:pt>
                <c:pt idx="6">
                  <c:v>0.85060483870967774</c:v>
                </c:pt>
                <c:pt idx="7">
                  <c:v>0.90584249794884031</c:v>
                </c:pt>
              </c:numCache>
            </c:numRef>
          </c:val>
        </c:ser>
        <c:ser>
          <c:idx val="2"/>
          <c:order val="2"/>
          <c:tx>
            <c:strRef>
              <c:f>Resumen!$F$58</c:f>
              <c:strCache>
                <c:ptCount val="1"/>
                <c:pt idx="0">
                  <c:v>Resultado Ponderado</c:v>
                </c:pt>
              </c:strCache>
            </c:strRef>
          </c:tx>
          <c:invertIfNegative val="0"/>
          <c:cat>
            <c:strRef>
              <c:f>Resumen!$B$59:$B$66</c:f>
              <c:strCache>
                <c:ptCount val="8"/>
                <c:pt idx="0">
                  <c:v>Desarrollo institucional</c:v>
                </c:pt>
                <c:pt idx="1">
                  <c:v>Cobertura con calidad</c:v>
                </c:pt>
                <c:pt idx="2">
                  <c:v>Bienestar institucional</c:v>
                </c:pt>
                <c:pt idx="3">
                  <c:v>Investigación, innovación y extensión</c:v>
                </c:pt>
                <c:pt idx="4">
                  <c:v>Internacionalización</c:v>
                </c:pt>
                <c:pt idx="5">
                  <c:v>Impacto regional</c:v>
                </c:pt>
                <c:pt idx="6">
                  <c:v>Alianzas estratégicas</c:v>
                </c:pt>
                <c:pt idx="7">
                  <c:v>Resultado 2012</c:v>
                </c:pt>
              </c:strCache>
            </c:strRef>
          </c:cat>
          <c:val>
            <c:numRef>
              <c:f>Resumen!$F$59:$F$66</c:f>
            </c:numRef>
          </c:val>
          <c:shape val="box"/>
        </c:ser>
        <c:ser>
          <c:idx val="3"/>
          <c:order val="3"/>
          <c:tx>
            <c:strRef>
              <c:f>Resumen!$G$58</c:f>
              <c:strCache>
                <c:ptCount val="1"/>
                <c:pt idx="0">
                  <c:v>Resultado a Nivel de Proyectos</c:v>
                </c:pt>
              </c:strCache>
            </c:strRef>
          </c:tx>
          <c:spPr>
            <a:solidFill>
              <a:schemeClr val="lt1"/>
            </a:solidFill>
            <a:ln w="25400" cap="flat" cmpd="sng" algn="ctr">
              <a:solidFill>
                <a:schemeClr val="accent1"/>
              </a:solidFill>
              <a:prstDash val="solid"/>
            </a:ln>
            <a:effectLst/>
          </c:spPr>
          <c:invertIfNegative val="0"/>
          <c:dLbls>
            <c:txPr>
              <a:bodyPr/>
              <a:lstStyle/>
              <a:p>
                <a:pPr>
                  <a:defRPr b="1">
                    <a:solidFill>
                      <a:srgbClr val="7030A0"/>
                    </a:solidFill>
                  </a:defRPr>
                </a:pPr>
                <a:endParaRPr lang="es-CO"/>
              </a:p>
            </c:txPr>
            <c:showLegendKey val="0"/>
            <c:showVal val="1"/>
            <c:showCatName val="0"/>
            <c:showSerName val="0"/>
            <c:showPercent val="0"/>
            <c:showBubbleSize val="0"/>
            <c:showLeaderLines val="0"/>
          </c:dLbls>
          <c:cat>
            <c:strRef>
              <c:f>Resumen!$B$59:$B$66</c:f>
              <c:strCache>
                <c:ptCount val="8"/>
                <c:pt idx="0">
                  <c:v>Desarrollo institucional</c:v>
                </c:pt>
                <c:pt idx="1">
                  <c:v>Cobertura con calidad</c:v>
                </c:pt>
                <c:pt idx="2">
                  <c:v>Bienestar institucional</c:v>
                </c:pt>
                <c:pt idx="3">
                  <c:v>Investigación, innovación y extensión</c:v>
                </c:pt>
                <c:pt idx="4">
                  <c:v>Internacionalización</c:v>
                </c:pt>
                <c:pt idx="5">
                  <c:v>Impacto regional</c:v>
                </c:pt>
                <c:pt idx="6">
                  <c:v>Alianzas estratégicas</c:v>
                </c:pt>
                <c:pt idx="7">
                  <c:v>Resultado 2012</c:v>
                </c:pt>
              </c:strCache>
            </c:strRef>
          </c:cat>
          <c:val>
            <c:numRef>
              <c:f>Resumen!$G$59:$G$66</c:f>
              <c:numCache>
                <c:formatCode>0.00%</c:formatCode>
                <c:ptCount val="8"/>
                <c:pt idx="0">
                  <c:v>0.9219562499999997</c:v>
                </c:pt>
                <c:pt idx="1">
                  <c:v>0.9684316666666668</c:v>
                </c:pt>
                <c:pt idx="2">
                  <c:v>0.9345500000000001</c:v>
                </c:pt>
                <c:pt idx="3">
                  <c:v>0.88829655224662951</c:v>
                </c:pt>
                <c:pt idx="4">
                  <c:v>0.99940476190476157</c:v>
                </c:pt>
                <c:pt idx="5">
                  <c:v>0.98484848484848508</c:v>
                </c:pt>
                <c:pt idx="6">
                  <c:v>0.98984571428571455</c:v>
                </c:pt>
                <c:pt idx="7">
                  <c:v>0.94744863671134361</c:v>
                </c:pt>
              </c:numCache>
            </c:numRef>
          </c:val>
        </c:ser>
        <c:dLbls>
          <c:showLegendKey val="0"/>
          <c:showVal val="0"/>
          <c:showCatName val="0"/>
          <c:showSerName val="0"/>
          <c:showPercent val="0"/>
          <c:showBubbleSize val="0"/>
        </c:dLbls>
        <c:gapWidth val="150"/>
        <c:shape val="cylinder"/>
        <c:axId val="83655168"/>
        <c:axId val="245950144"/>
        <c:axId val="0"/>
      </c:bar3DChart>
      <c:catAx>
        <c:axId val="83655168"/>
        <c:scaling>
          <c:orientation val="maxMin"/>
        </c:scaling>
        <c:delete val="0"/>
        <c:axPos val="l"/>
        <c:majorTickMark val="out"/>
        <c:minorTickMark val="none"/>
        <c:tickLblPos val="nextTo"/>
        <c:txPr>
          <a:bodyPr/>
          <a:lstStyle/>
          <a:p>
            <a:pPr>
              <a:defRPr sz="1000" b="1"/>
            </a:pPr>
            <a:endParaRPr lang="es-CO"/>
          </a:p>
        </c:txPr>
        <c:crossAx val="245950144"/>
        <c:crosses val="autoZero"/>
        <c:auto val="1"/>
        <c:lblAlgn val="ctr"/>
        <c:lblOffset val="100"/>
        <c:noMultiLvlLbl val="0"/>
      </c:catAx>
      <c:valAx>
        <c:axId val="245950144"/>
        <c:scaling>
          <c:orientation val="minMax"/>
        </c:scaling>
        <c:delete val="1"/>
        <c:axPos val="t"/>
        <c:numFmt formatCode="0.00%" sourceLinked="1"/>
        <c:majorTickMark val="out"/>
        <c:minorTickMark val="none"/>
        <c:tickLblPos val="none"/>
        <c:crossAx val="83655168"/>
        <c:crosses val="autoZero"/>
        <c:crossBetween val="between"/>
      </c:valAx>
    </c:plotArea>
    <c:legend>
      <c:legendPos val="b"/>
      <c:overlay val="0"/>
    </c:legend>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35"/>
    </mc:Choice>
    <mc:Fallback>
      <c:style val="35"/>
    </mc:Fallback>
  </mc:AlternateContent>
  <c:chart>
    <c:autoTitleDeleted val="1"/>
    <c:view3D>
      <c:rotX val="15"/>
      <c:rotY val="20"/>
      <c:depthPercent val="100"/>
      <c:rAngAx val="1"/>
    </c:view3D>
    <c:floor>
      <c:thickness val="0"/>
    </c:floor>
    <c:side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sideWall>
    <c:back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backWall>
    <c:plotArea>
      <c:layout>
        <c:manualLayout>
          <c:layoutTarget val="inner"/>
          <c:xMode val="edge"/>
          <c:yMode val="edge"/>
          <c:x val="1.862940785096474E-2"/>
          <c:y val="9.968847352024926E-2"/>
          <c:w val="0.95209580838323382"/>
          <c:h val="0.69310471705055565"/>
        </c:manualLayout>
      </c:layout>
      <c:bar3DChart>
        <c:barDir val="col"/>
        <c:grouping val="clustered"/>
        <c:varyColors val="1"/>
        <c:ser>
          <c:idx val="0"/>
          <c:order val="0"/>
          <c:tx>
            <c:strRef>
              <c:f>Hoja1!$B$1</c:f>
              <c:strCache>
                <c:ptCount val="1"/>
                <c:pt idx="0">
                  <c:v>Columna2</c:v>
                </c:pt>
              </c:strCache>
            </c:strRef>
          </c:tx>
          <c:invertIfNegative val="0"/>
          <c:dLbls>
            <c:dLbl>
              <c:idx val="0"/>
              <c:layout>
                <c:manualLayout>
                  <c:x val="1.330671989354624E-2"/>
                  <c:y val="-3.7383177570093483E-2"/>
                </c:manualLayout>
              </c:layout>
              <c:showLegendKey val="0"/>
              <c:showVal val="1"/>
              <c:showCatName val="0"/>
              <c:showSerName val="0"/>
              <c:showPercent val="0"/>
              <c:showBubbleSize val="0"/>
            </c:dLbl>
            <c:dLbl>
              <c:idx val="1"/>
              <c:layout>
                <c:manualLayout>
                  <c:x val="1.3306719893546193E-2"/>
                  <c:y val="-1.8691588785046735E-2"/>
                </c:manualLayout>
              </c:layout>
              <c:showLegendKey val="0"/>
              <c:showVal val="1"/>
              <c:showCatName val="0"/>
              <c:showSerName val="0"/>
              <c:showPercent val="0"/>
              <c:showBubbleSize val="0"/>
            </c:dLbl>
            <c:dLbl>
              <c:idx val="2"/>
              <c:layout>
                <c:manualLayout>
                  <c:x val="1.862940785096474E-2"/>
                  <c:y val="-5.6075747540903179E-2"/>
                </c:manualLayout>
              </c:layout>
              <c:showLegendKey val="0"/>
              <c:showVal val="1"/>
              <c:showCatName val="0"/>
              <c:showSerName val="0"/>
              <c:showPercent val="0"/>
              <c:showBubbleSize val="0"/>
            </c:dLbl>
            <c:dLbl>
              <c:idx val="3"/>
              <c:layout>
                <c:manualLayout>
                  <c:x val="1.330671989354624E-2"/>
                  <c:y val="-1.8691588785046735E-2"/>
                </c:manualLayout>
              </c:layout>
              <c:showLegendKey val="0"/>
              <c:showVal val="1"/>
              <c:showCatName val="0"/>
              <c:showSerName val="0"/>
              <c:showPercent val="0"/>
              <c:showBubbleSize val="0"/>
            </c:dLbl>
            <c:txPr>
              <a:bodyPr/>
              <a:lstStyle/>
              <a:p>
                <a:pPr>
                  <a:defRPr sz="1100" b="1"/>
                </a:pPr>
                <a:endParaRPr lang="es-CO"/>
              </a:p>
            </c:txPr>
            <c:showLegendKey val="0"/>
            <c:showVal val="1"/>
            <c:showCatName val="0"/>
            <c:showSerName val="0"/>
            <c:showPercent val="0"/>
            <c:showBubbleSize val="0"/>
            <c:showLeaderLines val="0"/>
          </c:dLbls>
          <c:cat>
            <c:strRef>
              <c:f>Hoja1!$A$2:$A$5</c:f>
              <c:strCache>
                <c:ptCount val="4"/>
                <c:pt idx="0">
                  <c:v>Meta
2012</c:v>
                </c:pt>
                <c:pt idx="1">
                  <c:v>Avance
2012</c:v>
                </c:pt>
                <c:pt idx="2">
                  <c:v>% de
Cumplimiento</c:v>
                </c:pt>
                <c:pt idx="3">
                  <c:v>Meta
2013</c:v>
                </c:pt>
              </c:strCache>
            </c:strRef>
          </c:cat>
          <c:val>
            <c:numRef>
              <c:f>Hoja1!$B$2:$B$5</c:f>
              <c:numCache>
                <c:formatCode>0.00%</c:formatCode>
                <c:ptCount val="4"/>
                <c:pt idx="0">
                  <c:v>0.68400000000000005</c:v>
                </c:pt>
                <c:pt idx="1">
                  <c:v>0.67190000000000039</c:v>
                </c:pt>
                <c:pt idx="2">
                  <c:v>0.98230994152046758</c:v>
                </c:pt>
                <c:pt idx="3">
                  <c:v>0.5788000000000002</c:v>
                </c:pt>
              </c:numCache>
            </c:numRef>
          </c:val>
        </c:ser>
        <c:dLbls>
          <c:showLegendKey val="0"/>
          <c:showVal val="1"/>
          <c:showCatName val="0"/>
          <c:showSerName val="0"/>
          <c:showPercent val="0"/>
          <c:showBubbleSize val="0"/>
        </c:dLbls>
        <c:gapWidth val="150"/>
        <c:shape val="cylinder"/>
        <c:axId val="130304000"/>
        <c:axId val="245951872"/>
        <c:axId val="0"/>
      </c:bar3DChart>
      <c:catAx>
        <c:axId val="130304000"/>
        <c:scaling>
          <c:orientation val="minMax"/>
        </c:scaling>
        <c:delete val="0"/>
        <c:axPos val="b"/>
        <c:numFmt formatCode="General" sourceLinked="1"/>
        <c:majorTickMark val="none"/>
        <c:minorTickMark val="none"/>
        <c:tickLblPos val="nextTo"/>
        <c:txPr>
          <a:bodyPr/>
          <a:lstStyle/>
          <a:p>
            <a:pPr>
              <a:defRPr lang="es-ES" sz="1000" b="1"/>
            </a:pPr>
            <a:endParaRPr lang="es-CO"/>
          </a:p>
        </c:txPr>
        <c:crossAx val="245951872"/>
        <c:crosses val="autoZero"/>
        <c:auto val="1"/>
        <c:lblAlgn val="ctr"/>
        <c:lblOffset val="100"/>
        <c:noMultiLvlLbl val="0"/>
      </c:catAx>
      <c:valAx>
        <c:axId val="245951872"/>
        <c:scaling>
          <c:orientation val="minMax"/>
        </c:scaling>
        <c:delete val="1"/>
        <c:axPos val="l"/>
        <c:numFmt formatCode="0%" sourceLinked="0"/>
        <c:majorTickMark val="none"/>
        <c:minorTickMark val="none"/>
        <c:tickLblPos val="none"/>
        <c:crossAx val="130304000"/>
        <c:crosses val="autoZero"/>
        <c:crossBetween val="between"/>
      </c:valAx>
      <c:spPr>
        <a:noFill/>
        <a:ln w="19031">
          <a:noFill/>
        </a:ln>
      </c:spPr>
    </c:plotArea>
    <c:plotVisOnly val="1"/>
    <c:dispBlanksAs val="gap"/>
    <c:showDLblsOverMax val="0"/>
  </c:chart>
  <c:spPr>
    <a:ln>
      <a:noFill/>
    </a:ln>
  </c:spPr>
  <c:txPr>
    <a:bodyPr/>
    <a:lstStyle/>
    <a:p>
      <a:pPr>
        <a:defRPr sz="1352"/>
      </a:pPr>
      <a:endParaRPr lang="es-CO"/>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35"/>
    </mc:Choice>
    <mc:Fallback>
      <c:style val="35"/>
    </mc:Fallback>
  </mc:AlternateContent>
  <c:chart>
    <c:autoTitleDeleted val="1"/>
    <c:view3D>
      <c:rotX val="15"/>
      <c:rotY val="20"/>
      <c:depthPercent val="100"/>
      <c:rAngAx val="1"/>
    </c:view3D>
    <c:floor>
      <c:thickness val="0"/>
    </c:floor>
    <c:side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sideWall>
    <c:back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backWall>
    <c:plotArea>
      <c:layout/>
      <c:bar3DChart>
        <c:barDir val="col"/>
        <c:grouping val="clustered"/>
        <c:varyColors val="1"/>
        <c:ser>
          <c:idx val="0"/>
          <c:order val="0"/>
          <c:tx>
            <c:strRef>
              <c:f>Hoja1!$B$1</c:f>
              <c:strCache>
                <c:ptCount val="1"/>
                <c:pt idx="0">
                  <c:v>Columna2</c:v>
                </c:pt>
              </c:strCache>
            </c:strRef>
          </c:tx>
          <c:invertIfNegative val="0"/>
          <c:dLbls>
            <c:dLbl>
              <c:idx val="0"/>
              <c:layout>
                <c:manualLayout>
                  <c:x val="1.0645375914836998E-2"/>
                  <c:y val="-2.9143897996357013E-2"/>
                </c:manualLayout>
              </c:layout>
              <c:tx>
                <c:rich>
                  <a:bodyPr/>
                  <a:lstStyle/>
                  <a:p>
                    <a:r>
                      <a:rPr lang="en-US"/>
                      <a:t>56.62%</a:t>
                    </a:r>
                  </a:p>
                </c:rich>
              </c:tx>
              <c:showLegendKey val="0"/>
              <c:showVal val="1"/>
              <c:showCatName val="0"/>
              <c:showSerName val="0"/>
              <c:showPercent val="0"/>
              <c:showBubbleSize val="0"/>
            </c:dLbl>
            <c:dLbl>
              <c:idx val="1"/>
              <c:layout>
                <c:manualLayout>
                  <c:x val="7.9840319361277941E-3"/>
                  <c:y val="-2.1857923497267777E-2"/>
                </c:manualLayout>
              </c:layout>
              <c:showLegendKey val="0"/>
              <c:showVal val="1"/>
              <c:showCatName val="0"/>
              <c:showSerName val="0"/>
              <c:showPercent val="0"/>
              <c:showBubbleSize val="0"/>
            </c:dLbl>
            <c:dLbl>
              <c:idx val="2"/>
              <c:layout>
                <c:manualLayout>
                  <c:x val="1.0645375914836998E-2"/>
                  <c:y val="-2.1857923497267777E-2"/>
                </c:manualLayout>
              </c:layout>
              <c:showLegendKey val="0"/>
              <c:showVal val="1"/>
              <c:showCatName val="0"/>
              <c:showSerName val="0"/>
              <c:showPercent val="0"/>
              <c:showBubbleSize val="0"/>
            </c:dLbl>
            <c:dLbl>
              <c:idx val="3"/>
              <c:layout>
                <c:manualLayout>
                  <c:x val="1.0645375914836998E-2"/>
                  <c:y val="-2.1857923497267777E-2"/>
                </c:manualLayout>
              </c:layout>
              <c:showLegendKey val="0"/>
              <c:showVal val="1"/>
              <c:showCatName val="0"/>
              <c:showSerName val="0"/>
              <c:showPercent val="0"/>
              <c:showBubbleSize val="0"/>
            </c:dLbl>
            <c:txPr>
              <a:bodyPr/>
              <a:lstStyle/>
              <a:p>
                <a:pPr>
                  <a:defRPr sz="1050" b="1"/>
                </a:pPr>
                <a:endParaRPr lang="es-CO"/>
              </a:p>
            </c:txPr>
            <c:showLegendKey val="0"/>
            <c:showVal val="1"/>
            <c:showCatName val="0"/>
            <c:showSerName val="0"/>
            <c:showPercent val="0"/>
            <c:showBubbleSize val="0"/>
            <c:showLeaderLines val="0"/>
          </c:dLbls>
          <c:cat>
            <c:numRef>
              <c:f>Hoja1!$A$2:$A$5</c:f>
              <c:numCache>
                <c:formatCode>General</c:formatCode>
                <c:ptCount val="4"/>
                <c:pt idx="0">
                  <c:v>2009</c:v>
                </c:pt>
                <c:pt idx="1">
                  <c:v>2010</c:v>
                </c:pt>
                <c:pt idx="2">
                  <c:v>2011</c:v>
                </c:pt>
                <c:pt idx="3">
                  <c:v>2012</c:v>
                </c:pt>
              </c:numCache>
            </c:numRef>
          </c:cat>
          <c:val>
            <c:numRef>
              <c:f>Hoja1!$B$2:$B$5</c:f>
              <c:numCache>
                <c:formatCode>0.00%</c:formatCode>
                <c:ptCount val="4"/>
                <c:pt idx="0">
                  <c:v>0.56599999999999995</c:v>
                </c:pt>
                <c:pt idx="1">
                  <c:v>0.58539999999999981</c:v>
                </c:pt>
                <c:pt idx="2">
                  <c:v>0.55830000000000002</c:v>
                </c:pt>
                <c:pt idx="3">
                  <c:v>0.67190000000000039</c:v>
                </c:pt>
              </c:numCache>
            </c:numRef>
          </c:val>
        </c:ser>
        <c:dLbls>
          <c:showLegendKey val="0"/>
          <c:showVal val="0"/>
          <c:showCatName val="0"/>
          <c:showSerName val="0"/>
          <c:showPercent val="0"/>
          <c:showBubbleSize val="0"/>
        </c:dLbls>
        <c:gapWidth val="150"/>
        <c:shape val="cylinder"/>
        <c:axId val="145740800"/>
        <c:axId val="245953600"/>
        <c:axId val="0"/>
      </c:bar3DChart>
      <c:catAx>
        <c:axId val="145740800"/>
        <c:scaling>
          <c:orientation val="minMax"/>
        </c:scaling>
        <c:delete val="0"/>
        <c:axPos val="b"/>
        <c:numFmt formatCode="General" sourceLinked="1"/>
        <c:majorTickMark val="none"/>
        <c:minorTickMark val="none"/>
        <c:tickLblPos val="nextTo"/>
        <c:txPr>
          <a:bodyPr/>
          <a:lstStyle/>
          <a:p>
            <a:pPr>
              <a:defRPr lang="es-ES" sz="900" b="1"/>
            </a:pPr>
            <a:endParaRPr lang="es-CO"/>
          </a:p>
        </c:txPr>
        <c:crossAx val="245953600"/>
        <c:crosses val="autoZero"/>
        <c:auto val="1"/>
        <c:lblAlgn val="ctr"/>
        <c:lblOffset val="100"/>
        <c:noMultiLvlLbl val="0"/>
      </c:catAx>
      <c:valAx>
        <c:axId val="245953600"/>
        <c:scaling>
          <c:orientation val="minMax"/>
        </c:scaling>
        <c:delete val="1"/>
        <c:axPos val="l"/>
        <c:numFmt formatCode="0%" sourceLinked="0"/>
        <c:majorTickMark val="none"/>
        <c:minorTickMark val="none"/>
        <c:tickLblPos val="none"/>
        <c:crossAx val="145740800"/>
        <c:crosses val="autoZero"/>
        <c:crossBetween val="between"/>
      </c:valAx>
      <c:spPr>
        <a:noFill/>
        <a:ln w="19031">
          <a:noFill/>
        </a:ln>
      </c:spPr>
    </c:plotArea>
    <c:plotVisOnly val="1"/>
    <c:dispBlanksAs val="gap"/>
    <c:showDLblsOverMax val="0"/>
  </c:chart>
  <c:spPr>
    <a:ln>
      <a:noFill/>
    </a:ln>
  </c:spPr>
  <c:txPr>
    <a:bodyPr/>
    <a:lstStyle/>
    <a:p>
      <a:pPr>
        <a:defRPr sz="1352"/>
      </a:pPr>
      <a:endParaRPr lang="es-CO"/>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35"/>
    </mc:Choice>
    <mc:Fallback>
      <c:style val="35"/>
    </mc:Fallback>
  </mc:AlternateContent>
  <c:chart>
    <c:autoTitleDeleted val="1"/>
    <c:view3D>
      <c:rotX val="15"/>
      <c:rotY val="20"/>
      <c:depthPercent val="100"/>
      <c:rAngAx val="1"/>
    </c:view3D>
    <c:floor>
      <c:thickness val="0"/>
    </c:floor>
    <c:side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sideWall>
    <c:back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backWall>
    <c:plotArea>
      <c:layout/>
      <c:bar3DChart>
        <c:barDir val="col"/>
        <c:grouping val="clustered"/>
        <c:varyColors val="1"/>
        <c:ser>
          <c:idx val="0"/>
          <c:order val="0"/>
          <c:tx>
            <c:strRef>
              <c:f>Hoja1!$B$1</c:f>
              <c:strCache>
                <c:ptCount val="1"/>
                <c:pt idx="0">
                  <c:v>Columna2</c:v>
                </c:pt>
              </c:strCache>
            </c:strRef>
          </c:tx>
          <c:invertIfNegative val="0"/>
          <c:dLbls>
            <c:dLbl>
              <c:idx val="0"/>
              <c:layout>
                <c:manualLayout>
                  <c:x val="9.1324200913242039E-3"/>
                  <c:y val="-3.1152647975077889E-2"/>
                </c:manualLayout>
              </c:layout>
              <c:showLegendKey val="0"/>
              <c:showVal val="1"/>
              <c:showCatName val="0"/>
              <c:showSerName val="0"/>
              <c:showPercent val="0"/>
              <c:showBubbleSize val="0"/>
            </c:dLbl>
            <c:dLbl>
              <c:idx val="1"/>
              <c:layout>
                <c:manualLayout>
                  <c:x val="6.849315068493152E-3"/>
                  <c:y val="-2.4922118380062312E-2"/>
                </c:manualLayout>
              </c:layout>
              <c:showLegendKey val="0"/>
              <c:showVal val="1"/>
              <c:showCatName val="0"/>
              <c:showSerName val="0"/>
              <c:showPercent val="0"/>
              <c:showBubbleSize val="0"/>
            </c:dLbl>
            <c:dLbl>
              <c:idx val="2"/>
              <c:layout>
                <c:manualLayout>
                  <c:x val="6.849315068493152E-3"/>
                  <c:y val="-3.1152647975077889E-2"/>
                </c:manualLayout>
              </c:layout>
              <c:showLegendKey val="0"/>
              <c:showVal val="1"/>
              <c:showCatName val="0"/>
              <c:showSerName val="0"/>
              <c:showPercent val="0"/>
              <c:showBubbleSize val="0"/>
            </c:dLbl>
            <c:dLbl>
              <c:idx val="3"/>
              <c:layout>
                <c:manualLayout>
                  <c:x val="6.849315068493152E-3"/>
                  <c:y val="-3.1152647975077889E-2"/>
                </c:manualLayout>
              </c:layout>
              <c:showLegendKey val="0"/>
              <c:showVal val="1"/>
              <c:showCatName val="0"/>
              <c:showSerName val="0"/>
              <c:showPercent val="0"/>
              <c:showBubbleSize val="0"/>
            </c:dLbl>
            <c:dLbl>
              <c:idx val="4"/>
              <c:layout>
                <c:manualLayout>
                  <c:x val="4.5662100456621019E-3"/>
                  <c:y val="-2.4922118380062312E-2"/>
                </c:manualLayout>
              </c:layout>
              <c:showLegendKey val="0"/>
              <c:showVal val="1"/>
              <c:showCatName val="0"/>
              <c:showSerName val="0"/>
              <c:showPercent val="0"/>
              <c:showBubbleSize val="0"/>
            </c:dLbl>
            <c:dLbl>
              <c:idx val="5"/>
              <c:layout>
                <c:manualLayout>
                  <c:x val="1.1415525114155261E-2"/>
                  <c:y val="-3.738317757009349E-2"/>
                </c:manualLayout>
              </c:layout>
              <c:tx>
                <c:rich>
                  <a:bodyPr/>
                  <a:lstStyle/>
                  <a:p>
                    <a:r>
                      <a:rPr lang="en-US"/>
                      <a:t>100%</a:t>
                    </a:r>
                  </a:p>
                </c:rich>
              </c:tx>
              <c:showLegendKey val="0"/>
              <c:showVal val="1"/>
              <c:showCatName val="0"/>
              <c:showSerName val="0"/>
              <c:showPercent val="0"/>
              <c:showBubbleSize val="0"/>
            </c:dLbl>
            <c:txPr>
              <a:bodyPr/>
              <a:lstStyle/>
              <a:p>
                <a:pPr>
                  <a:defRPr b="1"/>
                </a:pPr>
                <a:endParaRPr lang="es-CO"/>
              </a:p>
            </c:txPr>
            <c:showLegendKey val="0"/>
            <c:showVal val="1"/>
            <c:showCatName val="0"/>
            <c:showSerName val="0"/>
            <c:showPercent val="0"/>
            <c:showBubbleSize val="0"/>
            <c:showLeaderLines val="0"/>
          </c:dLbls>
          <c:cat>
            <c:strRef>
              <c:f>Hoja1!$A$2:$A$7</c:f>
              <c:strCache>
                <c:ptCount val="6"/>
                <c:pt idx="0">
                  <c:v>Año 2009</c:v>
                </c:pt>
                <c:pt idx="1">
                  <c:v>Año 2010</c:v>
                </c:pt>
                <c:pt idx="2">
                  <c:v>Año 2011</c:v>
                </c:pt>
                <c:pt idx="3">
                  <c:v>Año 2012</c:v>
                </c:pt>
                <c:pt idx="4">
                  <c:v>Meta 2012</c:v>
                </c:pt>
                <c:pt idx="5">
                  <c:v>% cumplimiento 2012</c:v>
                </c:pt>
              </c:strCache>
            </c:strRef>
          </c:cat>
          <c:val>
            <c:numRef>
              <c:f>Hoja1!$B$2:$B$7</c:f>
              <c:numCache>
                <c:formatCode>General</c:formatCode>
                <c:ptCount val="6"/>
                <c:pt idx="0" formatCode="0.00">
                  <c:v>2</c:v>
                </c:pt>
                <c:pt idx="1">
                  <c:v>2.12</c:v>
                </c:pt>
                <c:pt idx="2">
                  <c:v>2.19</c:v>
                </c:pt>
                <c:pt idx="3" formatCode="0.00">
                  <c:v>2.27</c:v>
                </c:pt>
                <c:pt idx="4" formatCode="0.00">
                  <c:v>2.2200000000000002</c:v>
                </c:pt>
                <c:pt idx="5" formatCode="0.00">
                  <c:v>2.27</c:v>
                </c:pt>
              </c:numCache>
            </c:numRef>
          </c:val>
        </c:ser>
        <c:dLbls>
          <c:showLegendKey val="0"/>
          <c:showVal val="1"/>
          <c:showCatName val="0"/>
          <c:showSerName val="0"/>
          <c:showPercent val="0"/>
          <c:showBubbleSize val="0"/>
        </c:dLbls>
        <c:gapWidth val="150"/>
        <c:shape val="cylinder"/>
        <c:axId val="337768448"/>
        <c:axId val="245955904"/>
        <c:axId val="0"/>
      </c:bar3DChart>
      <c:catAx>
        <c:axId val="337768448"/>
        <c:scaling>
          <c:orientation val="minMax"/>
        </c:scaling>
        <c:delete val="0"/>
        <c:axPos val="b"/>
        <c:numFmt formatCode="General" sourceLinked="1"/>
        <c:majorTickMark val="none"/>
        <c:minorTickMark val="none"/>
        <c:tickLblPos val="nextTo"/>
        <c:crossAx val="245955904"/>
        <c:crosses val="autoZero"/>
        <c:auto val="1"/>
        <c:lblAlgn val="ctr"/>
        <c:lblOffset val="100"/>
        <c:noMultiLvlLbl val="0"/>
      </c:catAx>
      <c:valAx>
        <c:axId val="245955904"/>
        <c:scaling>
          <c:orientation val="minMax"/>
        </c:scaling>
        <c:delete val="1"/>
        <c:axPos val="l"/>
        <c:numFmt formatCode="0%" sourceLinked="0"/>
        <c:majorTickMark val="none"/>
        <c:minorTickMark val="none"/>
        <c:tickLblPos val="none"/>
        <c:crossAx val="337768448"/>
        <c:crosses val="autoZero"/>
        <c:crossBetween val="between"/>
      </c:valAx>
      <c:spPr>
        <a:noFill/>
        <a:ln w="19031">
          <a:noFill/>
        </a:ln>
      </c:spPr>
    </c:plotArea>
    <c:plotVisOnly val="1"/>
    <c:dispBlanksAs val="gap"/>
    <c:showDLblsOverMax val="0"/>
  </c:chart>
  <c:spPr>
    <a:ln>
      <a:noFill/>
    </a:ln>
  </c:spPr>
  <c:txPr>
    <a:bodyPr/>
    <a:lstStyle/>
    <a:p>
      <a:pPr>
        <a:defRPr sz="900" b="0"/>
      </a:pPr>
      <a:endParaRPr lang="es-CO"/>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35"/>
    </mc:Choice>
    <mc:Fallback>
      <c:style val="35"/>
    </mc:Fallback>
  </mc:AlternateContent>
  <c:chart>
    <c:autoTitleDeleted val="1"/>
    <c:view3D>
      <c:rotX val="15"/>
      <c:rotY val="20"/>
      <c:depthPercent val="100"/>
      <c:rAngAx val="1"/>
    </c:view3D>
    <c:floor>
      <c:thickness val="0"/>
    </c:floor>
    <c:side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sideWall>
    <c:back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backWall>
    <c:plotArea>
      <c:layout/>
      <c:bar3DChart>
        <c:barDir val="col"/>
        <c:grouping val="clustered"/>
        <c:varyColors val="1"/>
        <c:ser>
          <c:idx val="0"/>
          <c:order val="0"/>
          <c:tx>
            <c:strRef>
              <c:f>Hoja1!$B$1</c:f>
              <c:strCache>
                <c:ptCount val="1"/>
                <c:pt idx="0">
                  <c:v>Columna2</c:v>
                </c:pt>
              </c:strCache>
            </c:strRef>
          </c:tx>
          <c:invertIfNegative val="0"/>
          <c:dLbls>
            <c:dLbl>
              <c:idx val="0"/>
              <c:layout>
                <c:manualLayout>
                  <c:x val="6.711409395973182E-3"/>
                  <c:y val="-1.8779342723004668E-2"/>
                </c:manualLayout>
              </c:layout>
              <c:tx>
                <c:rich>
                  <a:bodyPr/>
                  <a:lstStyle/>
                  <a:p>
                    <a:r>
                      <a:rPr lang="en-US"/>
                      <a:t>61.41</a:t>
                    </a:r>
                  </a:p>
                </c:rich>
              </c:tx>
              <c:showLegendKey val="0"/>
              <c:showVal val="1"/>
              <c:showCatName val="0"/>
              <c:showSerName val="0"/>
              <c:showPercent val="0"/>
              <c:showBubbleSize val="0"/>
            </c:dLbl>
            <c:dLbl>
              <c:idx val="1"/>
              <c:layout>
                <c:manualLayout>
                  <c:x val="1.1185682326621921E-2"/>
                  <c:y val="-1.8779342723004668E-2"/>
                </c:manualLayout>
              </c:layout>
              <c:showLegendKey val="0"/>
              <c:showVal val="1"/>
              <c:showCatName val="0"/>
              <c:showSerName val="0"/>
              <c:showPercent val="0"/>
              <c:showBubbleSize val="0"/>
            </c:dLbl>
            <c:dLbl>
              <c:idx val="2"/>
              <c:layout>
                <c:manualLayout>
                  <c:x val="6.7114093959731612E-3"/>
                  <c:y val="-2.5039123630672941E-2"/>
                </c:manualLayout>
              </c:layout>
              <c:showLegendKey val="0"/>
              <c:showVal val="1"/>
              <c:showCatName val="0"/>
              <c:showSerName val="0"/>
              <c:showPercent val="0"/>
              <c:showBubbleSize val="0"/>
            </c:dLbl>
            <c:dLbl>
              <c:idx val="3"/>
              <c:layout>
                <c:manualLayout>
                  <c:x val="2.237136465324386E-3"/>
                  <c:y val="-2.5039123630672899E-2"/>
                </c:manualLayout>
              </c:layout>
              <c:tx>
                <c:rich>
                  <a:bodyPr/>
                  <a:lstStyle/>
                  <a:p>
                    <a:r>
                      <a:rPr lang="en-US"/>
                      <a:t>61.41</a:t>
                    </a:r>
                  </a:p>
                </c:rich>
              </c:tx>
              <c:showLegendKey val="0"/>
              <c:showVal val="1"/>
              <c:showCatName val="0"/>
              <c:showSerName val="0"/>
              <c:showPercent val="0"/>
              <c:showBubbleSize val="0"/>
            </c:dLbl>
            <c:dLbl>
              <c:idx val="4"/>
              <c:layout>
                <c:manualLayout>
                  <c:x val="1.118568232662184E-2"/>
                  <c:y val="-1.8779342723004692E-2"/>
                </c:manualLayout>
              </c:layout>
              <c:showLegendKey val="0"/>
              <c:showVal val="1"/>
              <c:showCatName val="0"/>
              <c:showSerName val="0"/>
              <c:showPercent val="0"/>
              <c:showBubbleSize val="0"/>
            </c:dLbl>
            <c:dLbl>
              <c:idx val="5"/>
              <c:layout>
                <c:manualLayout>
                  <c:x val="1.1185682326621921E-2"/>
                  <c:y val="-2.5039123630672941E-2"/>
                </c:manualLayout>
              </c:layout>
              <c:tx>
                <c:rich>
                  <a:bodyPr/>
                  <a:lstStyle/>
                  <a:p>
                    <a:r>
                      <a:rPr lang="en-US"/>
                      <a:t>100%</a:t>
                    </a:r>
                  </a:p>
                </c:rich>
              </c:tx>
              <c:showLegendKey val="0"/>
              <c:showVal val="1"/>
              <c:showCatName val="0"/>
              <c:showSerName val="0"/>
              <c:showPercent val="0"/>
              <c:showBubbleSize val="0"/>
            </c:dLbl>
            <c:txPr>
              <a:bodyPr/>
              <a:lstStyle/>
              <a:p>
                <a:pPr>
                  <a:defRPr b="1"/>
                </a:pPr>
                <a:endParaRPr lang="es-CO"/>
              </a:p>
            </c:txPr>
            <c:showLegendKey val="0"/>
            <c:showVal val="1"/>
            <c:showCatName val="0"/>
            <c:showSerName val="0"/>
            <c:showPercent val="0"/>
            <c:showBubbleSize val="0"/>
            <c:showLeaderLines val="0"/>
          </c:dLbls>
          <c:cat>
            <c:strRef>
              <c:f>Hoja1!$A$2:$A$7</c:f>
              <c:strCache>
                <c:ptCount val="6"/>
                <c:pt idx="0">
                  <c:v>Año 2009</c:v>
                </c:pt>
                <c:pt idx="1">
                  <c:v>Año 2010</c:v>
                </c:pt>
                <c:pt idx="2">
                  <c:v>Año 2011</c:v>
                </c:pt>
                <c:pt idx="3">
                  <c:v>Año 2012</c:v>
                </c:pt>
                <c:pt idx="4">
                  <c:v>Meta 2012</c:v>
                </c:pt>
                <c:pt idx="5">
                  <c:v>% cumplimiento 2012</c:v>
                </c:pt>
              </c:strCache>
            </c:strRef>
          </c:cat>
          <c:val>
            <c:numRef>
              <c:f>Hoja1!$B$2:$B$7</c:f>
              <c:numCache>
                <c:formatCode>0.00</c:formatCode>
                <c:ptCount val="6"/>
                <c:pt idx="0">
                  <c:v>61</c:v>
                </c:pt>
                <c:pt idx="1">
                  <c:v>61.4</c:v>
                </c:pt>
                <c:pt idx="2" formatCode="General">
                  <c:v>61.41</c:v>
                </c:pt>
                <c:pt idx="3">
                  <c:v>59.4</c:v>
                </c:pt>
                <c:pt idx="4">
                  <c:v>61.41</c:v>
                </c:pt>
                <c:pt idx="5">
                  <c:v>100</c:v>
                </c:pt>
              </c:numCache>
            </c:numRef>
          </c:val>
        </c:ser>
        <c:dLbls>
          <c:showLegendKey val="0"/>
          <c:showVal val="1"/>
          <c:showCatName val="0"/>
          <c:showSerName val="0"/>
          <c:showPercent val="0"/>
          <c:showBubbleSize val="0"/>
        </c:dLbls>
        <c:gapWidth val="150"/>
        <c:shape val="cylinder"/>
        <c:axId val="337814528"/>
        <c:axId val="292422208"/>
        <c:axId val="0"/>
      </c:bar3DChart>
      <c:catAx>
        <c:axId val="337814528"/>
        <c:scaling>
          <c:orientation val="minMax"/>
        </c:scaling>
        <c:delete val="0"/>
        <c:axPos val="b"/>
        <c:numFmt formatCode="General" sourceLinked="1"/>
        <c:majorTickMark val="none"/>
        <c:minorTickMark val="none"/>
        <c:tickLblPos val="nextTo"/>
        <c:txPr>
          <a:bodyPr/>
          <a:lstStyle/>
          <a:p>
            <a:pPr>
              <a:defRPr sz="900"/>
            </a:pPr>
            <a:endParaRPr lang="es-CO"/>
          </a:p>
        </c:txPr>
        <c:crossAx val="292422208"/>
        <c:crosses val="autoZero"/>
        <c:auto val="1"/>
        <c:lblAlgn val="ctr"/>
        <c:lblOffset val="100"/>
        <c:noMultiLvlLbl val="0"/>
      </c:catAx>
      <c:valAx>
        <c:axId val="292422208"/>
        <c:scaling>
          <c:orientation val="minMax"/>
        </c:scaling>
        <c:delete val="1"/>
        <c:axPos val="l"/>
        <c:numFmt formatCode="0%" sourceLinked="0"/>
        <c:majorTickMark val="none"/>
        <c:minorTickMark val="none"/>
        <c:tickLblPos val="none"/>
        <c:crossAx val="337814528"/>
        <c:crosses val="autoZero"/>
        <c:crossBetween val="between"/>
      </c:valAx>
      <c:spPr>
        <a:noFill/>
        <a:ln w="19031">
          <a:noFill/>
        </a:ln>
      </c:spPr>
    </c:plotArea>
    <c:plotVisOnly val="1"/>
    <c:dispBlanksAs val="gap"/>
    <c:showDLblsOverMax val="0"/>
  </c:chart>
  <c:spPr>
    <a:ln>
      <a:noFill/>
    </a:ln>
  </c:spPr>
  <c:txPr>
    <a:bodyPr/>
    <a:lstStyle/>
    <a:p>
      <a:pPr>
        <a:defRPr sz="900" b="0"/>
      </a:pPr>
      <a:endParaRPr lang="es-CO"/>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35"/>
    </mc:Choice>
    <mc:Fallback>
      <c:style val="35"/>
    </mc:Fallback>
  </mc:AlternateContent>
  <c:chart>
    <c:autoTitleDeleted val="1"/>
    <c:view3D>
      <c:rotX val="15"/>
      <c:rotY val="20"/>
      <c:depthPercent val="100"/>
      <c:rAngAx val="1"/>
    </c:view3D>
    <c:floor>
      <c:thickness val="0"/>
    </c:floor>
    <c:side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sideWall>
    <c:back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backWall>
    <c:plotArea>
      <c:layout>
        <c:manualLayout>
          <c:layoutTarget val="inner"/>
          <c:xMode val="edge"/>
          <c:yMode val="edge"/>
          <c:x val="9.3051691891806981E-2"/>
          <c:y val="6.8376068376068383E-2"/>
          <c:w val="0.86170546047013619"/>
          <c:h val="0.77300329766471543"/>
        </c:manualLayout>
      </c:layout>
      <c:bar3DChart>
        <c:barDir val="col"/>
        <c:grouping val="clustered"/>
        <c:varyColors val="1"/>
        <c:ser>
          <c:idx val="0"/>
          <c:order val="0"/>
          <c:tx>
            <c:strRef>
              <c:f>Hoja1!$B$1</c:f>
              <c:strCache>
                <c:ptCount val="1"/>
                <c:pt idx="0">
                  <c:v>Columna2</c:v>
                </c:pt>
              </c:strCache>
            </c:strRef>
          </c:tx>
          <c:invertIfNegative val="0"/>
          <c:dPt>
            <c:idx val="0"/>
            <c:invertIfNegative val="0"/>
            <c:bubble3D val="0"/>
            <c:spPr>
              <a:solidFill>
                <a:srgbClr val="FF9900"/>
              </a:solidFill>
            </c:spPr>
          </c:dPt>
          <c:dPt>
            <c:idx val="1"/>
            <c:invertIfNegative val="0"/>
            <c:bubble3D val="0"/>
            <c:spPr>
              <a:solidFill>
                <a:srgbClr val="92D050"/>
              </a:solidFill>
            </c:spPr>
          </c:dPt>
          <c:dPt>
            <c:idx val="2"/>
            <c:invertIfNegative val="0"/>
            <c:bubble3D val="0"/>
            <c:spPr>
              <a:solidFill>
                <a:srgbClr val="9966FF">
                  <a:alpha val="93000"/>
                </a:srgbClr>
              </a:solidFill>
            </c:spPr>
          </c:dPt>
          <c:dPt>
            <c:idx val="3"/>
            <c:invertIfNegative val="0"/>
            <c:bubble3D val="0"/>
            <c:spPr>
              <a:solidFill>
                <a:schemeClr val="tx2">
                  <a:lumMod val="60000"/>
                  <a:lumOff val="40000"/>
                </a:schemeClr>
              </a:solidFill>
            </c:spPr>
          </c:dPt>
          <c:dLbls>
            <c:dLbl>
              <c:idx val="0"/>
              <c:layout>
                <c:manualLayout>
                  <c:x val="1.0645375914836998E-2"/>
                  <c:y val="0.17094017094017094"/>
                </c:manualLayout>
              </c:layout>
              <c:tx>
                <c:rich>
                  <a:bodyPr/>
                  <a:lstStyle/>
                  <a:p>
                    <a:r>
                      <a:rPr lang="en-US"/>
                      <a:t>100%</a:t>
                    </a:r>
                  </a:p>
                </c:rich>
              </c:tx>
              <c:showLegendKey val="0"/>
              <c:showVal val="1"/>
              <c:showCatName val="0"/>
              <c:showSerName val="0"/>
              <c:showPercent val="0"/>
              <c:showBubbleSize val="0"/>
            </c:dLbl>
            <c:dLbl>
              <c:idx val="1"/>
              <c:layout>
                <c:manualLayout>
                  <c:x val="1.5968063872255488E-2"/>
                  <c:y val="0.1641025641025641"/>
                </c:manualLayout>
              </c:layout>
              <c:showLegendKey val="0"/>
              <c:showVal val="1"/>
              <c:showCatName val="0"/>
              <c:showSerName val="0"/>
              <c:showPercent val="0"/>
              <c:showBubbleSize val="0"/>
            </c:dLbl>
            <c:dLbl>
              <c:idx val="2"/>
              <c:layout>
                <c:manualLayout>
                  <c:x val="1.5968063872255488E-2"/>
                  <c:y val="0.1641025641025641"/>
                </c:manualLayout>
              </c:layout>
              <c:showLegendKey val="0"/>
              <c:showVal val="1"/>
              <c:showCatName val="0"/>
              <c:showSerName val="0"/>
              <c:showPercent val="0"/>
              <c:showBubbleSize val="0"/>
            </c:dLbl>
            <c:dLbl>
              <c:idx val="3"/>
              <c:layout>
                <c:manualLayout>
                  <c:x val="1.5968063872255488E-2"/>
                  <c:y val="0.16410256410256413"/>
                </c:manualLayout>
              </c:layout>
              <c:showLegendKey val="0"/>
              <c:showVal val="1"/>
              <c:showCatName val="0"/>
              <c:showSerName val="0"/>
              <c:showPercent val="0"/>
              <c:showBubbleSize val="0"/>
            </c:dLbl>
            <c:txPr>
              <a:bodyPr/>
              <a:lstStyle/>
              <a:p>
                <a:pPr>
                  <a:defRPr sz="900" b="1"/>
                </a:pPr>
                <a:endParaRPr lang="es-CO"/>
              </a:p>
            </c:txPr>
            <c:showLegendKey val="0"/>
            <c:showVal val="1"/>
            <c:showCatName val="0"/>
            <c:showSerName val="0"/>
            <c:showPercent val="0"/>
            <c:showBubbleSize val="0"/>
            <c:showLeaderLines val="0"/>
          </c:dLbls>
          <c:cat>
            <c:numRef>
              <c:f>Hoja1!$A$2:$A$5</c:f>
              <c:numCache>
                <c:formatCode>General</c:formatCode>
                <c:ptCount val="4"/>
                <c:pt idx="0">
                  <c:v>2009</c:v>
                </c:pt>
                <c:pt idx="1">
                  <c:v>2010</c:v>
                </c:pt>
                <c:pt idx="2">
                  <c:v>2011</c:v>
                </c:pt>
                <c:pt idx="3">
                  <c:v>2012</c:v>
                </c:pt>
              </c:numCache>
            </c:numRef>
          </c:cat>
          <c:val>
            <c:numRef>
              <c:f>Hoja1!$B$2:$B$5</c:f>
              <c:numCache>
                <c:formatCode>0.00%</c:formatCode>
                <c:ptCount val="4"/>
                <c:pt idx="0">
                  <c:v>1</c:v>
                </c:pt>
                <c:pt idx="1">
                  <c:v>0.98460000000000003</c:v>
                </c:pt>
                <c:pt idx="2">
                  <c:v>0.98060000000000003</c:v>
                </c:pt>
                <c:pt idx="3">
                  <c:v>1.006</c:v>
                </c:pt>
              </c:numCache>
            </c:numRef>
          </c:val>
        </c:ser>
        <c:dLbls>
          <c:showLegendKey val="0"/>
          <c:showVal val="0"/>
          <c:showCatName val="0"/>
          <c:showSerName val="0"/>
          <c:showPercent val="0"/>
          <c:showBubbleSize val="0"/>
        </c:dLbls>
        <c:gapWidth val="85"/>
        <c:shape val="cylinder"/>
        <c:axId val="337815040"/>
        <c:axId val="292423360"/>
        <c:axId val="0"/>
      </c:bar3DChart>
      <c:catAx>
        <c:axId val="337815040"/>
        <c:scaling>
          <c:orientation val="minMax"/>
        </c:scaling>
        <c:delete val="0"/>
        <c:axPos val="b"/>
        <c:numFmt formatCode="General" sourceLinked="1"/>
        <c:majorTickMark val="none"/>
        <c:minorTickMark val="none"/>
        <c:tickLblPos val="nextTo"/>
        <c:txPr>
          <a:bodyPr/>
          <a:lstStyle/>
          <a:p>
            <a:pPr>
              <a:defRPr lang="es-ES" sz="900" b="1"/>
            </a:pPr>
            <a:endParaRPr lang="es-CO"/>
          </a:p>
        </c:txPr>
        <c:crossAx val="292423360"/>
        <c:crosses val="autoZero"/>
        <c:auto val="1"/>
        <c:lblAlgn val="ctr"/>
        <c:lblOffset val="100"/>
        <c:noMultiLvlLbl val="0"/>
      </c:catAx>
      <c:valAx>
        <c:axId val="292423360"/>
        <c:scaling>
          <c:orientation val="minMax"/>
          <c:max val="1"/>
          <c:min val="0"/>
        </c:scaling>
        <c:delete val="0"/>
        <c:axPos val="l"/>
        <c:numFmt formatCode="0%" sourceLinked="0"/>
        <c:majorTickMark val="out"/>
        <c:minorTickMark val="none"/>
        <c:tickLblPos val="nextTo"/>
        <c:txPr>
          <a:bodyPr/>
          <a:lstStyle/>
          <a:p>
            <a:pPr>
              <a:defRPr sz="900"/>
            </a:pPr>
            <a:endParaRPr lang="es-CO"/>
          </a:p>
        </c:txPr>
        <c:crossAx val="337815040"/>
        <c:crosses val="autoZero"/>
        <c:crossBetween val="between"/>
      </c:valAx>
      <c:spPr>
        <a:noFill/>
        <a:ln w="19031">
          <a:noFill/>
        </a:ln>
      </c:spPr>
    </c:plotArea>
    <c:plotVisOnly val="1"/>
    <c:dispBlanksAs val="gap"/>
    <c:showDLblsOverMax val="0"/>
  </c:chart>
  <c:spPr>
    <a:ln>
      <a:noFill/>
    </a:ln>
  </c:spPr>
  <c:txPr>
    <a:bodyPr/>
    <a:lstStyle/>
    <a:p>
      <a:pPr>
        <a:defRPr sz="1352"/>
      </a:pPr>
      <a:endParaRPr lang="es-CO"/>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35"/>
    </mc:Choice>
    <mc:Fallback>
      <c:style val="35"/>
    </mc:Fallback>
  </mc:AlternateContent>
  <c:chart>
    <c:autoTitleDeleted val="1"/>
    <c:view3D>
      <c:rotX val="15"/>
      <c:rotY val="20"/>
      <c:depthPercent val="100"/>
      <c:rAngAx val="1"/>
    </c:view3D>
    <c:floor>
      <c:thickness val="0"/>
    </c:floor>
    <c:side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sideWall>
    <c:back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backWall>
    <c:plotArea>
      <c:layout/>
      <c:bar3DChart>
        <c:barDir val="col"/>
        <c:grouping val="clustered"/>
        <c:varyColors val="1"/>
        <c:ser>
          <c:idx val="0"/>
          <c:order val="0"/>
          <c:tx>
            <c:strRef>
              <c:f>Hoja1!$B$1</c:f>
              <c:strCache>
                <c:ptCount val="1"/>
                <c:pt idx="0">
                  <c:v>Columna2</c:v>
                </c:pt>
              </c:strCache>
            </c:strRef>
          </c:tx>
          <c:invertIfNegative val="0"/>
          <c:dPt>
            <c:idx val="0"/>
            <c:invertIfNegative val="0"/>
            <c:bubble3D val="0"/>
            <c:spPr>
              <a:solidFill>
                <a:srgbClr val="FF9900"/>
              </a:solidFill>
            </c:spPr>
          </c:dPt>
          <c:dPt>
            <c:idx val="1"/>
            <c:invertIfNegative val="0"/>
            <c:bubble3D val="0"/>
            <c:spPr>
              <a:solidFill>
                <a:srgbClr val="92D050"/>
              </a:solidFill>
            </c:spPr>
          </c:dPt>
          <c:dPt>
            <c:idx val="2"/>
            <c:invertIfNegative val="0"/>
            <c:bubble3D val="0"/>
            <c:spPr>
              <a:solidFill>
                <a:srgbClr val="9966FF">
                  <a:alpha val="97000"/>
                </a:srgbClr>
              </a:solidFill>
            </c:spPr>
          </c:dPt>
          <c:dPt>
            <c:idx val="3"/>
            <c:invertIfNegative val="0"/>
            <c:bubble3D val="0"/>
            <c:spPr>
              <a:solidFill>
                <a:schemeClr val="tx2">
                  <a:lumMod val="60000"/>
                  <a:lumOff val="40000"/>
                </a:schemeClr>
              </a:solidFill>
            </c:spPr>
          </c:dPt>
          <c:dLbls>
            <c:dLbl>
              <c:idx val="0"/>
              <c:layout>
                <c:manualLayout>
                  <c:x val="1.5968063872255488E-2"/>
                  <c:y val="0.24772313296903473"/>
                </c:manualLayout>
              </c:layout>
              <c:showLegendKey val="0"/>
              <c:showVal val="1"/>
              <c:showCatName val="0"/>
              <c:showSerName val="0"/>
              <c:showPercent val="0"/>
              <c:showBubbleSize val="0"/>
            </c:dLbl>
            <c:dLbl>
              <c:idx val="1"/>
              <c:layout>
                <c:manualLayout>
                  <c:x val="1.5968063872255536E-2"/>
                  <c:y val="0.25500910746812377"/>
                </c:manualLayout>
              </c:layout>
              <c:showLegendKey val="0"/>
              <c:showVal val="1"/>
              <c:showCatName val="0"/>
              <c:showSerName val="0"/>
              <c:showPercent val="0"/>
              <c:showBubbleSize val="0"/>
            </c:dLbl>
            <c:dLbl>
              <c:idx val="2"/>
              <c:layout>
                <c:manualLayout>
                  <c:x val="2.1290751829673996E-2"/>
                  <c:y val="0.31329690346083788"/>
                </c:manualLayout>
              </c:layout>
              <c:showLegendKey val="0"/>
              <c:showVal val="1"/>
              <c:showCatName val="0"/>
              <c:showSerName val="0"/>
              <c:showPercent val="0"/>
              <c:showBubbleSize val="0"/>
            </c:dLbl>
            <c:dLbl>
              <c:idx val="3"/>
              <c:layout>
                <c:manualLayout>
                  <c:x val="1.862940785096474E-2"/>
                  <c:y val="0.29872495446265951"/>
                </c:manualLayout>
              </c:layout>
              <c:showLegendKey val="0"/>
              <c:showVal val="1"/>
              <c:showCatName val="0"/>
              <c:showSerName val="0"/>
              <c:showPercent val="0"/>
              <c:showBubbleSize val="0"/>
            </c:dLbl>
            <c:txPr>
              <a:bodyPr/>
              <a:lstStyle/>
              <a:p>
                <a:pPr>
                  <a:defRPr sz="1050" b="1"/>
                </a:pPr>
                <a:endParaRPr lang="es-CO"/>
              </a:p>
            </c:txPr>
            <c:showLegendKey val="0"/>
            <c:showVal val="1"/>
            <c:showCatName val="0"/>
            <c:showSerName val="0"/>
            <c:showPercent val="0"/>
            <c:showBubbleSize val="0"/>
            <c:showLeaderLines val="0"/>
          </c:dLbls>
          <c:cat>
            <c:numRef>
              <c:f>Hoja1!$A$2:$A$5</c:f>
              <c:numCache>
                <c:formatCode>General</c:formatCode>
                <c:ptCount val="4"/>
                <c:pt idx="0">
                  <c:v>2009</c:v>
                </c:pt>
                <c:pt idx="1">
                  <c:v>2010</c:v>
                </c:pt>
                <c:pt idx="2">
                  <c:v>2011</c:v>
                </c:pt>
                <c:pt idx="3">
                  <c:v>2012</c:v>
                </c:pt>
              </c:numCache>
            </c:numRef>
          </c:cat>
          <c:val>
            <c:numRef>
              <c:f>Hoja1!$B$2:$B$5</c:f>
              <c:numCache>
                <c:formatCode>0.00%</c:formatCode>
                <c:ptCount val="4"/>
                <c:pt idx="0">
                  <c:v>0.87200000000000022</c:v>
                </c:pt>
                <c:pt idx="1">
                  <c:v>0.86670000000000025</c:v>
                </c:pt>
                <c:pt idx="2">
                  <c:v>0.98089999999999999</c:v>
                </c:pt>
                <c:pt idx="3">
                  <c:v>0.98870000000000002</c:v>
                </c:pt>
              </c:numCache>
            </c:numRef>
          </c:val>
        </c:ser>
        <c:dLbls>
          <c:showLegendKey val="0"/>
          <c:showVal val="0"/>
          <c:showCatName val="0"/>
          <c:showSerName val="0"/>
          <c:showPercent val="0"/>
          <c:showBubbleSize val="0"/>
        </c:dLbls>
        <c:gapWidth val="72"/>
        <c:shape val="cylinder"/>
        <c:axId val="147814400"/>
        <c:axId val="292425088"/>
        <c:axId val="0"/>
      </c:bar3DChart>
      <c:catAx>
        <c:axId val="147814400"/>
        <c:scaling>
          <c:orientation val="minMax"/>
        </c:scaling>
        <c:delete val="0"/>
        <c:axPos val="b"/>
        <c:numFmt formatCode="General" sourceLinked="1"/>
        <c:majorTickMark val="none"/>
        <c:minorTickMark val="none"/>
        <c:tickLblPos val="nextTo"/>
        <c:txPr>
          <a:bodyPr/>
          <a:lstStyle/>
          <a:p>
            <a:pPr>
              <a:defRPr lang="es-ES" sz="900" b="1"/>
            </a:pPr>
            <a:endParaRPr lang="es-CO"/>
          </a:p>
        </c:txPr>
        <c:crossAx val="292425088"/>
        <c:crosses val="autoZero"/>
        <c:auto val="1"/>
        <c:lblAlgn val="ctr"/>
        <c:lblOffset val="100"/>
        <c:noMultiLvlLbl val="0"/>
      </c:catAx>
      <c:valAx>
        <c:axId val="292425088"/>
        <c:scaling>
          <c:orientation val="minMax"/>
          <c:max val="1"/>
          <c:min val="0"/>
        </c:scaling>
        <c:delete val="0"/>
        <c:axPos val="l"/>
        <c:numFmt formatCode="0%" sourceLinked="0"/>
        <c:majorTickMark val="out"/>
        <c:minorTickMark val="none"/>
        <c:tickLblPos val="nextTo"/>
        <c:txPr>
          <a:bodyPr/>
          <a:lstStyle/>
          <a:p>
            <a:pPr>
              <a:defRPr sz="900"/>
            </a:pPr>
            <a:endParaRPr lang="es-CO"/>
          </a:p>
        </c:txPr>
        <c:crossAx val="147814400"/>
        <c:crosses val="autoZero"/>
        <c:crossBetween val="between"/>
      </c:valAx>
      <c:spPr>
        <a:noFill/>
        <a:ln w="19031">
          <a:noFill/>
        </a:ln>
      </c:spPr>
    </c:plotArea>
    <c:plotVisOnly val="1"/>
    <c:dispBlanksAs val="gap"/>
    <c:showDLblsOverMax val="0"/>
  </c:chart>
  <c:spPr>
    <a:ln>
      <a:noFill/>
    </a:ln>
  </c:spPr>
  <c:txPr>
    <a:bodyPr/>
    <a:lstStyle/>
    <a:p>
      <a:pPr>
        <a:defRPr sz="1352"/>
      </a:pPr>
      <a:endParaRPr lang="es-CO"/>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35"/>
    </mc:Choice>
    <mc:Fallback>
      <c:style val="35"/>
    </mc:Fallback>
  </mc:AlternateContent>
  <c:chart>
    <c:autoTitleDeleted val="1"/>
    <c:view3D>
      <c:rotX val="15"/>
      <c:rotY val="20"/>
      <c:depthPercent val="100"/>
      <c:rAngAx val="1"/>
    </c:view3D>
    <c:floor>
      <c:thickness val="0"/>
    </c:floor>
    <c:side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sideWall>
    <c:back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backWall>
    <c:plotArea>
      <c:layout/>
      <c:bar3DChart>
        <c:barDir val="col"/>
        <c:grouping val="clustered"/>
        <c:varyColors val="1"/>
        <c:ser>
          <c:idx val="0"/>
          <c:order val="0"/>
          <c:tx>
            <c:strRef>
              <c:f>Hoja1!$B$1</c:f>
              <c:strCache>
                <c:ptCount val="1"/>
                <c:pt idx="0">
                  <c:v>Columna2</c:v>
                </c:pt>
              </c:strCache>
            </c:strRef>
          </c:tx>
          <c:invertIfNegative val="0"/>
          <c:dPt>
            <c:idx val="0"/>
            <c:invertIfNegative val="0"/>
            <c:bubble3D val="0"/>
            <c:spPr>
              <a:solidFill>
                <a:srgbClr val="FF9900"/>
              </a:solidFill>
            </c:spPr>
          </c:dPt>
          <c:dPt>
            <c:idx val="1"/>
            <c:invertIfNegative val="0"/>
            <c:bubble3D val="0"/>
            <c:spPr>
              <a:solidFill>
                <a:srgbClr val="92D050"/>
              </a:solidFill>
            </c:spPr>
          </c:dPt>
          <c:dPt>
            <c:idx val="2"/>
            <c:invertIfNegative val="0"/>
            <c:bubble3D val="0"/>
            <c:spPr>
              <a:solidFill>
                <a:srgbClr val="9966FF"/>
              </a:solidFill>
            </c:spPr>
          </c:dPt>
          <c:dPt>
            <c:idx val="3"/>
            <c:invertIfNegative val="0"/>
            <c:bubble3D val="0"/>
            <c:spPr>
              <a:solidFill>
                <a:schemeClr val="tx2">
                  <a:lumMod val="60000"/>
                  <a:lumOff val="40000"/>
                </a:schemeClr>
              </a:solidFill>
            </c:spPr>
          </c:dPt>
          <c:dLbls>
            <c:dLbl>
              <c:idx val="0"/>
              <c:layout>
                <c:manualLayout>
                  <c:x val="1.862940785096474E-2"/>
                  <c:y val="0.26229508196721318"/>
                </c:manualLayout>
              </c:layout>
              <c:showLegendKey val="0"/>
              <c:showVal val="1"/>
              <c:showCatName val="0"/>
              <c:showSerName val="0"/>
              <c:showPercent val="0"/>
              <c:showBubbleSize val="0"/>
            </c:dLbl>
            <c:dLbl>
              <c:idx val="1"/>
              <c:layout>
                <c:manualLayout>
                  <c:x val="1.5968063872255536E-2"/>
                  <c:y val="0.34972677595628437"/>
                </c:manualLayout>
              </c:layout>
              <c:tx>
                <c:rich>
                  <a:bodyPr/>
                  <a:lstStyle/>
                  <a:p>
                    <a:r>
                      <a:rPr lang="en-US"/>
                      <a:t>100%</a:t>
                    </a:r>
                  </a:p>
                </c:rich>
              </c:tx>
              <c:showLegendKey val="0"/>
              <c:showVal val="1"/>
              <c:showCatName val="0"/>
              <c:showSerName val="0"/>
              <c:showPercent val="0"/>
              <c:showBubbleSize val="0"/>
            </c:dLbl>
            <c:dLbl>
              <c:idx val="2"/>
              <c:layout>
                <c:manualLayout>
                  <c:x val="1.5968063872255488E-2"/>
                  <c:y val="0.32786885245901648"/>
                </c:manualLayout>
              </c:layout>
              <c:tx>
                <c:rich>
                  <a:bodyPr/>
                  <a:lstStyle/>
                  <a:p>
                    <a:r>
                      <a:rPr lang="en-US"/>
                      <a:t>100%</a:t>
                    </a:r>
                  </a:p>
                </c:rich>
              </c:tx>
              <c:showLegendKey val="0"/>
              <c:showVal val="1"/>
              <c:showCatName val="0"/>
              <c:showSerName val="0"/>
              <c:showPercent val="0"/>
              <c:showBubbleSize val="0"/>
            </c:dLbl>
            <c:dLbl>
              <c:idx val="3"/>
              <c:layout>
                <c:manualLayout>
                  <c:x val="1.5968063872255488E-2"/>
                  <c:y val="0.28415300546448086"/>
                </c:manualLayout>
              </c:layout>
              <c:tx>
                <c:rich>
                  <a:bodyPr/>
                  <a:lstStyle/>
                  <a:p>
                    <a:r>
                      <a:rPr lang="en-US"/>
                      <a:t>92.69%</a:t>
                    </a:r>
                  </a:p>
                </c:rich>
              </c:tx>
              <c:showLegendKey val="0"/>
              <c:showVal val="1"/>
              <c:showCatName val="0"/>
              <c:showSerName val="0"/>
              <c:showPercent val="0"/>
              <c:showBubbleSize val="0"/>
            </c:dLbl>
            <c:txPr>
              <a:bodyPr/>
              <a:lstStyle/>
              <a:p>
                <a:pPr>
                  <a:defRPr sz="1050" b="1"/>
                </a:pPr>
                <a:endParaRPr lang="es-CO"/>
              </a:p>
            </c:txPr>
            <c:showLegendKey val="0"/>
            <c:showVal val="1"/>
            <c:showCatName val="0"/>
            <c:showSerName val="0"/>
            <c:showPercent val="0"/>
            <c:showBubbleSize val="0"/>
            <c:showLeaderLines val="0"/>
          </c:dLbls>
          <c:cat>
            <c:numRef>
              <c:f>Hoja1!$A$2:$A$5</c:f>
              <c:numCache>
                <c:formatCode>General</c:formatCode>
                <c:ptCount val="4"/>
                <c:pt idx="0">
                  <c:v>2009</c:v>
                </c:pt>
                <c:pt idx="1">
                  <c:v>2010</c:v>
                </c:pt>
                <c:pt idx="2">
                  <c:v>2011</c:v>
                </c:pt>
                <c:pt idx="3">
                  <c:v>2012</c:v>
                </c:pt>
              </c:numCache>
            </c:numRef>
          </c:cat>
          <c:val>
            <c:numRef>
              <c:f>Hoja1!$B$2:$B$5</c:f>
              <c:numCache>
                <c:formatCode>0.00%</c:formatCode>
                <c:ptCount val="4"/>
                <c:pt idx="0">
                  <c:v>0.78569999999999995</c:v>
                </c:pt>
                <c:pt idx="1">
                  <c:v>1</c:v>
                </c:pt>
                <c:pt idx="2">
                  <c:v>1</c:v>
                </c:pt>
                <c:pt idx="3">
                  <c:v>0.91700000000000004</c:v>
                </c:pt>
              </c:numCache>
            </c:numRef>
          </c:val>
        </c:ser>
        <c:dLbls>
          <c:showLegendKey val="0"/>
          <c:showVal val="0"/>
          <c:showCatName val="0"/>
          <c:showSerName val="0"/>
          <c:showPercent val="0"/>
          <c:showBubbleSize val="0"/>
        </c:dLbls>
        <c:gapWidth val="95"/>
        <c:shape val="cylinder"/>
        <c:axId val="147815936"/>
        <c:axId val="292426816"/>
        <c:axId val="0"/>
      </c:bar3DChart>
      <c:catAx>
        <c:axId val="147815936"/>
        <c:scaling>
          <c:orientation val="minMax"/>
        </c:scaling>
        <c:delete val="0"/>
        <c:axPos val="b"/>
        <c:numFmt formatCode="General" sourceLinked="1"/>
        <c:majorTickMark val="none"/>
        <c:minorTickMark val="none"/>
        <c:tickLblPos val="nextTo"/>
        <c:txPr>
          <a:bodyPr/>
          <a:lstStyle/>
          <a:p>
            <a:pPr>
              <a:defRPr lang="es-ES" sz="900" b="1"/>
            </a:pPr>
            <a:endParaRPr lang="es-CO"/>
          </a:p>
        </c:txPr>
        <c:crossAx val="292426816"/>
        <c:crosses val="autoZero"/>
        <c:auto val="1"/>
        <c:lblAlgn val="ctr"/>
        <c:lblOffset val="100"/>
        <c:noMultiLvlLbl val="0"/>
      </c:catAx>
      <c:valAx>
        <c:axId val="292426816"/>
        <c:scaling>
          <c:orientation val="minMax"/>
          <c:max val="1"/>
          <c:min val="0"/>
        </c:scaling>
        <c:delete val="0"/>
        <c:axPos val="l"/>
        <c:numFmt formatCode="0%" sourceLinked="0"/>
        <c:majorTickMark val="out"/>
        <c:minorTickMark val="none"/>
        <c:tickLblPos val="nextTo"/>
        <c:txPr>
          <a:bodyPr/>
          <a:lstStyle/>
          <a:p>
            <a:pPr>
              <a:defRPr sz="900"/>
            </a:pPr>
            <a:endParaRPr lang="es-CO"/>
          </a:p>
        </c:txPr>
        <c:crossAx val="147815936"/>
        <c:crosses val="autoZero"/>
        <c:crossBetween val="between"/>
      </c:valAx>
      <c:spPr>
        <a:noFill/>
        <a:ln w="19031">
          <a:noFill/>
        </a:ln>
      </c:spPr>
    </c:plotArea>
    <c:plotVisOnly val="1"/>
    <c:dispBlanksAs val="gap"/>
    <c:showDLblsOverMax val="0"/>
  </c:chart>
  <c:spPr>
    <a:ln>
      <a:noFill/>
    </a:ln>
  </c:spPr>
  <c:txPr>
    <a:bodyPr/>
    <a:lstStyle/>
    <a:p>
      <a:pPr>
        <a:defRPr sz="1352"/>
      </a:pPr>
      <a:endParaRPr lang="es-CO"/>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35"/>
    </mc:Choice>
    <mc:Fallback>
      <c:style val="35"/>
    </mc:Fallback>
  </mc:AlternateContent>
  <c:chart>
    <c:autoTitleDeleted val="1"/>
    <c:view3D>
      <c:rotX val="15"/>
      <c:rotY val="20"/>
      <c:depthPercent val="100"/>
      <c:rAngAx val="1"/>
    </c:view3D>
    <c:floor>
      <c:thickness val="0"/>
    </c:floor>
    <c:side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sideWall>
    <c:back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backWall>
    <c:plotArea>
      <c:layout/>
      <c:bar3DChart>
        <c:barDir val="col"/>
        <c:grouping val="clustered"/>
        <c:varyColors val="1"/>
        <c:ser>
          <c:idx val="0"/>
          <c:order val="0"/>
          <c:tx>
            <c:strRef>
              <c:f>Hoja1!$B$1</c:f>
              <c:strCache>
                <c:ptCount val="1"/>
                <c:pt idx="0">
                  <c:v>Columna2</c:v>
                </c:pt>
              </c:strCache>
            </c:strRef>
          </c:tx>
          <c:invertIfNegative val="0"/>
          <c:dPt>
            <c:idx val="0"/>
            <c:invertIfNegative val="0"/>
            <c:bubble3D val="0"/>
            <c:spPr>
              <a:solidFill>
                <a:srgbClr val="FF9900"/>
              </a:solidFill>
            </c:spPr>
          </c:dPt>
          <c:dPt>
            <c:idx val="1"/>
            <c:invertIfNegative val="0"/>
            <c:bubble3D val="0"/>
            <c:spPr>
              <a:solidFill>
                <a:srgbClr val="92D050"/>
              </a:solidFill>
            </c:spPr>
          </c:dPt>
          <c:dPt>
            <c:idx val="2"/>
            <c:invertIfNegative val="0"/>
            <c:bubble3D val="0"/>
            <c:spPr>
              <a:solidFill>
                <a:srgbClr val="9966FF"/>
              </a:solidFill>
            </c:spPr>
          </c:dPt>
          <c:dPt>
            <c:idx val="3"/>
            <c:invertIfNegative val="0"/>
            <c:bubble3D val="0"/>
            <c:spPr>
              <a:solidFill>
                <a:schemeClr val="tx2">
                  <a:lumMod val="60000"/>
                  <a:lumOff val="40000"/>
                </a:schemeClr>
              </a:solidFill>
            </c:spPr>
          </c:dPt>
          <c:dLbls>
            <c:dLbl>
              <c:idx val="0"/>
              <c:layout>
                <c:manualLayout>
                  <c:x val="1.5968063872255488E-2"/>
                  <c:y val="0.29629629629629628"/>
                </c:manualLayout>
              </c:layout>
              <c:tx>
                <c:rich>
                  <a:bodyPr/>
                  <a:lstStyle/>
                  <a:p>
                    <a:r>
                      <a:rPr lang="en-US"/>
                      <a:t>100%</a:t>
                    </a:r>
                  </a:p>
                </c:rich>
              </c:tx>
              <c:showLegendKey val="0"/>
              <c:showVal val="1"/>
              <c:showCatName val="0"/>
              <c:showSerName val="0"/>
              <c:showPercent val="0"/>
              <c:showBubbleSize val="0"/>
            </c:dLbl>
            <c:dLbl>
              <c:idx val="1"/>
              <c:layout>
                <c:manualLayout>
                  <c:x val="1.330671989354624E-2"/>
                  <c:y val="0.2807017543859649"/>
                </c:manualLayout>
              </c:layout>
              <c:tx>
                <c:rich>
                  <a:bodyPr/>
                  <a:lstStyle/>
                  <a:p>
                    <a:r>
                      <a:rPr lang="en-US"/>
                      <a:t>100%</a:t>
                    </a:r>
                  </a:p>
                </c:rich>
              </c:tx>
              <c:showLegendKey val="0"/>
              <c:showVal val="1"/>
              <c:showCatName val="0"/>
              <c:showSerName val="0"/>
              <c:showPercent val="0"/>
              <c:showBubbleSize val="0"/>
            </c:dLbl>
            <c:dLbl>
              <c:idx val="2"/>
              <c:layout>
                <c:manualLayout>
                  <c:x val="1.862940785096474E-2"/>
                  <c:y val="0.19493177387914229"/>
                </c:manualLayout>
              </c:layout>
              <c:showLegendKey val="0"/>
              <c:showVal val="1"/>
              <c:showCatName val="0"/>
              <c:showSerName val="0"/>
              <c:showPercent val="0"/>
              <c:showBubbleSize val="0"/>
            </c:dLbl>
            <c:dLbl>
              <c:idx val="3"/>
              <c:layout>
                <c:manualLayout>
                  <c:x val="1.862940785096474E-2"/>
                  <c:y val="0.27290448343079932"/>
                </c:manualLayout>
              </c:layout>
              <c:tx>
                <c:rich>
                  <a:bodyPr/>
                  <a:lstStyle/>
                  <a:p>
                    <a:r>
                      <a:rPr lang="en-US"/>
                      <a:t>101.05%</a:t>
                    </a:r>
                  </a:p>
                </c:rich>
              </c:tx>
              <c:showLegendKey val="0"/>
              <c:showVal val="1"/>
              <c:showCatName val="0"/>
              <c:showSerName val="0"/>
              <c:showPercent val="0"/>
              <c:showBubbleSize val="0"/>
            </c:dLbl>
            <c:txPr>
              <a:bodyPr/>
              <a:lstStyle/>
              <a:p>
                <a:pPr>
                  <a:defRPr sz="1050" b="1"/>
                </a:pPr>
                <a:endParaRPr lang="es-CO"/>
              </a:p>
            </c:txPr>
            <c:showLegendKey val="0"/>
            <c:showVal val="1"/>
            <c:showCatName val="0"/>
            <c:showSerName val="0"/>
            <c:showPercent val="0"/>
            <c:showBubbleSize val="0"/>
            <c:showLeaderLines val="0"/>
          </c:dLbls>
          <c:cat>
            <c:numRef>
              <c:f>Hoja1!$A$2:$A$5</c:f>
              <c:numCache>
                <c:formatCode>General</c:formatCode>
                <c:ptCount val="4"/>
                <c:pt idx="0">
                  <c:v>2009</c:v>
                </c:pt>
                <c:pt idx="1">
                  <c:v>2010</c:v>
                </c:pt>
                <c:pt idx="2">
                  <c:v>2011</c:v>
                </c:pt>
                <c:pt idx="3">
                  <c:v>2012</c:v>
                </c:pt>
              </c:numCache>
            </c:numRef>
          </c:cat>
          <c:val>
            <c:numRef>
              <c:f>Hoja1!$B$2:$B$5</c:f>
              <c:numCache>
                <c:formatCode>0.00%</c:formatCode>
                <c:ptCount val="4"/>
                <c:pt idx="0">
                  <c:v>1</c:v>
                </c:pt>
                <c:pt idx="1">
                  <c:v>1</c:v>
                </c:pt>
                <c:pt idx="2">
                  <c:v>0.73600000000000021</c:v>
                </c:pt>
                <c:pt idx="3">
                  <c:v>0.92980000000000018</c:v>
                </c:pt>
              </c:numCache>
            </c:numRef>
          </c:val>
        </c:ser>
        <c:dLbls>
          <c:showLegendKey val="0"/>
          <c:showVal val="0"/>
          <c:showCatName val="0"/>
          <c:showSerName val="0"/>
          <c:showPercent val="0"/>
          <c:showBubbleSize val="0"/>
        </c:dLbls>
        <c:gapWidth val="59"/>
        <c:shape val="cylinder"/>
        <c:axId val="180569088"/>
        <c:axId val="292428544"/>
        <c:axId val="0"/>
      </c:bar3DChart>
      <c:catAx>
        <c:axId val="180569088"/>
        <c:scaling>
          <c:orientation val="minMax"/>
        </c:scaling>
        <c:delete val="0"/>
        <c:axPos val="b"/>
        <c:numFmt formatCode="General" sourceLinked="1"/>
        <c:majorTickMark val="none"/>
        <c:minorTickMark val="none"/>
        <c:tickLblPos val="nextTo"/>
        <c:txPr>
          <a:bodyPr/>
          <a:lstStyle/>
          <a:p>
            <a:pPr>
              <a:defRPr lang="es-ES" sz="900" b="1"/>
            </a:pPr>
            <a:endParaRPr lang="es-CO"/>
          </a:p>
        </c:txPr>
        <c:crossAx val="292428544"/>
        <c:crosses val="autoZero"/>
        <c:auto val="1"/>
        <c:lblAlgn val="ctr"/>
        <c:lblOffset val="100"/>
        <c:noMultiLvlLbl val="0"/>
      </c:catAx>
      <c:valAx>
        <c:axId val="292428544"/>
        <c:scaling>
          <c:orientation val="minMax"/>
          <c:max val="1"/>
          <c:min val="0"/>
        </c:scaling>
        <c:delete val="0"/>
        <c:axPos val="l"/>
        <c:numFmt formatCode="0%" sourceLinked="0"/>
        <c:majorTickMark val="out"/>
        <c:minorTickMark val="none"/>
        <c:tickLblPos val="nextTo"/>
        <c:txPr>
          <a:bodyPr/>
          <a:lstStyle/>
          <a:p>
            <a:pPr>
              <a:defRPr sz="900"/>
            </a:pPr>
            <a:endParaRPr lang="es-CO"/>
          </a:p>
        </c:txPr>
        <c:crossAx val="180569088"/>
        <c:crosses val="autoZero"/>
        <c:crossBetween val="between"/>
      </c:valAx>
      <c:spPr>
        <a:noFill/>
        <a:ln w="19031">
          <a:noFill/>
        </a:ln>
      </c:spPr>
    </c:plotArea>
    <c:plotVisOnly val="1"/>
    <c:dispBlanksAs val="gap"/>
    <c:showDLblsOverMax val="0"/>
  </c:chart>
  <c:spPr>
    <a:ln>
      <a:noFill/>
    </a:ln>
  </c:spPr>
  <c:txPr>
    <a:bodyPr/>
    <a:lstStyle/>
    <a:p>
      <a:pPr>
        <a:defRPr sz="1352"/>
      </a:pPr>
      <a:endParaRPr lang="es-CO"/>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35"/>
    </mc:Choice>
    <mc:Fallback>
      <c:style val="35"/>
    </mc:Fallback>
  </mc:AlternateContent>
  <c:chart>
    <c:autoTitleDeleted val="1"/>
    <c:view3D>
      <c:rotX val="15"/>
      <c:rotY val="20"/>
      <c:depthPercent val="100"/>
      <c:rAngAx val="1"/>
    </c:view3D>
    <c:floor>
      <c:thickness val="0"/>
    </c:floor>
    <c:side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sideWall>
    <c:back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backWall>
    <c:plotArea>
      <c:layout/>
      <c:bar3DChart>
        <c:barDir val="col"/>
        <c:grouping val="clustered"/>
        <c:varyColors val="1"/>
        <c:ser>
          <c:idx val="0"/>
          <c:order val="0"/>
          <c:tx>
            <c:strRef>
              <c:f>Hoja1!$B$1</c:f>
              <c:strCache>
                <c:ptCount val="1"/>
                <c:pt idx="0">
                  <c:v>Columna2</c:v>
                </c:pt>
              </c:strCache>
            </c:strRef>
          </c:tx>
          <c:invertIfNegative val="0"/>
          <c:dLbls>
            <c:dLbl>
              <c:idx val="1"/>
              <c:layout>
                <c:manualLayout>
                  <c:x val="1.5968063872255488E-2"/>
                  <c:y val="-1.5873015873015879E-2"/>
                </c:manualLayout>
              </c:layout>
              <c:showLegendKey val="0"/>
              <c:showVal val="1"/>
              <c:showCatName val="0"/>
              <c:showSerName val="0"/>
              <c:showPercent val="0"/>
              <c:showBubbleSize val="0"/>
            </c:dLbl>
            <c:dLbl>
              <c:idx val="2"/>
              <c:layout>
                <c:manualLayout>
                  <c:x val="1.862940785096474E-2"/>
                  <c:y val="-7.9365079365079482E-3"/>
                </c:manualLayout>
              </c:layout>
              <c:showLegendKey val="0"/>
              <c:showVal val="1"/>
              <c:showCatName val="0"/>
              <c:showSerName val="0"/>
              <c:showPercent val="0"/>
              <c:showBubbleSize val="0"/>
            </c:dLbl>
            <c:dLbl>
              <c:idx val="3"/>
              <c:layout>
                <c:manualLayout>
                  <c:x val="1.862940785096474E-2"/>
                  <c:y val="-1.1904761904761921E-2"/>
                </c:manualLayout>
              </c:layout>
              <c:showLegendKey val="0"/>
              <c:showVal val="1"/>
              <c:showCatName val="0"/>
              <c:showSerName val="0"/>
              <c:showPercent val="0"/>
              <c:showBubbleSize val="0"/>
            </c:dLbl>
            <c:txPr>
              <a:bodyPr/>
              <a:lstStyle/>
              <a:p>
                <a:pPr>
                  <a:defRPr lang="es-ES" sz="1000" b="1"/>
                </a:pPr>
                <a:endParaRPr lang="es-CO"/>
              </a:p>
            </c:txPr>
            <c:showLegendKey val="0"/>
            <c:showVal val="1"/>
            <c:showCatName val="0"/>
            <c:showSerName val="0"/>
            <c:showPercent val="0"/>
            <c:showBubbleSize val="0"/>
            <c:showLeaderLines val="0"/>
          </c:dLbls>
          <c:cat>
            <c:strRef>
              <c:f>Hoja1!$A$2:$A$5</c:f>
              <c:strCache>
                <c:ptCount val="4"/>
                <c:pt idx="0">
                  <c:v>Meta
2012</c:v>
                </c:pt>
                <c:pt idx="1">
                  <c:v>Avance
2012</c:v>
                </c:pt>
                <c:pt idx="2">
                  <c:v>% de
Cumplimiento</c:v>
                </c:pt>
                <c:pt idx="3">
                  <c:v>Meta
2013</c:v>
                </c:pt>
              </c:strCache>
            </c:strRef>
          </c:cat>
          <c:val>
            <c:numRef>
              <c:f>Hoja1!$B$2:$B$5</c:f>
              <c:numCache>
                <c:formatCode>0.00%</c:formatCode>
                <c:ptCount val="4"/>
                <c:pt idx="0">
                  <c:v>0.4</c:v>
                </c:pt>
                <c:pt idx="1">
                  <c:v>0.36950000000000011</c:v>
                </c:pt>
                <c:pt idx="2">
                  <c:v>0.92375000000000018</c:v>
                </c:pt>
                <c:pt idx="3">
                  <c:v>0.29830000000000012</c:v>
                </c:pt>
              </c:numCache>
            </c:numRef>
          </c:val>
        </c:ser>
        <c:dLbls>
          <c:showLegendKey val="0"/>
          <c:showVal val="0"/>
          <c:showCatName val="0"/>
          <c:showSerName val="0"/>
          <c:showPercent val="0"/>
          <c:showBubbleSize val="0"/>
        </c:dLbls>
        <c:gapWidth val="150"/>
        <c:shape val="cylinder"/>
        <c:axId val="180570624"/>
        <c:axId val="292749888"/>
        <c:axId val="0"/>
      </c:bar3DChart>
      <c:catAx>
        <c:axId val="180570624"/>
        <c:scaling>
          <c:orientation val="minMax"/>
        </c:scaling>
        <c:delete val="0"/>
        <c:axPos val="b"/>
        <c:numFmt formatCode="General" sourceLinked="1"/>
        <c:majorTickMark val="none"/>
        <c:minorTickMark val="none"/>
        <c:tickLblPos val="nextTo"/>
        <c:txPr>
          <a:bodyPr/>
          <a:lstStyle/>
          <a:p>
            <a:pPr>
              <a:defRPr lang="es-ES" sz="1000" b="1"/>
            </a:pPr>
            <a:endParaRPr lang="es-CO"/>
          </a:p>
        </c:txPr>
        <c:crossAx val="292749888"/>
        <c:crosses val="autoZero"/>
        <c:auto val="1"/>
        <c:lblAlgn val="ctr"/>
        <c:lblOffset val="100"/>
        <c:noMultiLvlLbl val="0"/>
      </c:catAx>
      <c:valAx>
        <c:axId val="292749888"/>
        <c:scaling>
          <c:orientation val="minMax"/>
        </c:scaling>
        <c:delete val="0"/>
        <c:axPos val="l"/>
        <c:numFmt formatCode="0%" sourceLinked="0"/>
        <c:majorTickMark val="none"/>
        <c:minorTickMark val="none"/>
        <c:tickLblPos val="nextTo"/>
        <c:txPr>
          <a:bodyPr/>
          <a:lstStyle/>
          <a:p>
            <a:pPr>
              <a:defRPr lang="es-ES" sz="1000" b="1"/>
            </a:pPr>
            <a:endParaRPr lang="es-CO"/>
          </a:p>
        </c:txPr>
        <c:crossAx val="180570624"/>
        <c:crosses val="autoZero"/>
        <c:crossBetween val="between"/>
      </c:valAx>
      <c:spPr>
        <a:noFill/>
        <a:ln w="19031">
          <a:noFill/>
        </a:ln>
      </c:spPr>
    </c:plotArea>
    <c:plotVisOnly val="1"/>
    <c:dispBlanksAs val="gap"/>
    <c:showDLblsOverMax val="0"/>
  </c:chart>
  <c:spPr>
    <a:ln>
      <a:noFill/>
    </a:ln>
  </c:spPr>
  <c:txPr>
    <a:bodyPr/>
    <a:lstStyle/>
    <a:p>
      <a:pPr>
        <a:defRPr sz="1352"/>
      </a:pPr>
      <a:endParaRPr lang="es-CO"/>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Hoja1!$A$3</c:f>
              <c:strCache>
                <c:ptCount val="1"/>
                <c:pt idx="0">
                  <c:v>Matriculados primera vez</c:v>
                </c:pt>
              </c:strCache>
            </c:strRef>
          </c:tx>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txPr>
              <a:bodyPr/>
              <a:lstStyle/>
              <a:p>
                <a:pPr>
                  <a:defRPr b="1">
                    <a:solidFill>
                      <a:schemeClr val="tx2"/>
                    </a:solidFill>
                  </a:defRPr>
                </a:pPr>
                <a:endParaRPr lang="es-CO"/>
              </a:p>
            </c:txPr>
            <c:showLegendKey val="0"/>
            <c:showVal val="1"/>
            <c:showCatName val="0"/>
            <c:showSerName val="0"/>
            <c:showPercent val="0"/>
            <c:showBubbleSize val="0"/>
            <c:showLeaderLines val="0"/>
          </c:dLbls>
          <c:cat>
            <c:numRef>
              <c:f>Hoja1!$B$2:$E$2</c:f>
              <c:numCache>
                <c:formatCode>General</c:formatCode>
                <c:ptCount val="4"/>
                <c:pt idx="0">
                  <c:v>2009</c:v>
                </c:pt>
                <c:pt idx="1">
                  <c:v>2010</c:v>
                </c:pt>
                <c:pt idx="2">
                  <c:v>2011</c:v>
                </c:pt>
                <c:pt idx="3">
                  <c:v>2012</c:v>
                </c:pt>
              </c:numCache>
            </c:numRef>
          </c:cat>
          <c:val>
            <c:numRef>
              <c:f>Hoja1!$B$3:$E$3</c:f>
              <c:numCache>
                <c:formatCode>#,##0</c:formatCode>
                <c:ptCount val="4"/>
                <c:pt idx="0">
                  <c:v>4067</c:v>
                </c:pt>
                <c:pt idx="1">
                  <c:v>4273</c:v>
                </c:pt>
                <c:pt idx="2">
                  <c:v>4019</c:v>
                </c:pt>
                <c:pt idx="3">
                  <c:v>3905</c:v>
                </c:pt>
              </c:numCache>
            </c:numRef>
          </c:val>
        </c:ser>
        <c:ser>
          <c:idx val="1"/>
          <c:order val="1"/>
          <c:tx>
            <c:strRef>
              <c:f>Hoja1!$A$4</c:f>
              <c:strCache>
                <c:ptCount val="1"/>
                <c:pt idx="0">
                  <c:v>Graduados Risaralda año anterior</c:v>
                </c:pt>
              </c:strCache>
            </c:strRef>
          </c:tx>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txPr>
              <a:bodyPr/>
              <a:lstStyle/>
              <a:p>
                <a:pPr>
                  <a:defRPr b="1">
                    <a:solidFill>
                      <a:srgbClr val="C00000"/>
                    </a:solidFill>
                  </a:defRPr>
                </a:pPr>
                <a:endParaRPr lang="es-CO"/>
              </a:p>
            </c:txPr>
            <c:showLegendKey val="0"/>
            <c:showVal val="1"/>
            <c:showCatName val="0"/>
            <c:showSerName val="0"/>
            <c:showPercent val="0"/>
            <c:showBubbleSize val="0"/>
            <c:showLeaderLines val="0"/>
          </c:dLbls>
          <c:cat>
            <c:numRef>
              <c:f>Hoja1!$B$2:$E$2</c:f>
              <c:numCache>
                <c:formatCode>General</c:formatCode>
                <c:ptCount val="4"/>
                <c:pt idx="0">
                  <c:v>2009</c:v>
                </c:pt>
                <c:pt idx="1">
                  <c:v>2010</c:v>
                </c:pt>
                <c:pt idx="2">
                  <c:v>2011</c:v>
                </c:pt>
                <c:pt idx="3">
                  <c:v>2012</c:v>
                </c:pt>
              </c:numCache>
            </c:numRef>
          </c:cat>
          <c:val>
            <c:numRef>
              <c:f>Hoja1!$B$4:$E$4</c:f>
              <c:numCache>
                <c:formatCode>#,##0</c:formatCode>
                <c:ptCount val="4"/>
                <c:pt idx="0">
                  <c:v>8885</c:v>
                </c:pt>
                <c:pt idx="1">
                  <c:v>9338</c:v>
                </c:pt>
                <c:pt idx="2">
                  <c:v>9679</c:v>
                </c:pt>
                <c:pt idx="3">
                  <c:v>10568</c:v>
                </c:pt>
              </c:numCache>
            </c:numRef>
          </c:val>
        </c:ser>
        <c:dLbls>
          <c:showLegendKey val="0"/>
          <c:showVal val="0"/>
          <c:showCatName val="0"/>
          <c:showSerName val="0"/>
          <c:showPercent val="0"/>
          <c:showBubbleSize val="0"/>
        </c:dLbls>
        <c:gapWidth val="75"/>
        <c:overlap val="-25"/>
        <c:axId val="337770496"/>
        <c:axId val="292751616"/>
      </c:barChart>
      <c:lineChart>
        <c:grouping val="standard"/>
        <c:varyColors val="0"/>
        <c:ser>
          <c:idx val="2"/>
          <c:order val="2"/>
          <c:tx>
            <c:strRef>
              <c:f>Hoja1!$A$5</c:f>
              <c:strCache>
                <c:ptCount val="1"/>
                <c:pt idx="0">
                  <c:v>Absorción</c:v>
                </c:pt>
              </c:strCache>
            </c:strRef>
          </c:tx>
          <c:dLbls>
            <c:txPr>
              <a:bodyPr/>
              <a:lstStyle/>
              <a:p>
                <a:pPr>
                  <a:defRPr b="1">
                    <a:solidFill>
                      <a:schemeClr val="accent3">
                        <a:lumMod val="50000"/>
                      </a:schemeClr>
                    </a:solidFill>
                  </a:defRPr>
                </a:pPr>
                <a:endParaRPr lang="es-CO"/>
              </a:p>
            </c:txPr>
            <c:dLblPos val="t"/>
            <c:showLegendKey val="0"/>
            <c:showVal val="1"/>
            <c:showCatName val="0"/>
            <c:showSerName val="0"/>
            <c:showPercent val="0"/>
            <c:showBubbleSize val="0"/>
            <c:showLeaderLines val="0"/>
          </c:dLbls>
          <c:val>
            <c:numRef>
              <c:f>Hoja1!$B$5:$E$5</c:f>
              <c:numCache>
                <c:formatCode>0.00%</c:formatCode>
                <c:ptCount val="4"/>
                <c:pt idx="0">
                  <c:v>0.4577377602701182</c:v>
                </c:pt>
                <c:pt idx="1">
                  <c:v>0.45759263225530095</c:v>
                </c:pt>
                <c:pt idx="2">
                  <c:v>0.41522884595516085</c:v>
                </c:pt>
                <c:pt idx="3">
                  <c:v>0.36951173353520073</c:v>
                </c:pt>
              </c:numCache>
            </c:numRef>
          </c:val>
          <c:smooth val="0"/>
        </c:ser>
        <c:dLbls>
          <c:showLegendKey val="0"/>
          <c:showVal val="0"/>
          <c:showCatName val="0"/>
          <c:showSerName val="0"/>
          <c:showPercent val="0"/>
          <c:showBubbleSize val="0"/>
        </c:dLbls>
        <c:marker val="1"/>
        <c:smooth val="0"/>
        <c:axId val="337771008"/>
        <c:axId val="292752192"/>
      </c:lineChart>
      <c:catAx>
        <c:axId val="337770496"/>
        <c:scaling>
          <c:orientation val="minMax"/>
        </c:scaling>
        <c:delete val="0"/>
        <c:axPos val="b"/>
        <c:numFmt formatCode="General" sourceLinked="1"/>
        <c:majorTickMark val="none"/>
        <c:minorTickMark val="none"/>
        <c:tickLblPos val="nextTo"/>
        <c:txPr>
          <a:bodyPr/>
          <a:lstStyle/>
          <a:p>
            <a:pPr>
              <a:defRPr b="1"/>
            </a:pPr>
            <a:endParaRPr lang="es-CO"/>
          </a:p>
        </c:txPr>
        <c:crossAx val="292751616"/>
        <c:crosses val="autoZero"/>
        <c:auto val="1"/>
        <c:lblAlgn val="ctr"/>
        <c:lblOffset val="100"/>
        <c:noMultiLvlLbl val="0"/>
      </c:catAx>
      <c:valAx>
        <c:axId val="292751616"/>
        <c:scaling>
          <c:orientation val="minMax"/>
        </c:scaling>
        <c:delete val="0"/>
        <c:axPos val="l"/>
        <c:majorGridlines/>
        <c:numFmt formatCode="#,##0" sourceLinked="1"/>
        <c:majorTickMark val="none"/>
        <c:minorTickMark val="none"/>
        <c:tickLblPos val="nextTo"/>
        <c:spPr>
          <a:ln w="9525">
            <a:noFill/>
          </a:ln>
        </c:spPr>
        <c:crossAx val="337770496"/>
        <c:crosses val="autoZero"/>
        <c:crossBetween val="between"/>
      </c:valAx>
      <c:valAx>
        <c:axId val="292752192"/>
        <c:scaling>
          <c:orientation val="minMax"/>
        </c:scaling>
        <c:delete val="0"/>
        <c:axPos val="r"/>
        <c:numFmt formatCode="0%" sourceLinked="0"/>
        <c:majorTickMark val="out"/>
        <c:minorTickMark val="none"/>
        <c:tickLblPos val="nextTo"/>
        <c:crossAx val="337771008"/>
        <c:crosses val="max"/>
        <c:crossBetween val="between"/>
      </c:valAx>
      <c:catAx>
        <c:axId val="337771008"/>
        <c:scaling>
          <c:orientation val="minMax"/>
        </c:scaling>
        <c:delete val="1"/>
        <c:axPos val="b"/>
        <c:majorTickMark val="out"/>
        <c:minorTickMark val="none"/>
        <c:tickLblPos val="none"/>
        <c:crossAx val="292752192"/>
        <c:crosses val="autoZero"/>
        <c:auto val="1"/>
        <c:lblAlgn val="ctr"/>
        <c:lblOffset val="100"/>
        <c:noMultiLvlLbl val="0"/>
      </c:catAx>
      <c:spPr>
        <a:gradFill>
          <a:gsLst>
            <a:gs pos="0">
              <a:srgbClr val="FFEFD1"/>
            </a:gs>
            <a:gs pos="64999">
              <a:srgbClr val="F0EBD5"/>
            </a:gs>
            <a:gs pos="100000">
              <a:srgbClr val="D1C39F"/>
            </a:gs>
          </a:gsLst>
          <a:lin ang="5400000" scaled="0"/>
        </a:gradFill>
      </c:spPr>
    </c:plotArea>
    <c:legend>
      <c:legendPos val="b"/>
      <c:overlay val="0"/>
      <c:txPr>
        <a:bodyPr/>
        <a:lstStyle/>
        <a:p>
          <a:pPr>
            <a:defRPr sz="800"/>
          </a:pPr>
          <a:endParaRPr lang="es-CO"/>
        </a:p>
      </c:txPr>
    </c:legend>
    <c:plotVisOnly val="1"/>
    <c:dispBlanksAs val="gap"/>
    <c:showDLblsOverMax val="0"/>
  </c:chart>
  <c:spPr>
    <a:ln>
      <a:noFill/>
    </a:ln>
  </c:sp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35"/>
    </mc:Choice>
    <mc:Fallback>
      <c:style val="35"/>
    </mc:Fallback>
  </mc:AlternateContent>
  <c:chart>
    <c:autoTitleDeleted val="1"/>
    <c:view3D>
      <c:rotX val="15"/>
      <c:rotY val="20"/>
      <c:depthPercent val="100"/>
      <c:rAngAx val="1"/>
    </c:view3D>
    <c:floor>
      <c:thickness val="0"/>
    </c:floor>
    <c:side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sideWall>
    <c:back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backWall>
    <c:plotArea>
      <c:layout>
        <c:manualLayout>
          <c:layoutTarget val="inner"/>
          <c:xMode val="edge"/>
          <c:yMode val="edge"/>
          <c:x val="0.10227341822753119"/>
          <c:y val="6.6382778385885619E-2"/>
          <c:w val="0.86833446420399862"/>
          <c:h val="0.7304736720962226"/>
        </c:manualLayout>
      </c:layout>
      <c:bar3DChart>
        <c:barDir val="col"/>
        <c:grouping val="clustered"/>
        <c:varyColors val="1"/>
        <c:ser>
          <c:idx val="0"/>
          <c:order val="0"/>
          <c:tx>
            <c:strRef>
              <c:f>Hoja1!$B$1</c:f>
              <c:strCache>
                <c:ptCount val="1"/>
                <c:pt idx="0">
                  <c:v>Columna2</c:v>
                </c:pt>
              </c:strCache>
            </c:strRef>
          </c:tx>
          <c:invertIfNegative val="0"/>
          <c:dLbls>
            <c:dLbl>
              <c:idx val="1"/>
              <c:layout>
                <c:manualLayout>
                  <c:x val="1.5968063872255488E-2"/>
                  <c:y val="-1.5873015873015879E-2"/>
                </c:manualLayout>
              </c:layout>
              <c:showLegendKey val="0"/>
              <c:showVal val="1"/>
              <c:showCatName val="0"/>
              <c:showSerName val="0"/>
              <c:showPercent val="0"/>
              <c:showBubbleSize val="0"/>
            </c:dLbl>
            <c:dLbl>
              <c:idx val="2"/>
              <c:layout>
                <c:manualLayout>
                  <c:x val="1.862940785096474E-2"/>
                  <c:y val="-7.9365079365079482E-3"/>
                </c:manualLayout>
              </c:layout>
              <c:showLegendKey val="0"/>
              <c:showVal val="1"/>
              <c:showCatName val="0"/>
              <c:showSerName val="0"/>
              <c:showPercent val="0"/>
              <c:showBubbleSize val="0"/>
            </c:dLbl>
            <c:dLbl>
              <c:idx val="3"/>
              <c:layout>
                <c:manualLayout>
                  <c:x val="1.862940785096474E-2"/>
                  <c:y val="-1.1904761904761921E-2"/>
                </c:manualLayout>
              </c:layout>
              <c:showLegendKey val="0"/>
              <c:showVal val="1"/>
              <c:showCatName val="0"/>
              <c:showSerName val="0"/>
              <c:showPercent val="0"/>
              <c:showBubbleSize val="0"/>
            </c:dLbl>
            <c:txPr>
              <a:bodyPr/>
              <a:lstStyle/>
              <a:p>
                <a:pPr>
                  <a:defRPr lang="es-ES" sz="1000" b="1"/>
                </a:pPr>
                <a:endParaRPr lang="es-CO"/>
              </a:p>
            </c:txPr>
            <c:showLegendKey val="0"/>
            <c:showVal val="1"/>
            <c:showCatName val="0"/>
            <c:showSerName val="0"/>
            <c:showPercent val="0"/>
            <c:showBubbleSize val="0"/>
            <c:showLeaderLines val="0"/>
          </c:dLbls>
          <c:cat>
            <c:strRef>
              <c:f>Hoja1!$A$2:$A$5</c:f>
              <c:strCache>
                <c:ptCount val="4"/>
                <c:pt idx="0">
                  <c:v>Meta
2012</c:v>
                </c:pt>
                <c:pt idx="1">
                  <c:v>Avance
2012</c:v>
                </c:pt>
                <c:pt idx="2">
                  <c:v>% de
Cumplimiento</c:v>
                </c:pt>
                <c:pt idx="3">
                  <c:v>Meta
2013</c:v>
                </c:pt>
              </c:strCache>
            </c:strRef>
          </c:cat>
          <c:val>
            <c:numRef>
              <c:f>Hoja1!$B$2:$B$5</c:f>
              <c:numCache>
                <c:formatCode>0.00%</c:formatCode>
                <c:ptCount val="4"/>
                <c:pt idx="0">
                  <c:v>0.193</c:v>
                </c:pt>
                <c:pt idx="1">
                  <c:v>0.18450000000000005</c:v>
                </c:pt>
                <c:pt idx="2">
                  <c:v>0.95595854922279788</c:v>
                </c:pt>
                <c:pt idx="3">
                  <c:v>0.193</c:v>
                </c:pt>
              </c:numCache>
            </c:numRef>
          </c:val>
        </c:ser>
        <c:dLbls>
          <c:showLegendKey val="0"/>
          <c:showVal val="0"/>
          <c:showCatName val="0"/>
          <c:showSerName val="0"/>
          <c:showPercent val="0"/>
          <c:showBubbleSize val="0"/>
        </c:dLbls>
        <c:gapWidth val="150"/>
        <c:shape val="cylinder"/>
        <c:axId val="180569600"/>
        <c:axId val="292753920"/>
        <c:axId val="0"/>
      </c:bar3DChart>
      <c:catAx>
        <c:axId val="180569600"/>
        <c:scaling>
          <c:orientation val="minMax"/>
        </c:scaling>
        <c:delete val="0"/>
        <c:axPos val="b"/>
        <c:numFmt formatCode="General" sourceLinked="1"/>
        <c:majorTickMark val="none"/>
        <c:minorTickMark val="none"/>
        <c:tickLblPos val="nextTo"/>
        <c:txPr>
          <a:bodyPr/>
          <a:lstStyle/>
          <a:p>
            <a:pPr>
              <a:defRPr lang="es-ES" sz="800" b="1"/>
            </a:pPr>
            <a:endParaRPr lang="es-CO"/>
          </a:p>
        </c:txPr>
        <c:crossAx val="292753920"/>
        <c:crosses val="autoZero"/>
        <c:auto val="1"/>
        <c:lblAlgn val="ctr"/>
        <c:lblOffset val="100"/>
        <c:noMultiLvlLbl val="0"/>
      </c:catAx>
      <c:valAx>
        <c:axId val="292753920"/>
        <c:scaling>
          <c:orientation val="minMax"/>
        </c:scaling>
        <c:delete val="0"/>
        <c:axPos val="l"/>
        <c:numFmt formatCode="0%" sourceLinked="0"/>
        <c:majorTickMark val="none"/>
        <c:minorTickMark val="none"/>
        <c:tickLblPos val="nextTo"/>
        <c:txPr>
          <a:bodyPr/>
          <a:lstStyle/>
          <a:p>
            <a:pPr>
              <a:defRPr lang="es-ES" sz="1000" b="1"/>
            </a:pPr>
            <a:endParaRPr lang="es-CO"/>
          </a:p>
        </c:txPr>
        <c:crossAx val="180569600"/>
        <c:crosses val="autoZero"/>
        <c:crossBetween val="between"/>
      </c:valAx>
      <c:spPr>
        <a:noFill/>
        <a:ln w="19031">
          <a:noFill/>
        </a:ln>
      </c:spPr>
    </c:plotArea>
    <c:plotVisOnly val="1"/>
    <c:dispBlanksAs val="gap"/>
    <c:showDLblsOverMax val="0"/>
  </c:chart>
  <c:spPr>
    <a:ln>
      <a:noFill/>
    </a:ln>
  </c:spPr>
  <c:txPr>
    <a:bodyPr/>
    <a:lstStyle/>
    <a:p>
      <a:pPr>
        <a:defRPr sz="1352"/>
      </a:pPr>
      <a:endParaRPr lang="es-CO"/>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Hoja1!$A$9</c:f>
              <c:strCache>
                <c:ptCount val="1"/>
                <c:pt idx="0">
                  <c:v>Matriculados primera vez</c:v>
                </c:pt>
              </c:strCache>
            </c:strRef>
          </c:tx>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txPr>
              <a:bodyPr/>
              <a:lstStyle/>
              <a:p>
                <a:pPr>
                  <a:defRPr b="1">
                    <a:solidFill>
                      <a:schemeClr val="tx2"/>
                    </a:solidFill>
                  </a:defRPr>
                </a:pPr>
                <a:endParaRPr lang="es-CO"/>
              </a:p>
            </c:txPr>
            <c:showLegendKey val="0"/>
            <c:showVal val="1"/>
            <c:showCatName val="0"/>
            <c:showSerName val="0"/>
            <c:showPercent val="0"/>
            <c:showBubbleSize val="0"/>
            <c:showLeaderLines val="0"/>
          </c:dLbls>
          <c:cat>
            <c:numRef>
              <c:f>Hoja1!$B$2:$E$2</c:f>
              <c:numCache>
                <c:formatCode>General</c:formatCode>
                <c:ptCount val="4"/>
                <c:pt idx="0">
                  <c:v>2009</c:v>
                </c:pt>
                <c:pt idx="1">
                  <c:v>2010</c:v>
                </c:pt>
                <c:pt idx="2">
                  <c:v>2011</c:v>
                </c:pt>
                <c:pt idx="3">
                  <c:v>2012</c:v>
                </c:pt>
              </c:numCache>
            </c:numRef>
          </c:cat>
          <c:val>
            <c:numRef>
              <c:f>Hoja1!$B$9:$E$9</c:f>
              <c:numCache>
                <c:formatCode>#,##0</c:formatCode>
                <c:ptCount val="4"/>
                <c:pt idx="0">
                  <c:v>434</c:v>
                </c:pt>
                <c:pt idx="1">
                  <c:v>344</c:v>
                </c:pt>
                <c:pt idx="2">
                  <c:v>413</c:v>
                </c:pt>
                <c:pt idx="3">
                  <c:v>332</c:v>
                </c:pt>
              </c:numCache>
            </c:numRef>
          </c:val>
        </c:ser>
        <c:ser>
          <c:idx val="1"/>
          <c:order val="1"/>
          <c:tx>
            <c:strRef>
              <c:f>Hoja1!$A$10</c:f>
              <c:strCache>
                <c:ptCount val="1"/>
                <c:pt idx="0">
                  <c:v>Graduados pregrado año anterior</c:v>
                </c:pt>
              </c:strCache>
            </c:strRef>
          </c:tx>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txPr>
              <a:bodyPr/>
              <a:lstStyle/>
              <a:p>
                <a:pPr>
                  <a:defRPr b="1">
                    <a:solidFill>
                      <a:srgbClr val="C00000"/>
                    </a:solidFill>
                  </a:defRPr>
                </a:pPr>
                <a:endParaRPr lang="es-CO"/>
              </a:p>
            </c:txPr>
            <c:showLegendKey val="0"/>
            <c:showVal val="1"/>
            <c:showCatName val="0"/>
            <c:showSerName val="0"/>
            <c:showPercent val="0"/>
            <c:showBubbleSize val="0"/>
            <c:showLeaderLines val="0"/>
          </c:dLbls>
          <c:cat>
            <c:numRef>
              <c:f>Hoja1!$B$2:$E$2</c:f>
              <c:numCache>
                <c:formatCode>General</c:formatCode>
                <c:ptCount val="4"/>
                <c:pt idx="0">
                  <c:v>2009</c:v>
                </c:pt>
                <c:pt idx="1">
                  <c:v>2010</c:v>
                </c:pt>
                <c:pt idx="2">
                  <c:v>2011</c:v>
                </c:pt>
                <c:pt idx="3">
                  <c:v>2012</c:v>
                </c:pt>
              </c:numCache>
            </c:numRef>
          </c:cat>
          <c:val>
            <c:numRef>
              <c:f>Hoja1!$B$10:$E$10</c:f>
              <c:numCache>
                <c:formatCode>#,##0</c:formatCode>
                <c:ptCount val="4"/>
                <c:pt idx="0">
                  <c:v>1742</c:v>
                </c:pt>
                <c:pt idx="1">
                  <c:v>1941</c:v>
                </c:pt>
                <c:pt idx="2">
                  <c:v>2068</c:v>
                </c:pt>
                <c:pt idx="3">
                  <c:v>1799</c:v>
                </c:pt>
              </c:numCache>
            </c:numRef>
          </c:val>
        </c:ser>
        <c:dLbls>
          <c:showLegendKey val="0"/>
          <c:showVal val="0"/>
          <c:showCatName val="0"/>
          <c:showSerName val="0"/>
          <c:showPercent val="0"/>
          <c:showBubbleSize val="0"/>
        </c:dLbls>
        <c:gapWidth val="75"/>
        <c:overlap val="-25"/>
        <c:axId val="337816576"/>
        <c:axId val="292755648"/>
      </c:barChart>
      <c:lineChart>
        <c:grouping val="standard"/>
        <c:varyColors val="0"/>
        <c:ser>
          <c:idx val="2"/>
          <c:order val="2"/>
          <c:tx>
            <c:strRef>
              <c:f>Hoja1!$A$11</c:f>
              <c:strCache>
                <c:ptCount val="1"/>
                <c:pt idx="0">
                  <c:v>Absorción</c:v>
                </c:pt>
              </c:strCache>
            </c:strRef>
          </c:tx>
          <c:dLbls>
            <c:txPr>
              <a:bodyPr/>
              <a:lstStyle/>
              <a:p>
                <a:pPr>
                  <a:defRPr b="1">
                    <a:solidFill>
                      <a:schemeClr val="accent3">
                        <a:lumMod val="50000"/>
                      </a:schemeClr>
                    </a:solidFill>
                  </a:defRPr>
                </a:pPr>
                <a:endParaRPr lang="es-CO"/>
              </a:p>
            </c:txPr>
            <c:dLblPos val="t"/>
            <c:showLegendKey val="0"/>
            <c:showVal val="1"/>
            <c:showCatName val="0"/>
            <c:showSerName val="0"/>
            <c:showPercent val="0"/>
            <c:showBubbleSize val="0"/>
            <c:showLeaderLines val="0"/>
          </c:dLbls>
          <c:cat>
            <c:numRef>
              <c:f>Hoja1!$B$2:$E$2</c:f>
              <c:numCache>
                <c:formatCode>General</c:formatCode>
                <c:ptCount val="4"/>
                <c:pt idx="0">
                  <c:v>2009</c:v>
                </c:pt>
                <c:pt idx="1">
                  <c:v>2010</c:v>
                </c:pt>
                <c:pt idx="2">
                  <c:v>2011</c:v>
                </c:pt>
                <c:pt idx="3">
                  <c:v>2012</c:v>
                </c:pt>
              </c:numCache>
            </c:numRef>
          </c:cat>
          <c:val>
            <c:numRef>
              <c:f>Hoja1!$B$11:$E$11</c:f>
              <c:numCache>
                <c:formatCode>0.00%</c:formatCode>
                <c:ptCount val="4"/>
                <c:pt idx="0">
                  <c:v>0.24913892078071181</c:v>
                </c:pt>
                <c:pt idx="1">
                  <c:v>0.17722823286965486</c:v>
                </c:pt>
                <c:pt idx="2">
                  <c:v>0.19970986460348161</c:v>
                </c:pt>
                <c:pt idx="3">
                  <c:v>0.1845469705391885</c:v>
                </c:pt>
              </c:numCache>
            </c:numRef>
          </c:val>
          <c:smooth val="0"/>
        </c:ser>
        <c:dLbls>
          <c:showLegendKey val="0"/>
          <c:showVal val="0"/>
          <c:showCatName val="0"/>
          <c:showSerName val="0"/>
          <c:showPercent val="0"/>
          <c:showBubbleSize val="0"/>
        </c:dLbls>
        <c:marker val="1"/>
        <c:smooth val="0"/>
        <c:axId val="337817088"/>
        <c:axId val="292756224"/>
      </c:lineChart>
      <c:catAx>
        <c:axId val="337816576"/>
        <c:scaling>
          <c:orientation val="minMax"/>
        </c:scaling>
        <c:delete val="0"/>
        <c:axPos val="b"/>
        <c:numFmt formatCode="General" sourceLinked="1"/>
        <c:majorTickMark val="none"/>
        <c:minorTickMark val="none"/>
        <c:tickLblPos val="nextTo"/>
        <c:txPr>
          <a:bodyPr/>
          <a:lstStyle/>
          <a:p>
            <a:pPr>
              <a:defRPr b="1"/>
            </a:pPr>
            <a:endParaRPr lang="es-CO"/>
          </a:p>
        </c:txPr>
        <c:crossAx val="292755648"/>
        <c:crosses val="autoZero"/>
        <c:auto val="1"/>
        <c:lblAlgn val="ctr"/>
        <c:lblOffset val="100"/>
        <c:noMultiLvlLbl val="0"/>
      </c:catAx>
      <c:valAx>
        <c:axId val="292755648"/>
        <c:scaling>
          <c:orientation val="minMax"/>
        </c:scaling>
        <c:delete val="0"/>
        <c:axPos val="l"/>
        <c:majorGridlines/>
        <c:numFmt formatCode="#,##0" sourceLinked="1"/>
        <c:majorTickMark val="none"/>
        <c:minorTickMark val="none"/>
        <c:tickLblPos val="nextTo"/>
        <c:spPr>
          <a:ln w="9525">
            <a:noFill/>
          </a:ln>
        </c:spPr>
        <c:crossAx val="337816576"/>
        <c:crosses val="autoZero"/>
        <c:crossBetween val="between"/>
      </c:valAx>
      <c:valAx>
        <c:axId val="292756224"/>
        <c:scaling>
          <c:orientation val="minMax"/>
        </c:scaling>
        <c:delete val="0"/>
        <c:axPos val="r"/>
        <c:numFmt formatCode="0%" sourceLinked="0"/>
        <c:majorTickMark val="out"/>
        <c:minorTickMark val="none"/>
        <c:tickLblPos val="nextTo"/>
        <c:crossAx val="337817088"/>
        <c:crosses val="max"/>
        <c:crossBetween val="between"/>
      </c:valAx>
      <c:catAx>
        <c:axId val="337817088"/>
        <c:scaling>
          <c:orientation val="minMax"/>
        </c:scaling>
        <c:delete val="1"/>
        <c:axPos val="b"/>
        <c:numFmt formatCode="General" sourceLinked="1"/>
        <c:majorTickMark val="out"/>
        <c:minorTickMark val="none"/>
        <c:tickLblPos val="none"/>
        <c:crossAx val="292756224"/>
        <c:crosses val="autoZero"/>
        <c:auto val="1"/>
        <c:lblAlgn val="ctr"/>
        <c:lblOffset val="100"/>
        <c:noMultiLvlLbl val="0"/>
      </c:catAx>
      <c:spPr>
        <a:gradFill>
          <a:gsLst>
            <a:gs pos="0">
              <a:srgbClr val="FFEFD1"/>
            </a:gs>
            <a:gs pos="64999">
              <a:srgbClr val="F0EBD5"/>
            </a:gs>
            <a:gs pos="100000">
              <a:srgbClr val="D1C39F"/>
            </a:gs>
          </a:gsLst>
          <a:lin ang="5400000" scaled="0"/>
        </a:gradFill>
      </c:spPr>
    </c:plotArea>
    <c:legend>
      <c:legendPos val="b"/>
      <c:overlay val="0"/>
      <c:txPr>
        <a:bodyPr/>
        <a:lstStyle/>
        <a:p>
          <a:pPr>
            <a:defRPr sz="800"/>
          </a:pPr>
          <a:endParaRPr lang="es-CO"/>
        </a:p>
      </c:txPr>
    </c:legend>
    <c:plotVisOnly val="1"/>
    <c:dispBlanksAs val="gap"/>
    <c:showDLblsOverMax val="0"/>
  </c:chart>
  <c:spPr>
    <a:ln>
      <a:noFill/>
    </a:ln>
  </c:sp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35"/>
    </mc:Choice>
    <mc:Fallback>
      <c:style val="35"/>
    </mc:Fallback>
  </mc:AlternateContent>
  <c:chart>
    <c:autoTitleDeleted val="1"/>
    <c:view3D>
      <c:rotX val="15"/>
      <c:rotY val="20"/>
      <c:depthPercent val="100"/>
      <c:rAngAx val="1"/>
    </c:view3D>
    <c:floor>
      <c:thickness val="0"/>
    </c:floor>
    <c:side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sideWall>
    <c:back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backWall>
    <c:plotArea>
      <c:layout/>
      <c:bar3DChart>
        <c:barDir val="col"/>
        <c:grouping val="clustered"/>
        <c:varyColors val="1"/>
        <c:ser>
          <c:idx val="0"/>
          <c:order val="0"/>
          <c:tx>
            <c:strRef>
              <c:f>Hoja1!$B$1</c:f>
              <c:strCache>
                <c:ptCount val="1"/>
                <c:pt idx="0">
                  <c:v>Columna2</c:v>
                </c:pt>
              </c:strCache>
            </c:strRef>
          </c:tx>
          <c:invertIfNegative val="0"/>
          <c:dLbls>
            <c:dLbl>
              <c:idx val="1"/>
              <c:layout>
                <c:manualLayout>
                  <c:x val="1.5968063872255488E-2"/>
                  <c:y val="-1.5873015873015879E-2"/>
                </c:manualLayout>
              </c:layout>
              <c:showLegendKey val="0"/>
              <c:showVal val="1"/>
              <c:showCatName val="0"/>
              <c:showSerName val="0"/>
              <c:showPercent val="0"/>
              <c:showBubbleSize val="0"/>
            </c:dLbl>
            <c:dLbl>
              <c:idx val="2"/>
              <c:layout>
                <c:manualLayout>
                  <c:x val="1.862940785096474E-2"/>
                  <c:y val="-7.9365079365079482E-3"/>
                </c:manualLayout>
              </c:layout>
              <c:showLegendKey val="0"/>
              <c:showVal val="1"/>
              <c:showCatName val="0"/>
              <c:showSerName val="0"/>
              <c:showPercent val="0"/>
              <c:showBubbleSize val="0"/>
            </c:dLbl>
            <c:dLbl>
              <c:idx val="3"/>
              <c:layout>
                <c:manualLayout>
                  <c:x val="1.862940785096474E-2"/>
                  <c:y val="-1.1904761904761921E-2"/>
                </c:manualLayout>
              </c:layout>
              <c:showLegendKey val="0"/>
              <c:showVal val="1"/>
              <c:showCatName val="0"/>
              <c:showSerName val="0"/>
              <c:showPercent val="0"/>
              <c:showBubbleSize val="0"/>
            </c:dLbl>
            <c:txPr>
              <a:bodyPr/>
              <a:lstStyle/>
              <a:p>
                <a:pPr>
                  <a:defRPr lang="es-ES" sz="1000" b="1"/>
                </a:pPr>
                <a:endParaRPr lang="es-CO"/>
              </a:p>
            </c:txPr>
            <c:showLegendKey val="0"/>
            <c:showVal val="1"/>
            <c:showCatName val="0"/>
            <c:showSerName val="0"/>
            <c:showPercent val="0"/>
            <c:showBubbleSize val="0"/>
            <c:showLeaderLines val="0"/>
          </c:dLbls>
          <c:cat>
            <c:strRef>
              <c:f>Hoja1!$A$2:$A$5</c:f>
              <c:strCache>
                <c:ptCount val="4"/>
                <c:pt idx="0">
                  <c:v>Meta
2011</c:v>
                </c:pt>
                <c:pt idx="1">
                  <c:v>Avance
2011</c:v>
                </c:pt>
                <c:pt idx="2">
                  <c:v>% de
Cumplimiento</c:v>
                </c:pt>
                <c:pt idx="3">
                  <c:v>Meta
2012</c:v>
                </c:pt>
              </c:strCache>
            </c:strRef>
          </c:cat>
          <c:val>
            <c:numRef>
              <c:f>Hoja1!$B$2:$B$5</c:f>
              <c:numCache>
                <c:formatCode>0.00%</c:formatCode>
                <c:ptCount val="4"/>
                <c:pt idx="0">
                  <c:v>0.3000000000000001</c:v>
                </c:pt>
                <c:pt idx="1">
                  <c:v>0.27500000000000002</c:v>
                </c:pt>
                <c:pt idx="2">
                  <c:v>0.91666666666666652</c:v>
                </c:pt>
                <c:pt idx="3">
                  <c:v>0.3000000000000001</c:v>
                </c:pt>
              </c:numCache>
            </c:numRef>
          </c:val>
        </c:ser>
        <c:dLbls>
          <c:showLegendKey val="0"/>
          <c:showVal val="0"/>
          <c:showCatName val="0"/>
          <c:showSerName val="0"/>
          <c:showPercent val="0"/>
          <c:showBubbleSize val="0"/>
        </c:dLbls>
        <c:gapWidth val="150"/>
        <c:shape val="cylinder"/>
        <c:axId val="180568064"/>
        <c:axId val="292962304"/>
        <c:axId val="0"/>
      </c:bar3DChart>
      <c:catAx>
        <c:axId val="180568064"/>
        <c:scaling>
          <c:orientation val="minMax"/>
        </c:scaling>
        <c:delete val="0"/>
        <c:axPos val="b"/>
        <c:numFmt formatCode="General" sourceLinked="1"/>
        <c:majorTickMark val="none"/>
        <c:minorTickMark val="none"/>
        <c:tickLblPos val="nextTo"/>
        <c:txPr>
          <a:bodyPr/>
          <a:lstStyle/>
          <a:p>
            <a:pPr>
              <a:defRPr lang="es-ES" sz="1000" b="1"/>
            </a:pPr>
            <a:endParaRPr lang="es-CO"/>
          </a:p>
        </c:txPr>
        <c:crossAx val="292962304"/>
        <c:crosses val="autoZero"/>
        <c:auto val="1"/>
        <c:lblAlgn val="ctr"/>
        <c:lblOffset val="100"/>
        <c:noMultiLvlLbl val="0"/>
      </c:catAx>
      <c:valAx>
        <c:axId val="292962304"/>
        <c:scaling>
          <c:orientation val="minMax"/>
        </c:scaling>
        <c:delete val="0"/>
        <c:axPos val="l"/>
        <c:numFmt formatCode="0%" sourceLinked="0"/>
        <c:majorTickMark val="none"/>
        <c:minorTickMark val="none"/>
        <c:tickLblPos val="nextTo"/>
        <c:txPr>
          <a:bodyPr/>
          <a:lstStyle/>
          <a:p>
            <a:pPr>
              <a:defRPr lang="es-ES" sz="1000" b="1"/>
            </a:pPr>
            <a:endParaRPr lang="es-CO"/>
          </a:p>
        </c:txPr>
        <c:crossAx val="180568064"/>
        <c:crosses val="autoZero"/>
        <c:crossBetween val="between"/>
      </c:valAx>
      <c:spPr>
        <a:noFill/>
        <a:ln w="19031">
          <a:noFill/>
        </a:ln>
      </c:spPr>
    </c:plotArea>
    <c:plotVisOnly val="1"/>
    <c:dispBlanksAs val="gap"/>
    <c:showDLblsOverMax val="0"/>
  </c:chart>
  <c:spPr>
    <a:ln>
      <a:noFill/>
    </a:ln>
  </c:spPr>
  <c:txPr>
    <a:bodyPr/>
    <a:lstStyle/>
    <a:p>
      <a:pPr>
        <a:defRPr sz="1352"/>
      </a:pPr>
      <a:endParaRPr lang="es-CO"/>
    </a:p>
  </c:tx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35"/>
    </mc:Choice>
    <mc:Fallback>
      <c:style val="35"/>
    </mc:Fallback>
  </mc:AlternateContent>
  <c:chart>
    <c:autoTitleDeleted val="1"/>
    <c:view3D>
      <c:rotX val="15"/>
      <c:rotY val="20"/>
      <c:depthPercent val="100"/>
      <c:rAngAx val="1"/>
    </c:view3D>
    <c:floor>
      <c:thickness val="0"/>
    </c:floor>
    <c:side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sideWall>
    <c:back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backWall>
    <c:plotArea>
      <c:layout/>
      <c:bar3DChart>
        <c:barDir val="col"/>
        <c:grouping val="clustered"/>
        <c:varyColors val="1"/>
        <c:ser>
          <c:idx val="0"/>
          <c:order val="0"/>
          <c:tx>
            <c:strRef>
              <c:f>Hoja1!$B$1</c:f>
              <c:strCache>
                <c:ptCount val="1"/>
                <c:pt idx="0">
                  <c:v>Columna2</c:v>
                </c:pt>
              </c:strCache>
            </c:strRef>
          </c:tx>
          <c:invertIfNegative val="0"/>
          <c:dLbls>
            <c:dLbl>
              <c:idx val="1"/>
              <c:layout>
                <c:manualLayout>
                  <c:x val="1.5968063872255488E-2"/>
                  <c:y val="-1.5873015873015879E-2"/>
                </c:manualLayout>
              </c:layout>
              <c:showLegendKey val="0"/>
              <c:showVal val="1"/>
              <c:showCatName val="0"/>
              <c:showSerName val="0"/>
              <c:showPercent val="0"/>
              <c:showBubbleSize val="0"/>
            </c:dLbl>
            <c:dLbl>
              <c:idx val="2"/>
              <c:layout>
                <c:manualLayout>
                  <c:x val="1.862940785096474E-2"/>
                  <c:y val="-7.9365079365079482E-3"/>
                </c:manualLayout>
              </c:layout>
              <c:showLegendKey val="0"/>
              <c:showVal val="1"/>
              <c:showCatName val="0"/>
              <c:showSerName val="0"/>
              <c:showPercent val="0"/>
              <c:showBubbleSize val="0"/>
            </c:dLbl>
            <c:dLbl>
              <c:idx val="3"/>
              <c:layout>
                <c:manualLayout>
                  <c:x val="1.862940785096474E-2"/>
                  <c:y val="-1.1904761904761921E-2"/>
                </c:manualLayout>
              </c:layout>
              <c:showLegendKey val="0"/>
              <c:showVal val="1"/>
              <c:showCatName val="0"/>
              <c:showSerName val="0"/>
              <c:showPercent val="0"/>
              <c:showBubbleSize val="0"/>
            </c:dLbl>
            <c:txPr>
              <a:bodyPr/>
              <a:lstStyle/>
              <a:p>
                <a:pPr>
                  <a:defRPr lang="es-ES" sz="1000" b="1"/>
                </a:pPr>
                <a:endParaRPr lang="es-CO"/>
              </a:p>
            </c:txPr>
            <c:showLegendKey val="0"/>
            <c:showVal val="1"/>
            <c:showCatName val="0"/>
            <c:showSerName val="0"/>
            <c:showPercent val="0"/>
            <c:showBubbleSize val="0"/>
            <c:showLeaderLines val="0"/>
          </c:dLbls>
          <c:cat>
            <c:strRef>
              <c:f>Hoja1!$A$2:$A$5</c:f>
              <c:strCache>
                <c:ptCount val="4"/>
                <c:pt idx="0">
                  <c:v>Meta
2012</c:v>
                </c:pt>
                <c:pt idx="1">
                  <c:v>Avance
2012</c:v>
                </c:pt>
                <c:pt idx="2">
                  <c:v>% de
Cumplimiento</c:v>
                </c:pt>
                <c:pt idx="3">
                  <c:v>Meta
2013</c:v>
                </c:pt>
              </c:strCache>
            </c:strRef>
          </c:cat>
          <c:val>
            <c:numRef>
              <c:f>Hoja1!$B$2:$B$5</c:f>
              <c:numCache>
                <c:formatCode>0.00%</c:formatCode>
                <c:ptCount val="4"/>
                <c:pt idx="0">
                  <c:v>0.75000000000000022</c:v>
                </c:pt>
                <c:pt idx="1">
                  <c:v>0.76190000000000024</c:v>
                </c:pt>
                <c:pt idx="2">
                  <c:v>1.0158666666666663</c:v>
                </c:pt>
                <c:pt idx="3">
                  <c:v>0.75000000000000022</c:v>
                </c:pt>
              </c:numCache>
            </c:numRef>
          </c:val>
        </c:ser>
        <c:dLbls>
          <c:showLegendKey val="0"/>
          <c:showVal val="0"/>
          <c:showCatName val="0"/>
          <c:showSerName val="0"/>
          <c:showPercent val="0"/>
          <c:showBubbleSize val="0"/>
        </c:dLbls>
        <c:gapWidth val="150"/>
        <c:shape val="cylinder"/>
        <c:axId val="346378240"/>
        <c:axId val="292964032"/>
        <c:axId val="0"/>
      </c:bar3DChart>
      <c:catAx>
        <c:axId val="346378240"/>
        <c:scaling>
          <c:orientation val="minMax"/>
        </c:scaling>
        <c:delete val="0"/>
        <c:axPos val="b"/>
        <c:numFmt formatCode="General" sourceLinked="1"/>
        <c:majorTickMark val="none"/>
        <c:minorTickMark val="none"/>
        <c:tickLblPos val="nextTo"/>
        <c:txPr>
          <a:bodyPr/>
          <a:lstStyle/>
          <a:p>
            <a:pPr>
              <a:defRPr lang="es-ES" sz="1000" b="1"/>
            </a:pPr>
            <a:endParaRPr lang="es-CO"/>
          </a:p>
        </c:txPr>
        <c:crossAx val="292964032"/>
        <c:crosses val="autoZero"/>
        <c:auto val="1"/>
        <c:lblAlgn val="ctr"/>
        <c:lblOffset val="100"/>
        <c:noMultiLvlLbl val="0"/>
      </c:catAx>
      <c:valAx>
        <c:axId val="292964032"/>
        <c:scaling>
          <c:orientation val="minMax"/>
        </c:scaling>
        <c:delete val="0"/>
        <c:axPos val="l"/>
        <c:numFmt formatCode="0%" sourceLinked="0"/>
        <c:majorTickMark val="none"/>
        <c:minorTickMark val="none"/>
        <c:tickLblPos val="nextTo"/>
        <c:txPr>
          <a:bodyPr/>
          <a:lstStyle/>
          <a:p>
            <a:pPr>
              <a:defRPr lang="es-ES" sz="1000" b="1"/>
            </a:pPr>
            <a:endParaRPr lang="es-CO"/>
          </a:p>
        </c:txPr>
        <c:crossAx val="346378240"/>
        <c:crosses val="autoZero"/>
        <c:crossBetween val="between"/>
      </c:valAx>
      <c:spPr>
        <a:noFill/>
        <a:ln w="19031">
          <a:noFill/>
        </a:ln>
      </c:spPr>
    </c:plotArea>
    <c:plotVisOnly val="1"/>
    <c:dispBlanksAs val="gap"/>
    <c:showDLblsOverMax val="0"/>
  </c:chart>
  <c:spPr>
    <a:ln>
      <a:noFill/>
    </a:ln>
  </c:spPr>
  <c:txPr>
    <a:bodyPr/>
    <a:lstStyle/>
    <a:p>
      <a:pPr>
        <a:defRPr sz="1352"/>
      </a:pPr>
      <a:endParaRPr lang="es-CO"/>
    </a:p>
  </c:txPr>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35"/>
    </mc:Choice>
    <mc:Fallback>
      <c:style val="35"/>
    </mc:Fallback>
  </mc:AlternateContent>
  <c:chart>
    <c:autoTitleDeleted val="1"/>
    <c:view3D>
      <c:rotX val="15"/>
      <c:rotY val="20"/>
      <c:depthPercent val="100"/>
      <c:rAngAx val="1"/>
    </c:view3D>
    <c:floor>
      <c:thickness val="0"/>
    </c:floor>
    <c:side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sideWall>
    <c:back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backWall>
    <c:plotArea>
      <c:layout/>
      <c:bar3DChart>
        <c:barDir val="col"/>
        <c:grouping val="clustered"/>
        <c:varyColors val="1"/>
        <c:ser>
          <c:idx val="0"/>
          <c:order val="0"/>
          <c:tx>
            <c:strRef>
              <c:f>Hoja1!$B$1</c:f>
              <c:strCache>
                <c:ptCount val="1"/>
                <c:pt idx="0">
                  <c:v>Columna2</c:v>
                </c:pt>
              </c:strCache>
            </c:strRef>
          </c:tx>
          <c:invertIfNegative val="0"/>
          <c:dLbls>
            <c:dLbl>
              <c:idx val="1"/>
              <c:layout>
                <c:manualLayout>
                  <c:x val="1.5968063872255488E-2"/>
                  <c:y val="-1.5873015873015879E-2"/>
                </c:manualLayout>
              </c:layout>
              <c:showLegendKey val="0"/>
              <c:showVal val="1"/>
              <c:showCatName val="0"/>
              <c:showSerName val="0"/>
              <c:showPercent val="0"/>
              <c:showBubbleSize val="0"/>
            </c:dLbl>
            <c:dLbl>
              <c:idx val="2"/>
              <c:layout>
                <c:manualLayout>
                  <c:x val="1.862940785096474E-2"/>
                  <c:y val="-7.9365079365079482E-3"/>
                </c:manualLayout>
              </c:layout>
              <c:showLegendKey val="0"/>
              <c:showVal val="1"/>
              <c:showCatName val="0"/>
              <c:showSerName val="0"/>
              <c:showPercent val="0"/>
              <c:showBubbleSize val="0"/>
            </c:dLbl>
            <c:dLbl>
              <c:idx val="3"/>
              <c:layout>
                <c:manualLayout>
                  <c:x val="1.862940785096474E-2"/>
                  <c:y val="-1.1904761904761921E-2"/>
                </c:manualLayout>
              </c:layout>
              <c:showLegendKey val="0"/>
              <c:showVal val="1"/>
              <c:showCatName val="0"/>
              <c:showSerName val="0"/>
              <c:showPercent val="0"/>
              <c:showBubbleSize val="0"/>
            </c:dLbl>
            <c:txPr>
              <a:bodyPr/>
              <a:lstStyle/>
              <a:p>
                <a:pPr>
                  <a:defRPr lang="es-ES" sz="1000" b="1"/>
                </a:pPr>
                <a:endParaRPr lang="es-CO"/>
              </a:p>
            </c:txPr>
            <c:showLegendKey val="0"/>
            <c:showVal val="1"/>
            <c:showCatName val="0"/>
            <c:showSerName val="0"/>
            <c:showPercent val="0"/>
            <c:showBubbleSize val="0"/>
            <c:showLeaderLines val="0"/>
          </c:dLbls>
          <c:cat>
            <c:strRef>
              <c:f>Hoja1!$A$2:$A$5</c:f>
              <c:strCache>
                <c:ptCount val="4"/>
                <c:pt idx="0">
                  <c:v>Meta
2012</c:v>
                </c:pt>
                <c:pt idx="1">
                  <c:v>Avance
2012</c:v>
                </c:pt>
                <c:pt idx="2">
                  <c:v>% de
Cumplimiento</c:v>
                </c:pt>
                <c:pt idx="3">
                  <c:v>Meta
2013</c:v>
                </c:pt>
              </c:strCache>
            </c:strRef>
          </c:cat>
          <c:val>
            <c:numRef>
              <c:f>Hoja1!$B$2:$B$5</c:f>
              <c:numCache>
                <c:formatCode>0.00%</c:formatCode>
                <c:ptCount val="4"/>
                <c:pt idx="0">
                  <c:v>0.2</c:v>
                </c:pt>
                <c:pt idx="1">
                  <c:v>0.2</c:v>
                </c:pt>
                <c:pt idx="2">
                  <c:v>1</c:v>
                </c:pt>
                <c:pt idx="3">
                  <c:v>0.2</c:v>
                </c:pt>
              </c:numCache>
            </c:numRef>
          </c:val>
        </c:ser>
        <c:dLbls>
          <c:showLegendKey val="0"/>
          <c:showVal val="0"/>
          <c:showCatName val="0"/>
          <c:showSerName val="0"/>
          <c:showPercent val="0"/>
          <c:showBubbleSize val="0"/>
        </c:dLbls>
        <c:gapWidth val="150"/>
        <c:shape val="cylinder"/>
        <c:axId val="180568576"/>
        <c:axId val="292965760"/>
        <c:axId val="0"/>
      </c:bar3DChart>
      <c:catAx>
        <c:axId val="180568576"/>
        <c:scaling>
          <c:orientation val="minMax"/>
        </c:scaling>
        <c:delete val="0"/>
        <c:axPos val="b"/>
        <c:numFmt formatCode="General" sourceLinked="1"/>
        <c:majorTickMark val="none"/>
        <c:minorTickMark val="none"/>
        <c:tickLblPos val="nextTo"/>
        <c:txPr>
          <a:bodyPr/>
          <a:lstStyle/>
          <a:p>
            <a:pPr>
              <a:defRPr lang="es-ES" sz="1000" b="1"/>
            </a:pPr>
            <a:endParaRPr lang="es-CO"/>
          </a:p>
        </c:txPr>
        <c:crossAx val="292965760"/>
        <c:crosses val="autoZero"/>
        <c:auto val="1"/>
        <c:lblAlgn val="ctr"/>
        <c:lblOffset val="100"/>
        <c:noMultiLvlLbl val="0"/>
      </c:catAx>
      <c:valAx>
        <c:axId val="292965760"/>
        <c:scaling>
          <c:orientation val="minMax"/>
        </c:scaling>
        <c:delete val="0"/>
        <c:axPos val="l"/>
        <c:numFmt formatCode="0%" sourceLinked="0"/>
        <c:majorTickMark val="none"/>
        <c:minorTickMark val="none"/>
        <c:tickLblPos val="nextTo"/>
        <c:txPr>
          <a:bodyPr/>
          <a:lstStyle/>
          <a:p>
            <a:pPr>
              <a:defRPr lang="es-ES" sz="1000" b="1"/>
            </a:pPr>
            <a:endParaRPr lang="es-CO"/>
          </a:p>
        </c:txPr>
        <c:crossAx val="180568576"/>
        <c:crosses val="autoZero"/>
        <c:crossBetween val="between"/>
      </c:valAx>
      <c:spPr>
        <a:noFill/>
        <a:ln w="19031">
          <a:noFill/>
        </a:ln>
      </c:spPr>
    </c:plotArea>
    <c:plotVisOnly val="1"/>
    <c:dispBlanksAs val="gap"/>
    <c:showDLblsOverMax val="0"/>
  </c:chart>
  <c:spPr>
    <a:ln>
      <a:noFill/>
    </a:ln>
  </c:spPr>
  <c:txPr>
    <a:bodyPr/>
    <a:lstStyle/>
    <a:p>
      <a:pPr>
        <a:defRPr sz="1352"/>
      </a:pPr>
      <a:endParaRPr lang="es-CO"/>
    </a:p>
  </c:txPr>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rAngAx val="1"/>
    </c:view3D>
    <c:floor>
      <c:thickness val="0"/>
    </c:floor>
    <c:sideWall>
      <c:thickness val="0"/>
      <c:spPr>
        <a:gradFill>
          <a:gsLst>
            <a:gs pos="0">
              <a:srgbClr val="FFEFD1"/>
            </a:gs>
            <a:gs pos="64999">
              <a:srgbClr val="F0EBD5"/>
            </a:gs>
            <a:gs pos="100000">
              <a:srgbClr val="D1C39F"/>
            </a:gs>
          </a:gsLst>
          <a:lin ang="5400000" scaled="0"/>
        </a:gradFill>
      </c:spPr>
    </c:sideWall>
    <c:backWall>
      <c:thickness val="0"/>
      <c:spPr>
        <a:gradFill>
          <a:gsLst>
            <a:gs pos="0">
              <a:srgbClr val="FFEFD1"/>
            </a:gs>
            <a:gs pos="64999">
              <a:srgbClr val="F0EBD5"/>
            </a:gs>
            <a:gs pos="100000">
              <a:srgbClr val="D1C39F"/>
            </a:gs>
          </a:gsLst>
          <a:lin ang="5400000" scaled="0"/>
        </a:gradFill>
      </c:spPr>
    </c:backWall>
    <c:plotArea>
      <c:layout/>
      <c:bar3DChart>
        <c:barDir val="col"/>
        <c:grouping val="clustered"/>
        <c:varyColors val="0"/>
        <c:ser>
          <c:idx val="0"/>
          <c:order val="0"/>
          <c:tx>
            <c:strRef>
              <c:f>Hoja1!$A$21</c:f>
              <c:strCache>
                <c:ptCount val="1"/>
                <c:pt idx="0">
                  <c:v>Programas Acreditados de Alta Calidad</c:v>
                </c:pt>
              </c:strCache>
            </c:strRef>
          </c:tx>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txPr>
              <a:bodyPr/>
              <a:lstStyle/>
              <a:p>
                <a:pPr>
                  <a:defRPr sz="1200" b="1"/>
                </a:pPr>
                <a:endParaRPr lang="es-CO"/>
              </a:p>
            </c:txPr>
            <c:showLegendKey val="0"/>
            <c:showVal val="1"/>
            <c:showCatName val="0"/>
            <c:showSerName val="0"/>
            <c:showPercent val="0"/>
            <c:showBubbleSize val="0"/>
            <c:showLeaderLines val="0"/>
          </c:dLbls>
          <c:cat>
            <c:numRef>
              <c:f>Hoja1!$B$20:$E$20</c:f>
              <c:numCache>
                <c:formatCode>General</c:formatCode>
                <c:ptCount val="4"/>
                <c:pt idx="0">
                  <c:v>2009</c:v>
                </c:pt>
                <c:pt idx="1">
                  <c:v>2010</c:v>
                </c:pt>
                <c:pt idx="2">
                  <c:v>2011</c:v>
                </c:pt>
                <c:pt idx="3">
                  <c:v>2012</c:v>
                </c:pt>
              </c:numCache>
            </c:numRef>
          </c:cat>
          <c:val>
            <c:numRef>
              <c:f>Hoja1!$B$21:$E$21</c:f>
              <c:numCache>
                <c:formatCode>General</c:formatCode>
                <c:ptCount val="4"/>
                <c:pt idx="0">
                  <c:v>8</c:v>
                </c:pt>
                <c:pt idx="1">
                  <c:v>11</c:v>
                </c:pt>
                <c:pt idx="2">
                  <c:v>11</c:v>
                </c:pt>
                <c:pt idx="3">
                  <c:v>15</c:v>
                </c:pt>
              </c:numCache>
            </c:numRef>
          </c:val>
        </c:ser>
        <c:dLbls>
          <c:showLegendKey val="0"/>
          <c:showVal val="0"/>
          <c:showCatName val="0"/>
          <c:showSerName val="0"/>
          <c:showPercent val="0"/>
          <c:showBubbleSize val="0"/>
        </c:dLbls>
        <c:gapWidth val="75"/>
        <c:shape val="cylinder"/>
        <c:axId val="180908544"/>
        <c:axId val="292967488"/>
        <c:axId val="0"/>
      </c:bar3DChart>
      <c:catAx>
        <c:axId val="180908544"/>
        <c:scaling>
          <c:orientation val="minMax"/>
        </c:scaling>
        <c:delete val="0"/>
        <c:axPos val="b"/>
        <c:numFmt formatCode="General" sourceLinked="1"/>
        <c:majorTickMark val="none"/>
        <c:minorTickMark val="none"/>
        <c:tickLblPos val="nextTo"/>
        <c:txPr>
          <a:bodyPr/>
          <a:lstStyle/>
          <a:p>
            <a:pPr>
              <a:defRPr b="1"/>
            </a:pPr>
            <a:endParaRPr lang="es-CO"/>
          </a:p>
        </c:txPr>
        <c:crossAx val="292967488"/>
        <c:crosses val="autoZero"/>
        <c:auto val="1"/>
        <c:lblAlgn val="ctr"/>
        <c:lblOffset val="100"/>
        <c:noMultiLvlLbl val="0"/>
      </c:catAx>
      <c:valAx>
        <c:axId val="292967488"/>
        <c:scaling>
          <c:orientation val="minMax"/>
        </c:scaling>
        <c:delete val="0"/>
        <c:axPos val="l"/>
        <c:majorGridlines/>
        <c:numFmt formatCode="General" sourceLinked="1"/>
        <c:majorTickMark val="none"/>
        <c:minorTickMark val="none"/>
        <c:tickLblPos val="nextTo"/>
        <c:spPr>
          <a:ln w="9525">
            <a:noFill/>
          </a:ln>
        </c:spPr>
        <c:txPr>
          <a:bodyPr/>
          <a:lstStyle/>
          <a:p>
            <a:pPr>
              <a:defRPr b="1"/>
            </a:pPr>
            <a:endParaRPr lang="es-CO"/>
          </a:p>
        </c:txPr>
        <c:crossAx val="180908544"/>
        <c:crosses val="autoZero"/>
        <c:crossBetween val="between"/>
      </c:valAx>
    </c:plotArea>
    <c:legend>
      <c:legendPos val="b"/>
      <c:overlay val="0"/>
    </c:legend>
    <c:plotVisOnly val="1"/>
    <c:dispBlanksAs val="gap"/>
    <c:showDLblsOverMax val="0"/>
  </c:chart>
  <c:spPr>
    <a:ln>
      <a:noFill/>
    </a:ln>
  </c:spPr>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floor>
    <c:sideWall>
      <c:thickness val="0"/>
      <c:spPr>
        <a:gradFill>
          <a:gsLst>
            <a:gs pos="0">
              <a:srgbClr val="FFEFD1"/>
            </a:gs>
            <a:gs pos="64999">
              <a:srgbClr val="F0EBD5"/>
            </a:gs>
            <a:gs pos="100000">
              <a:srgbClr val="D1C39F"/>
            </a:gs>
          </a:gsLst>
          <a:lin ang="5400000" scaled="0"/>
        </a:gradFill>
      </c:spPr>
    </c:sideWall>
    <c:backWall>
      <c:thickness val="0"/>
      <c:spPr>
        <a:gradFill>
          <a:gsLst>
            <a:gs pos="0">
              <a:srgbClr val="FFEFD1"/>
            </a:gs>
            <a:gs pos="64999">
              <a:srgbClr val="F0EBD5"/>
            </a:gs>
            <a:gs pos="100000">
              <a:srgbClr val="D1C39F"/>
            </a:gs>
          </a:gsLst>
          <a:lin ang="5400000" scaled="0"/>
        </a:gradFill>
      </c:spPr>
    </c:backWall>
    <c:plotArea>
      <c:layout/>
      <c:bar3DChart>
        <c:barDir val="col"/>
        <c:grouping val="clustered"/>
        <c:varyColors val="0"/>
        <c:ser>
          <c:idx val="0"/>
          <c:order val="0"/>
          <c:tx>
            <c:strRef>
              <c:f>Hoja1!$A$129</c:f>
              <c:strCache>
                <c:ptCount val="1"/>
                <c:pt idx="0">
                  <c:v>Ocupación del egresado en su perfil profesional</c:v>
                </c:pt>
              </c:strCache>
            </c:strRef>
          </c:tx>
          <c:invertIfNegative val="0"/>
          <c:dLbls>
            <c:txPr>
              <a:bodyPr rot="-3060000"/>
              <a:lstStyle/>
              <a:p>
                <a:pPr>
                  <a:defRPr b="1"/>
                </a:pPr>
                <a:endParaRPr lang="es-CO"/>
              </a:p>
            </c:txPr>
            <c:showLegendKey val="0"/>
            <c:showVal val="1"/>
            <c:showCatName val="0"/>
            <c:showSerName val="0"/>
            <c:showPercent val="0"/>
            <c:showBubbleSize val="0"/>
            <c:showLeaderLines val="0"/>
          </c:dLbls>
          <c:cat>
            <c:numRef>
              <c:f>Hoja1!$C$131:$E$131</c:f>
              <c:numCache>
                <c:formatCode>General</c:formatCode>
                <c:ptCount val="3"/>
                <c:pt idx="0">
                  <c:v>2010</c:v>
                </c:pt>
                <c:pt idx="1">
                  <c:v>2011</c:v>
                </c:pt>
                <c:pt idx="2">
                  <c:v>2012</c:v>
                </c:pt>
              </c:numCache>
            </c:numRef>
          </c:cat>
          <c:val>
            <c:numRef>
              <c:f>Hoja1!$C$132:$E$132</c:f>
              <c:numCache>
                <c:formatCode>0.00%</c:formatCode>
                <c:ptCount val="3"/>
                <c:pt idx="0">
                  <c:v>0.75300000000000022</c:v>
                </c:pt>
                <c:pt idx="1">
                  <c:v>0.92410000000000003</c:v>
                </c:pt>
                <c:pt idx="2" formatCode="0%">
                  <c:v>0.83000000000000018</c:v>
                </c:pt>
              </c:numCache>
            </c:numRef>
          </c:val>
        </c:ser>
        <c:dLbls>
          <c:showLegendKey val="0"/>
          <c:showVal val="0"/>
          <c:showCatName val="0"/>
          <c:showSerName val="0"/>
          <c:showPercent val="0"/>
          <c:showBubbleSize val="0"/>
        </c:dLbls>
        <c:gapWidth val="150"/>
        <c:shape val="cylinder"/>
        <c:axId val="180911616"/>
        <c:axId val="292968640"/>
        <c:axId val="0"/>
      </c:bar3DChart>
      <c:valAx>
        <c:axId val="292968640"/>
        <c:scaling>
          <c:orientation val="minMax"/>
        </c:scaling>
        <c:delete val="0"/>
        <c:axPos val="r"/>
        <c:numFmt formatCode="0.00%" sourceLinked="1"/>
        <c:majorTickMark val="out"/>
        <c:minorTickMark val="none"/>
        <c:tickLblPos val="nextTo"/>
        <c:txPr>
          <a:bodyPr/>
          <a:lstStyle/>
          <a:p>
            <a:pPr>
              <a:defRPr b="1"/>
            </a:pPr>
            <a:endParaRPr lang="es-CO"/>
          </a:p>
        </c:txPr>
        <c:crossAx val="180911616"/>
        <c:crosses val="max"/>
        <c:crossBetween val="between"/>
      </c:valAx>
      <c:catAx>
        <c:axId val="180911616"/>
        <c:scaling>
          <c:orientation val="minMax"/>
        </c:scaling>
        <c:delete val="0"/>
        <c:axPos val="b"/>
        <c:numFmt formatCode="General" sourceLinked="1"/>
        <c:majorTickMark val="out"/>
        <c:minorTickMark val="none"/>
        <c:tickLblPos val="nextTo"/>
        <c:txPr>
          <a:bodyPr/>
          <a:lstStyle/>
          <a:p>
            <a:pPr>
              <a:defRPr b="1"/>
            </a:pPr>
            <a:endParaRPr lang="es-CO"/>
          </a:p>
        </c:txPr>
        <c:crossAx val="292968640"/>
        <c:crosses val="autoZero"/>
        <c:auto val="1"/>
        <c:lblAlgn val="ctr"/>
        <c:lblOffset val="100"/>
        <c:noMultiLvlLbl val="0"/>
      </c:catAx>
    </c:plotArea>
    <c:legend>
      <c:legendPos val="b"/>
      <c:overlay val="0"/>
    </c:legend>
    <c:plotVisOnly val="1"/>
    <c:dispBlanksAs val="gap"/>
    <c:showDLblsOverMax val="0"/>
  </c:chart>
  <c:spPr>
    <a:ln>
      <a:noFill/>
    </a:ln>
  </c:spPr>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Hoja1!$A$58</c:f>
              <c:strCache>
                <c:ptCount val="1"/>
                <c:pt idx="0">
                  <c:v>Deserción</c:v>
                </c:pt>
              </c:strCache>
            </c:strRef>
          </c:tx>
          <c:dLbls>
            <c:txPr>
              <a:bodyPr rot="-3060000"/>
              <a:lstStyle/>
              <a:p>
                <a:pPr>
                  <a:defRPr sz="700" b="1"/>
                </a:pPr>
                <a:endParaRPr lang="es-CO"/>
              </a:p>
            </c:txPr>
            <c:dLblPos val="t"/>
            <c:showLegendKey val="0"/>
            <c:showVal val="1"/>
            <c:showCatName val="0"/>
            <c:showSerName val="0"/>
            <c:showPercent val="0"/>
            <c:showBubbleSize val="0"/>
            <c:showLeaderLines val="0"/>
          </c:dLbls>
          <c:cat>
            <c:strRef>
              <c:f>Hoja1!$B$57:$P$57</c:f>
              <c:strCache>
                <c:ptCount val="15"/>
                <c:pt idx="0">
                  <c:v>051 a
052</c:v>
                </c:pt>
                <c:pt idx="1">
                  <c:v>052 a
061</c:v>
                </c:pt>
                <c:pt idx="2">
                  <c:v>061 a
062</c:v>
                </c:pt>
                <c:pt idx="3">
                  <c:v>062 a
071</c:v>
                </c:pt>
                <c:pt idx="4">
                  <c:v>071 a
072</c:v>
                </c:pt>
                <c:pt idx="5">
                  <c:v>072 a
081</c:v>
                </c:pt>
                <c:pt idx="6">
                  <c:v>081 a
082</c:v>
                </c:pt>
                <c:pt idx="7">
                  <c:v>082 a
091</c:v>
                </c:pt>
                <c:pt idx="8">
                  <c:v>091 a
092</c:v>
                </c:pt>
                <c:pt idx="9">
                  <c:v>092 a
101</c:v>
                </c:pt>
                <c:pt idx="10">
                  <c:v>101 a 102</c:v>
                </c:pt>
                <c:pt idx="11">
                  <c:v>102 a 111</c:v>
                </c:pt>
                <c:pt idx="12">
                  <c:v>111 a 112</c:v>
                </c:pt>
                <c:pt idx="13">
                  <c:v>112 a 121</c:v>
                </c:pt>
                <c:pt idx="14">
                  <c:v>121 a 122</c:v>
                </c:pt>
              </c:strCache>
            </c:strRef>
          </c:cat>
          <c:val>
            <c:numRef>
              <c:f>Hoja1!$B$58:$P$58</c:f>
              <c:numCache>
                <c:formatCode>0.00%</c:formatCode>
                <c:ptCount val="15"/>
                <c:pt idx="0">
                  <c:v>0.1305</c:v>
                </c:pt>
                <c:pt idx="1">
                  <c:v>9.0500000000000067E-2</c:v>
                </c:pt>
                <c:pt idx="2">
                  <c:v>9.760000000000002E-2</c:v>
                </c:pt>
                <c:pt idx="3">
                  <c:v>0.10420000000000003</c:v>
                </c:pt>
                <c:pt idx="4">
                  <c:v>0.11119999999999998</c:v>
                </c:pt>
                <c:pt idx="5">
                  <c:v>0.1103</c:v>
                </c:pt>
                <c:pt idx="6">
                  <c:v>0.1114</c:v>
                </c:pt>
                <c:pt idx="7">
                  <c:v>0.11539999999999996</c:v>
                </c:pt>
                <c:pt idx="8">
                  <c:v>0.10550000000000002</c:v>
                </c:pt>
                <c:pt idx="9">
                  <c:v>0.10929999999999999</c:v>
                </c:pt>
                <c:pt idx="10">
                  <c:v>0.10350890044685403</c:v>
                </c:pt>
                <c:pt idx="11">
                  <c:v>0.11232091690544398</c:v>
                </c:pt>
                <c:pt idx="12">
                  <c:v>0.11185835849574495</c:v>
                </c:pt>
                <c:pt idx="13">
                  <c:v>0.14420787701516904</c:v>
                </c:pt>
                <c:pt idx="14">
                  <c:v>9.3600000000000044E-2</c:v>
                </c:pt>
              </c:numCache>
            </c:numRef>
          </c:val>
          <c:smooth val="0"/>
        </c:ser>
        <c:dLbls>
          <c:showLegendKey val="0"/>
          <c:showVal val="0"/>
          <c:showCatName val="0"/>
          <c:showSerName val="0"/>
          <c:showPercent val="0"/>
          <c:showBubbleSize val="0"/>
        </c:dLbls>
        <c:marker val="1"/>
        <c:smooth val="0"/>
        <c:axId val="346381824"/>
        <c:axId val="297337408"/>
      </c:lineChart>
      <c:valAx>
        <c:axId val="297337408"/>
        <c:scaling>
          <c:orientation val="minMax"/>
        </c:scaling>
        <c:delete val="0"/>
        <c:axPos val="r"/>
        <c:numFmt formatCode="0.00%" sourceLinked="1"/>
        <c:majorTickMark val="out"/>
        <c:minorTickMark val="none"/>
        <c:tickLblPos val="nextTo"/>
        <c:txPr>
          <a:bodyPr/>
          <a:lstStyle/>
          <a:p>
            <a:pPr>
              <a:defRPr sz="700" b="1"/>
            </a:pPr>
            <a:endParaRPr lang="es-CO"/>
          </a:p>
        </c:txPr>
        <c:crossAx val="346381824"/>
        <c:crosses val="max"/>
        <c:crossBetween val="between"/>
      </c:valAx>
      <c:catAx>
        <c:axId val="346381824"/>
        <c:scaling>
          <c:orientation val="minMax"/>
        </c:scaling>
        <c:delete val="0"/>
        <c:axPos val="b"/>
        <c:majorTickMark val="out"/>
        <c:minorTickMark val="none"/>
        <c:tickLblPos val="nextTo"/>
        <c:txPr>
          <a:bodyPr/>
          <a:lstStyle/>
          <a:p>
            <a:pPr>
              <a:defRPr sz="800" b="1"/>
            </a:pPr>
            <a:endParaRPr lang="es-CO"/>
          </a:p>
        </c:txPr>
        <c:crossAx val="297337408"/>
        <c:crosses val="autoZero"/>
        <c:auto val="1"/>
        <c:lblAlgn val="ctr"/>
        <c:lblOffset val="100"/>
        <c:noMultiLvlLbl val="0"/>
      </c:catAx>
      <c:spPr>
        <a:gradFill>
          <a:gsLst>
            <a:gs pos="0">
              <a:srgbClr val="FFEFD1"/>
            </a:gs>
            <a:gs pos="64999">
              <a:srgbClr val="F0EBD5"/>
            </a:gs>
            <a:gs pos="100000">
              <a:srgbClr val="D1C39F"/>
            </a:gs>
          </a:gsLst>
          <a:lin ang="5400000" scaled="0"/>
        </a:gradFill>
      </c:spPr>
    </c:plotArea>
    <c:legend>
      <c:legendPos val="b"/>
      <c:overlay val="0"/>
    </c:legend>
    <c:plotVisOnly val="1"/>
    <c:dispBlanksAs val="gap"/>
    <c:showDLblsOverMax val="0"/>
  </c:chart>
  <c:spPr>
    <a:ln>
      <a:noFill/>
    </a:ln>
  </c:spPr>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floor>
    <c:sideWall>
      <c:thickness val="0"/>
      <c:spPr>
        <a:gradFill>
          <a:gsLst>
            <a:gs pos="0">
              <a:srgbClr val="FFEFD1"/>
            </a:gs>
            <a:gs pos="64999">
              <a:srgbClr val="F0EBD5"/>
            </a:gs>
            <a:gs pos="100000">
              <a:srgbClr val="D1C39F"/>
            </a:gs>
          </a:gsLst>
          <a:lin ang="5400000" scaled="0"/>
        </a:gradFill>
      </c:spPr>
    </c:sideWall>
    <c:backWall>
      <c:thickness val="0"/>
      <c:spPr>
        <a:gradFill>
          <a:gsLst>
            <a:gs pos="0">
              <a:srgbClr val="FFEFD1"/>
            </a:gs>
            <a:gs pos="64999">
              <a:srgbClr val="F0EBD5"/>
            </a:gs>
            <a:gs pos="100000">
              <a:srgbClr val="D1C39F"/>
            </a:gs>
          </a:gsLst>
          <a:lin ang="5400000" scaled="0"/>
        </a:gradFill>
      </c:spPr>
    </c:backWall>
    <c:plotArea>
      <c:layout/>
      <c:bar3DChart>
        <c:barDir val="col"/>
        <c:grouping val="clustered"/>
        <c:varyColors val="0"/>
        <c:ser>
          <c:idx val="0"/>
          <c:order val="0"/>
          <c:tx>
            <c:strRef>
              <c:f>Hoja1!$A$140</c:f>
              <c:strCache>
                <c:ptCount val="1"/>
                <c:pt idx="0">
                  <c:v>Nivel de satisfacción de los estudiantes con los profesores</c:v>
                </c:pt>
              </c:strCache>
            </c:strRef>
          </c:tx>
          <c:invertIfNegative val="0"/>
          <c:dLbls>
            <c:txPr>
              <a:bodyPr rot="-3060000"/>
              <a:lstStyle/>
              <a:p>
                <a:pPr>
                  <a:defRPr b="1"/>
                </a:pPr>
                <a:endParaRPr lang="es-CO"/>
              </a:p>
            </c:txPr>
            <c:showLegendKey val="0"/>
            <c:showVal val="1"/>
            <c:showCatName val="0"/>
            <c:showSerName val="0"/>
            <c:showPercent val="0"/>
            <c:showBubbleSize val="0"/>
            <c:showLeaderLines val="0"/>
          </c:dLbls>
          <c:cat>
            <c:numRef>
              <c:f>Hoja1!$B$142:$E$142</c:f>
              <c:numCache>
                <c:formatCode>General</c:formatCode>
                <c:ptCount val="4"/>
                <c:pt idx="0">
                  <c:v>2009</c:v>
                </c:pt>
                <c:pt idx="1">
                  <c:v>2010</c:v>
                </c:pt>
                <c:pt idx="2">
                  <c:v>2011</c:v>
                </c:pt>
                <c:pt idx="3">
                  <c:v>2012</c:v>
                </c:pt>
              </c:numCache>
            </c:numRef>
          </c:cat>
          <c:val>
            <c:numRef>
              <c:f>Hoja1!$B$143:$E$143</c:f>
              <c:numCache>
                <c:formatCode>General</c:formatCode>
                <c:ptCount val="4"/>
                <c:pt idx="0">
                  <c:v>46.05</c:v>
                </c:pt>
                <c:pt idx="1">
                  <c:v>46.05</c:v>
                </c:pt>
                <c:pt idx="2">
                  <c:v>44.43</c:v>
                </c:pt>
                <c:pt idx="3">
                  <c:v>44.6</c:v>
                </c:pt>
              </c:numCache>
            </c:numRef>
          </c:val>
        </c:ser>
        <c:dLbls>
          <c:showLegendKey val="0"/>
          <c:showVal val="0"/>
          <c:showCatName val="0"/>
          <c:showSerName val="0"/>
          <c:showPercent val="0"/>
          <c:showBubbleSize val="0"/>
        </c:dLbls>
        <c:gapWidth val="150"/>
        <c:shape val="cylinder"/>
        <c:axId val="346379264"/>
        <c:axId val="297339136"/>
        <c:axId val="0"/>
      </c:bar3DChart>
      <c:valAx>
        <c:axId val="297339136"/>
        <c:scaling>
          <c:orientation val="minMax"/>
          <c:min val="0"/>
        </c:scaling>
        <c:delete val="0"/>
        <c:axPos val="r"/>
        <c:numFmt formatCode="General" sourceLinked="1"/>
        <c:majorTickMark val="out"/>
        <c:minorTickMark val="none"/>
        <c:tickLblPos val="nextTo"/>
        <c:txPr>
          <a:bodyPr/>
          <a:lstStyle/>
          <a:p>
            <a:pPr>
              <a:defRPr b="1"/>
            </a:pPr>
            <a:endParaRPr lang="es-CO"/>
          </a:p>
        </c:txPr>
        <c:crossAx val="346379264"/>
        <c:crosses val="max"/>
        <c:crossBetween val="between"/>
      </c:valAx>
      <c:catAx>
        <c:axId val="346379264"/>
        <c:scaling>
          <c:orientation val="minMax"/>
        </c:scaling>
        <c:delete val="0"/>
        <c:axPos val="b"/>
        <c:numFmt formatCode="General" sourceLinked="1"/>
        <c:majorTickMark val="out"/>
        <c:minorTickMark val="none"/>
        <c:tickLblPos val="nextTo"/>
        <c:txPr>
          <a:bodyPr/>
          <a:lstStyle/>
          <a:p>
            <a:pPr>
              <a:defRPr b="1"/>
            </a:pPr>
            <a:endParaRPr lang="es-CO"/>
          </a:p>
        </c:txPr>
        <c:crossAx val="297339136"/>
        <c:crosses val="autoZero"/>
        <c:auto val="1"/>
        <c:lblAlgn val="ctr"/>
        <c:lblOffset val="100"/>
        <c:noMultiLvlLbl val="0"/>
      </c:catAx>
    </c:plotArea>
    <c:legend>
      <c:legendPos val="b"/>
      <c:overlay val="0"/>
    </c:legend>
    <c:plotVisOnly val="1"/>
    <c:dispBlanksAs val="gap"/>
    <c:showDLblsOverMax val="0"/>
  </c:chart>
  <c:spPr>
    <a:ln>
      <a:noFill/>
    </a:ln>
  </c:spPr>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floor>
    <c:sideWall>
      <c:thickness val="0"/>
      <c:spPr>
        <a:gradFill>
          <a:gsLst>
            <a:gs pos="0">
              <a:srgbClr val="FFEFD1"/>
            </a:gs>
            <a:gs pos="64999">
              <a:srgbClr val="F0EBD5"/>
            </a:gs>
            <a:gs pos="100000">
              <a:srgbClr val="D1C39F"/>
            </a:gs>
          </a:gsLst>
          <a:lin ang="5400000" scaled="0"/>
        </a:gradFill>
      </c:spPr>
    </c:sideWall>
    <c:backWall>
      <c:thickness val="0"/>
      <c:spPr>
        <a:gradFill>
          <a:gsLst>
            <a:gs pos="0">
              <a:srgbClr val="FFEFD1"/>
            </a:gs>
            <a:gs pos="64999">
              <a:srgbClr val="F0EBD5"/>
            </a:gs>
            <a:gs pos="100000">
              <a:srgbClr val="D1C39F"/>
            </a:gs>
          </a:gsLst>
          <a:lin ang="5400000" scaled="0"/>
        </a:gradFill>
      </c:spPr>
    </c:backWall>
    <c:plotArea>
      <c:layout/>
      <c:bar3DChart>
        <c:barDir val="col"/>
        <c:grouping val="clustered"/>
        <c:varyColors val="0"/>
        <c:ser>
          <c:idx val="0"/>
          <c:order val="0"/>
          <c:tx>
            <c:strRef>
              <c:f>Hoja1!$A$145</c:f>
              <c:strCache>
                <c:ptCount val="1"/>
                <c:pt idx="0">
                  <c:v>Nivel de satisfacción de los estudiantes con el programa</c:v>
                </c:pt>
              </c:strCache>
            </c:strRef>
          </c:tx>
          <c:invertIfNegative val="0"/>
          <c:dLbls>
            <c:txPr>
              <a:bodyPr rot="-3060000"/>
              <a:lstStyle/>
              <a:p>
                <a:pPr>
                  <a:defRPr b="1"/>
                </a:pPr>
                <a:endParaRPr lang="es-CO"/>
              </a:p>
            </c:txPr>
            <c:showLegendKey val="0"/>
            <c:showVal val="1"/>
            <c:showCatName val="0"/>
            <c:showSerName val="0"/>
            <c:showPercent val="0"/>
            <c:showBubbleSize val="0"/>
            <c:showLeaderLines val="0"/>
          </c:dLbls>
          <c:cat>
            <c:numRef>
              <c:f>Hoja1!$C$147:$E$147</c:f>
              <c:numCache>
                <c:formatCode>General</c:formatCode>
                <c:ptCount val="3"/>
                <c:pt idx="0">
                  <c:v>2010</c:v>
                </c:pt>
                <c:pt idx="1">
                  <c:v>2011</c:v>
                </c:pt>
                <c:pt idx="2">
                  <c:v>2012</c:v>
                </c:pt>
              </c:numCache>
            </c:numRef>
          </c:cat>
          <c:val>
            <c:numRef>
              <c:f>Hoja1!$C$148:$E$148</c:f>
              <c:numCache>
                <c:formatCode>General</c:formatCode>
                <c:ptCount val="3"/>
                <c:pt idx="0">
                  <c:v>57.03</c:v>
                </c:pt>
                <c:pt idx="1">
                  <c:v>82.97</c:v>
                </c:pt>
                <c:pt idx="2">
                  <c:v>82.97</c:v>
                </c:pt>
              </c:numCache>
            </c:numRef>
          </c:val>
        </c:ser>
        <c:dLbls>
          <c:showLegendKey val="0"/>
          <c:showVal val="0"/>
          <c:showCatName val="0"/>
          <c:showSerName val="0"/>
          <c:showPercent val="0"/>
          <c:showBubbleSize val="0"/>
        </c:dLbls>
        <c:gapWidth val="150"/>
        <c:shape val="cylinder"/>
        <c:axId val="337813504"/>
        <c:axId val="297340864"/>
        <c:axId val="0"/>
      </c:bar3DChart>
      <c:valAx>
        <c:axId val="297340864"/>
        <c:scaling>
          <c:orientation val="minMax"/>
        </c:scaling>
        <c:delete val="0"/>
        <c:axPos val="r"/>
        <c:numFmt formatCode="General" sourceLinked="1"/>
        <c:majorTickMark val="out"/>
        <c:minorTickMark val="none"/>
        <c:tickLblPos val="nextTo"/>
        <c:txPr>
          <a:bodyPr/>
          <a:lstStyle/>
          <a:p>
            <a:pPr>
              <a:defRPr b="1"/>
            </a:pPr>
            <a:endParaRPr lang="es-CO"/>
          </a:p>
        </c:txPr>
        <c:crossAx val="337813504"/>
        <c:crosses val="max"/>
        <c:crossBetween val="between"/>
      </c:valAx>
      <c:catAx>
        <c:axId val="337813504"/>
        <c:scaling>
          <c:orientation val="minMax"/>
        </c:scaling>
        <c:delete val="0"/>
        <c:axPos val="b"/>
        <c:numFmt formatCode="General" sourceLinked="1"/>
        <c:majorTickMark val="out"/>
        <c:minorTickMark val="none"/>
        <c:tickLblPos val="nextTo"/>
        <c:txPr>
          <a:bodyPr/>
          <a:lstStyle/>
          <a:p>
            <a:pPr>
              <a:defRPr b="1"/>
            </a:pPr>
            <a:endParaRPr lang="es-CO"/>
          </a:p>
        </c:txPr>
        <c:crossAx val="297340864"/>
        <c:crosses val="autoZero"/>
        <c:auto val="1"/>
        <c:lblAlgn val="ctr"/>
        <c:lblOffset val="100"/>
        <c:noMultiLvlLbl val="0"/>
      </c:catAx>
    </c:plotArea>
    <c:legend>
      <c:legendPos val="b"/>
      <c:overlay val="0"/>
    </c:legend>
    <c:plotVisOnly val="1"/>
    <c:dispBlanksAs val="gap"/>
    <c:showDLblsOverMax val="0"/>
  </c:chart>
  <c:spPr>
    <a:ln>
      <a:noFill/>
    </a:ln>
  </c:spPr>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floor>
    <c:sideWall>
      <c:thickness val="0"/>
      <c:spPr>
        <a:gradFill>
          <a:gsLst>
            <a:gs pos="0">
              <a:srgbClr val="FFEFD1"/>
            </a:gs>
            <a:gs pos="64999">
              <a:srgbClr val="F0EBD5"/>
            </a:gs>
            <a:gs pos="100000">
              <a:srgbClr val="D1C39F"/>
            </a:gs>
          </a:gsLst>
          <a:lin ang="5400000" scaled="0"/>
        </a:gradFill>
      </c:spPr>
    </c:sideWall>
    <c:backWall>
      <c:thickness val="0"/>
      <c:spPr>
        <a:gradFill>
          <a:gsLst>
            <a:gs pos="0">
              <a:srgbClr val="FFEFD1"/>
            </a:gs>
            <a:gs pos="64999">
              <a:srgbClr val="F0EBD5"/>
            </a:gs>
            <a:gs pos="100000">
              <a:srgbClr val="D1C39F"/>
            </a:gs>
          </a:gsLst>
          <a:lin ang="5400000" scaled="0"/>
        </a:gradFill>
      </c:spPr>
    </c:backWall>
    <c:plotArea>
      <c:layout/>
      <c:bar3DChart>
        <c:barDir val="col"/>
        <c:grouping val="clustered"/>
        <c:varyColors val="0"/>
        <c:ser>
          <c:idx val="0"/>
          <c:order val="0"/>
          <c:tx>
            <c:strRef>
              <c:f>Hoja1!$A$150</c:f>
              <c:strCache>
                <c:ptCount val="1"/>
                <c:pt idx="0">
                  <c:v>Nivel de satisfacción de los egresados con el programa</c:v>
                </c:pt>
              </c:strCache>
            </c:strRef>
          </c:tx>
          <c:invertIfNegative val="0"/>
          <c:dLbls>
            <c:txPr>
              <a:bodyPr rot="-3060000"/>
              <a:lstStyle/>
              <a:p>
                <a:pPr>
                  <a:defRPr b="1"/>
                </a:pPr>
                <a:endParaRPr lang="es-CO"/>
              </a:p>
            </c:txPr>
            <c:showLegendKey val="0"/>
            <c:showVal val="1"/>
            <c:showCatName val="0"/>
            <c:showSerName val="0"/>
            <c:showPercent val="0"/>
            <c:showBubbleSize val="0"/>
            <c:showLeaderLines val="0"/>
          </c:dLbls>
          <c:cat>
            <c:numRef>
              <c:f>Hoja1!$C$152:$E$152</c:f>
              <c:numCache>
                <c:formatCode>General</c:formatCode>
                <c:ptCount val="3"/>
                <c:pt idx="0">
                  <c:v>2010</c:v>
                </c:pt>
                <c:pt idx="1">
                  <c:v>2011</c:v>
                </c:pt>
                <c:pt idx="2">
                  <c:v>2012</c:v>
                </c:pt>
              </c:numCache>
            </c:numRef>
          </c:cat>
          <c:val>
            <c:numRef>
              <c:f>Hoja1!$C$153:$E$153</c:f>
              <c:numCache>
                <c:formatCode>0.00%</c:formatCode>
                <c:ptCount val="3"/>
                <c:pt idx="0">
                  <c:v>0.86980000000000024</c:v>
                </c:pt>
                <c:pt idx="1">
                  <c:v>0.91100000000000003</c:v>
                </c:pt>
                <c:pt idx="2" formatCode="0%">
                  <c:v>0.92</c:v>
                </c:pt>
              </c:numCache>
            </c:numRef>
          </c:val>
        </c:ser>
        <c:dLbls>
          <c:showLegendKey val="0"/>
          <c:showVal val="0"/>
          <c:showCatName val="0"/>
          <c:showSerName val="0"/>
          <c:showPercent val="0"/>
          <c:showBubbleSize val="0"/>
        </c:dLbls>
        <c:gapWidth val="150"/>
        <c:shape val="cylinder"/>
        <c:axId val="346415616"/>
        <c:axId val="297342592"/>
        <c:axId val="0"/>
      </c:bar3DChart>
      <c:valAx>
        <c:axId val="297342592"/>
        <c:scaling>
          <c:orientation val="minMax"/>
        </c:scaling>
        <c:delete val="0"/>
        <c:axPos val="r"/>
        <c:numFmt formatCode="0.00%" sourceLinked="1"/>
        <c:majorTickMark val="out"/>
        <c:minorTickMark val="none"/>
        <c:tickLblPos val="nextTo"/>
        <c:txPr>
          <a:bodyPr/>
          <a:lstStyle/>
          <a:p>
            <a:pPr>
              <a:defRPr b="1"/>
            </a:pPr>
            <a:endParaRPr lang="es-CO"/>
          </a:p>
        </c:txPr>
        <c:crossAx val="346415616"/>
        <c:crosses val="max"/>
        <c:crossBetween val="between"/>
      </c:valAx>
      <c:catAx>
        <c:axId val="346415616"/>
        <c:scaling>
          <c:orientation val="minMax"/>
        </c:scaling>
        <c:delete val="0"/>
        <c:axPos val="b"/>
        <c:numFmt formatCode="General" sourceLinked="1"/>
        <c:majorTickMark val="out"/>
        <c:minorTickMark val="none"/>
        <c:tickLblPos val="nextTo"/>
        <c:txPr>
          <a:bodyPr/>
          <a:lstStyle/>
          <a:p>
            <a:pPr>
              <a:defRPr b="1"/>
            </a:pPr>
            <a:endParaRPr lang="es-CO"/>
          </a:p>
        </c:txPr>
        <c:crossAx val="297342592"/>
        <c:crosses val="autoZero"/>
        <c:auto val="1"/>
        <c:lblAlgn val="ctr"/>
        <c:lblOffset val="100"/>
        <c:noMultiLvlLbl val="0"/>
      </c:catAx>
    </c:plotArea>
    <c:legend>
      <c:legendPos val="b"/>
      <c:overlay val="0"/>
    </c:legend>
    <c:plotVisOnly val="1"/>
    <c:dispBlanksAs val="gap"/>
    <c:showDLblsOverMax val="0"/>
  </c:chart>
  <c:spPr>
    <a:ln>
      <a:noFill/>
    </a:ln>
  </c:spPr>
  <c:externalData r:id="rId1">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10"/>
    </mc:Choice>
    <mc:Fallback>
      <c:style val="10"/>
    </mc:Fallback>
  </mc:AlternateContent>
  <c:chart>
    <c:autoTitleDeleted val="1"/>
    <c:plotArea>
      <c:layout/>
      <c:lineChart>
        <c:grouping val="standard"/>
        <c:varyColors val="0"/>
        <c:ser>
          <c:idx val="0"/>
          <c:order val="0"/>
          <c:tx>
            <c:strRef>
              <c:f>Hoja1!$A$203</c:f>
              <c:strCache>
                <c:ptCount val="1"/>
                <c:pt idx="0">
                  <c:v>Con Registro SNIES</c:v>
                </c:pt>
              </c:strCache>
            </c:strRef>
          </c:tx>
          <c:dLbls>
            <c:txPr>
              <a:bodyPr/>
              <a:lstStyle/>
              <a:p>
                <a:pPr>
                  <a:defRPr b="1">
                    <a:solidFill>
                      <a:schemeClr val="tx2"/>
                    </a:solidFill>
                  </a:defRPr>
                </a:pPr>
                <a:endParaRPr lang="es-CO"/>
              </a:p>
            </c:txPr>
            <c:dLblPos val="t"/>
            <c:showLegendKey val="0"/>
            <c:showVal val="1"/>
            <c:showCatName val="0"/>
            <c:showSerName val="0"/>
            <c:showPercent val="0"/>
            <c:showBubbleSize val="0"/>
            <c:showLeaderLines val="0"/>
          </c:dLbls>
          <c:cat>
            <c:numRef>
              <c:f>Hoja1!$B$202:$K$202</c:f>
              <c:numCache>
                <c:formatCode>General</c:formatCode>
                <c:ptCount val="10"/>
                <c:pt idx="0">
                  <c:v>2003</c:v>
                </c:pt>
                <c:pt idx="1">
                  <c:v>2004</c:v>
                </c:pt>
                <c:pt idx="2">
                  <c:v>2005</c:v>
                </c:pt>
                <c:pt idx="3">
                  <c:v>2006</c:v>
                </c:pt>
                <c:pt idx="4">
                  <c:v>2007</c:v>
                </c:pt>
                <c:pt idx="5">
                  <c:v>2008</c:v>
                </c:pt>
                <c:pt idx="6">
                  <c:v>2009</c:v>
                </c:pt>
                <c:pt idx="7">
                  <c:v>2010</c:v>
                </c:pt>
                <c:pt idx="8">
                  <c:v>2011</c:v>
                </c:pt>
                <c:pt idx="9">
                  <c:v>2012</c:v>
                </c:pt>
              </c:numCache>
            </c:numRef>
          </c:cat>
          <c:val>
            <c:numRef>
              <c:f>Hoja1!$B$203:$K$203</c:f>
              <c:numCache>
                <c:formatCode>General</c:formatCode>
                <c:ptCount val="10"/>
                <c:pt idx="0">
                  <c:v>44</c:v>
                </c:pt>
                <c:pt idx="1">
                  <c:v>45</c:v>
                </c:pt>
                <c:pt idx="2">
                  <c:v>49</c:v>
                </c:pt>
                <c:pt idx="3">
                  <c:v>54</c:v>
                </c:pt>
                <c:pt idx="4">
                  <c:v>71</c:v>
                </c:pt>
                <c:pt idx="5">
                  <c:v>95</c:v>
                </c:pt>
                <c:pt idx="6">
                  <c:v>99</c:v>
                </c:pt>
                <c:pt idx="7">
                  <c:v>108</c:v>
                </c:pt>
                <c:pt idx="8">
                  <c:v>107</c:v>
                </c:pt>
                <c:pt idx="9">
                  <c:v>109</c:v>
                </c:pt>
              </c:numCache>
            </c:numRef>
          </c:val>
          <c:smooth val="0"/>
        </c:ser>
        <c:ser>
          <c:idx val="1"/>
          <c:order val="1"/>
          <c:tx>
            <c:strRef>
              <c:f>Hoja1!$A$204</c:f>
              <c:strCache>
                <c:ptCount val="1"/>
                <c:pt idx="0">
                  <c:v>Ofrecidos</c:v>
                </c:pt>
              </c:strCache>
            </c:strRef>
          </c:tx>
          <c:dLbls>
            <c:txPr>
              <a:bodyPr/>
              <a:lstStyle/>
              <a:p>
                <a:pPr>
                  <a:defRPr b="1">
                    <a:solidFill>
                      <a:srgbClr val="C00000"/>
                    </a:solidFill>
                  </a:defRPr>
                </a:pPr>
                <a:endParaRPr lang="es-CO"/>
              </a:p>
            </c:txPr>
            <c:dLblPos val="b"/>
            <c:showLegendKey val="0"/>
            <c:showVal val="1"/>
            <c:showCatName val="0"/>
            <c:showSerName val="0"/>
            <c:showPercent val="0"/>
            <c:showBubbleSize val="0"/>
            <c:showLeaderLines val="0"/>
          </c:dLbls>
          <c:cat>
            <c:numRef>
              <c:f>Hoja1!$B$202:$K$202</c:f>
              <c:numCache>
                <c:formatCode>General</c:formatCode>
                <c:ptCount val="10"/>
                <c:pt idx="0">
                  <c:v>2003</c:v>
                </c:pt>
                <c:pt idx="1">
                  <c:v>2004</c:v>
                </c:pt>
                <c:pt idx="2">
                  <c:v>2005</c:v>
                </c:pt>
                <c:pt idx="3">
                  <c:v>2006</c:v>
                </c:pt>
                <c:pt idx="4">
                  <c:v>2007</c:v>
                </c:pt>
                <c:pt idx="5">
                  <c:v>2008</c:v>
                </c:pt>
                <c:pt idx="6">
                  <c:v>2009</c:v>
                </c:pt>
                <c:pt idx="7">
                  <c:v>2010</c:v>
                </c:pt>
                <c:pt idx="8">
                  <c:v>2011</c:v>
                </c:pt>
                <c:pt idx="9">
                  <c:v>2012</c:v>
                </c:pt>
              </c:numCache>
            </c:numRef>
          </c:cat>
          <c:val>
            <c:numRef>
              <c:f>Hoja1!$B$204:$K$204</c:f>
              <c:numCache>
                <c:formatCode>General</c:formatCode>
                <c:ptCount val="10"/>
                <c:pt idx="0">
                  <c:v>38</c:v>
                </c:pt>
                <c:pt idx="1">
                  <c:v>42</c:v>
                </c:pt>
                <c:pt idx="2">
                  <c:v>44</c:v>
                </c:pt>
                <c:pt idx="3">
                  <c:v>45</c:v>
                </c:pt>
                <c:pt idx="4">
                  <c:v>50</c:v>
                </c:pt>
                <c:pt idx="5">
                  <c:v>56</c:v>
                </c:pt>
                <c:pt idx="6">
                  <c:v>76</c:v>
                </c:pt>
                <c:pt idx="7">
                  <c:v>85</c:v>
                </c:pt>
                <c:pt idx="8">
                  <c:v>89</c:v>
                </c:pt>
                <c:pt idx="9">
                  <c:v>89</c:v>
                </c:pt>
              </c:numCache>
            </c:numRef>
          </c:val>
          <c:smooth val="0"/>
        </c:ser>
        <c:dLbls>
          <c:showLegendKey val="0"/>
          <c:showVal val="0"/>
          <c:showCatName val="0"/>
          <c:showSerName val="0"/>
          <c:showPercent val="0"/>
          <c:showBubbleSize val="0"/>
        </c:dLbls>
        <c:marker val="1"/>
        <c:smooth val="0"/>
        <c:axId val="339935232"/>
        <c:axId val="297344320"/>
      </c:lineChart>
      <c:catAx>
        <c:axId val="339935232"/>
        <c:scaling>
          <c:orientation val="minMax"/>
        </c:scaling>
        <c:delete val="0"/>
        <c:axPos val="b"/>
        <c:numFmt formatCode="General" sourceLinked="1"/>
        <c:majorTickMark val="none"/>
        <c:minorTickMark val="none"/>
        <c:tickLblPos val="nextTo"/>
        <c:crossAx val="297344320"/>
        <c:crosses val="autoZero"/>
        <c:auto val="1"/>
        <c:lblAlgn val="ctr"/>
        <c:lblOffset val="100"/>
        <c:noMultiLvlLbl val="0"/>
      </c:catAx>
      <c:valAx>
        <c:axId val="297344320"/>
        <c:scaling>
          <c:orientation val="minMax"/>
        </c:scaling>
        <c:delete val="0"/>
        <c:axPos val="l"/>
        <c:majorGridlines/>
        <c:numFmt formatCode="General" sourceLinked="1"/>
        <c:majorTickMark val="none"/>
        <c:minorTickMark val="none"/>
        <c:tickLblPos val="nextTo"/>
        <c:crossAx val="339935232"/>
        <c:crosses val="autoZero"/>
        <c:crossBetween val="between"/>
      </c:valAx>
      <c:spPr>
        <a:gradFill>
          <a:gsLst>
            <a:gs pos="0">
              <a:srgbClr val="FFEFD1"/>
            </a:gs>
            <a:gs pos="64999">
              <a:srgbClr val="F0EBD5"/>
            </a:gs>
            <a:gs pos="100000">
              <a:srgbClr val="D1C39F"/>
            </a:gs>
          </a:gsLst>
          <a:lin ang="5400000" scaled="0"/>
        </a:gradFill>
        <a:ln>
          <a:noFill/>
        </a:ln>
      </c:spPr>
    </c:plotArea>
    <c:legend>
      <c:legendPos val="b"/>
      <c:overlay val="0"/>
      <c:txPr>
        <a:bodyPr/>
        <a:lstStyle/>
        <a:p>
          <a:pPr>
            <a:defRPr b="1"/>
          </a:pPr>
          <a:endParaRPr lang="es-CO"/>
        </a:p>
      </c:txPr>
    </c:legend>
    <c:plotVisOnly val="1"/>
    <c:dispBlanksAs val="gap"/>
    <c:showDLblsOverMax val="0"/>
  </c:chart>
  <c:spPr>
    <a:ln>
      <a:noFill/>
    </a:ln>
  </c:spPr>
  <c:externalData r:id="rId1">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pPr>
        <a:gradFill>
          <a:gsLst>
            <a:gs pos="0">
              <a:srgbClr val="FFEFD1"/>
            </a:gs>
            <a:gs pos="64999">
              <a:srgbClr val="F0EBD5"/>
            </a:gs>
            <a:gs pos="100000">
              <a:srgbClr val="D1C39F"/>
            </a:gs>
          </a:gsLst>
          <a:lin ang="5400000" scaled="0"/>
        </a:gradFill>
      </c:spPr>
    </c:sideWall>
    <c:backWall>
      <c:thickness val="0"/>
      <c:spPr>
        <a:gradFill>
          <a:gsLst>
            <a:gs pos="0">
              <a:srgbClr val="FFEFD1"/>
            </a:gs>
            <a:gs pos="64999">
              <a:srgbClr val="F0EBD5"/>
            </a:gs>
            <a:gs pos="100000">
              <a:srgbClr val="D1C39F"/>
            </a:gs>
          </a:gsLst>
          <a:lin ang="5400000" scaled="0"/>
        </a:gradFill>
      </c:spPr>
    </c:backWall>
    <c:plotArea>
      <c:layout>
        <c:manualLayout>
          <c:layoutTarget val="inner"/>
          <c:xMode val="edge"/>
          <c:yMode val="edge"/>
          <c:x val="2.4444444444444446E-2"/>
          <c:y val="3.2407407407407419E-2"/>
          <c:w val="0.95111111111111113"/>
          <c:h val="0.84367271799358445"/>
        </c:manualLayout>
      </c:layout>
      <c:bar3DChart>
        <c:barDir val="col"/>
        <c:grouping val="clustered"/>
        <c:varyColors val="0"/>
        <c:ser>
          <c:idx val="0"/>
          <c:order val="0"/>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Pt>
            <c:idx val="1"/>
            <c:invertIfNegative val="0"/>
            <c:bubble3D val="0"/>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2"/>
            <c:invertIfNegative val="0"/>
            <c:bubble3D val="0"/>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3"/>
            <c:invertIfNegative val="0"/>
            <c:bubble3D val="0"/>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Lbls>
            <c:txPr>
              <a:bodyPr/>
              <a:lstStyle/>
              <a:p>
                <a:pPr>
                  <a:defRPr sz="1400" b="1"/>
                </a:pPr>
                <a:endParaRPr lang="es-CO"/>
              </a:p>
            </c:txPr>
            <c:showLegendKey val="0"/>
            <c:showVal val="1"/>
            <c:showCatName val="0"/>
            <c:showSerName val="0"/>
            <c:showPercent val="0"/>
            <c:showBubbleSize val="0"/>
            <c:showLeaderLines val="0"/>
          </c:dLbls>
          <c:cat>
            <c:strRef>
              <c:f>Hoja1!$B$102:$B$105</c:f>
              <c:strCache>
                <c:ptCount val="4"/>
                <c:pt idx="0">
                  <c:v>Pregrado</c:v>
                </c:pt>
                <c:pt idx="1">
                  <c:v>Especialización</c:v>
                </c:pt>
                <c:pt idx="2">
                  <c:v>Maestría</c:v>
                </c:pt>
                <c:pt idx="3">
                  <c:v>Doctorado</c:v>
                </c:pt>
              </c:strCache>
            </c:strRef>
          </c:cat>
          <c:val>
            <c:numRef>
              <c:f>Hoja1!$C$102:$C$105</c:f>
              <c:numCache>
                <c:formatCode>General</c:formatCode>
                <c:ptCount val="4"/>
                <c:pt idx="0">
                  <c:v>45</c:v>
                </c:pt>
                <c:pt idx="1">
                  <c:v>11</c:v>
                </c:pt>
                <c:pt idx="2">
                  <c:v>29</c:v>
                </c:pt>
                <c:pt idx="3">
                  <c:v>4</c:v>
                </c:pt>
              </c:numCache>
            </c:numRef>
          </c:val>
        </c:ser>
        <c:dLbls>
          <c:showLegendKey val="0"/>
          <c:showVal val="0"/>
          <c:showCatName val="0"/>
          <c:showSerName val="0"/>
          <c:showPercent val="0"/>
          <c:showBubbleSize val="0"/>
        </c:dLbls>
        <c:gapWidth val="150"/>
        <c:shape val="cylinder"/>
        <c:axId val="339980288"/>
        <c:axId val="297657472"/>
        <c:axId val="0"/>
      </c:bar3DChart>
      <c:catAx>
        <c:axId val="339980288"/>
        <c:scaling>
          <c:orientation val="minMax"/>
        </c:scaling>
        <c:delete val="0"/>
        <c:axPos val="b"/>
        <c:majorTickMark val="out"/>
        <c:minorTickMark val="none"/>
        <c:tickLblPos val="nextTo"/>
        <c:txPr>
          <a:bodyPr/>
          <a:lstStyle/>
          <a:p>
            <a:pPr>
              <a:defRPr sz="900" b="1"/>
            </a:pPr>
            <a:endParaRPr lang="es-CO"/>
          </a:p>
        </c:txPr>
        <c:crossAx val="297657472"/>
        <c:crosses val="autoZero"/>
        <c:auto val="1"/>
        <c:lblAlgn val="ctr"/>
        <c:lblOffset val="100"/>
        <c:noMultiLvlLbl val="0"/>
      </c:catAx>
      <c:valAx>
        <c:axId val="297657472"/>
        <c:scaling>
          <c:orientation val="minMax"/>
        </c:scaling>
        <c:delete val="1"/>
        <c:axPos val="l"/>
        <c:numFmt formatCode="General" sourceLinked="1"/>
        <c:majorTickMark val="out"/>
        <c:minorTickMark val="none"/>
        <c:tickLblPos val="none"/>
        <c:crossAx val="339980288"/>
        <c:crosses val="autoZero"/>
        <c:crossBetween val="between"/>
      </c:valAx>
    </c:plotArea>
    <c:plotVisOnly val="1"/>
    <c:dispBlanksAs val="gap"/>
    <c:showDLblsOverMax val="0"/>
  </c:chart>
  <c:spPr>
    <a:ln>
      <a:noFill/>
    </a:ln>
  </c:spPr>
  <c:externalData r:id="rId1">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1"/>
    <c:plotArea>
      <c:layout/>
      <c:lineChart>
        <c:grouping val="standard"/>
        <c:varyColors val="0"/>
        <c:ser>
          <c:idx val="0"/>
          <c:order val="0"/>
          <c:tx>
            <c:strRef>
              <c:f>Hoja1!$A$35</c:f>
              <c:strCache>
                <c:ptCount val="1"/>
                <c:pt idx="0">
                  <c:v>Pregrado</c:v>
                </c:pt>
              </c:strCache>
            </c:strRef>
          </c:tx>
          <c:dLbls>
            <c:txPr>
              <a:bodyPr rot="-3060000"/>
              <a:lstStyle/>
              <a:p>
                <a:pPr>
                  <a:defRPr sz="800" b="1">
                    <a:solidFill>
                      <a:schemeClr val="accent1"/>
                    </a:solidFill>
                  </a:defRPr>
                </a:pPr>
                <a:endParaRPr lang="es-CO"/>
              </a:p>
            </c:txPr>
            <c:dLblPos val="b"/>
            <c:showLegendKey val="0"/>
            <c:showVal val="1"/>
            <c:showCatName val="0"/>
            <c:showSerName val="0"/>
            <c:showPercent val="0"/>
            <c:showBubbleSize val="0"/>
            <c:showLeaderLines val="0"/>
          </c:dLbls>
          <c:cat>
            <c:strRef>
              <c:f>Hoja1!$B$34:$U$34</c:f>
              <c:strCache>
                <c:ptCount val="20"/>
                <c:pt idx="0">
                  <c:v>03-1</c:v>
                </c:pt>
                <c:pt idx="1">
                  <c:v>03-2</c:v>
                </c:pt>
                <c:pt idx="2">
                  <c:v>04-1</c:v>
                </c:pt>
                <c:pt idx="3">
                  <c:v>04-2</c:v>
                </c:pt>
                <c:pt idx="4">
                  <c:v>05-1</c:v>
                </c:pt>
                <c:pt idx="5">
                  <c:v>05-2</c:v>
                </c:pt>
                <c:pt idx="6">
                  <c:v>06-1</c:v>
                </c:pt>
                <c:pt idx="7">
                  <c:v>06-2</c:v>
                </c:pt>
                <c:pt idx="8">
                  <c:v>07-1</c:v>
                </c:pt>
                <c:pt idx="9">
                  <c:v>07-2</c:v>
                </c:pt>
                <c:pt idx="10">
                  <c:v>08-1</c:v>
                </c:pt>
                <c:pt idx="11">
                  <c:v>08-2</c:v>
                </c:pt>
                <c:pt idx="12">
                  <c:v>09-1</c:v>
                </c:pt>
                <c:pt idx="13">
                  <c:v>09-2</c:v>
                </c:pt>
                <c:pt idx="14">
                  <c:v>10-1</c:v>
                </c:pt>
                <c:pt idx="15">
                  <c:v>10-2</c:v>
                </c:pt>
                <c:pt idx="16">
                  <c:v>11-1</c:v>
                </c:pt>
                <c:pt idx="17">
                  <c:v>11-2</c:v>
                </c:pt>
                <c:pt idx="18">
                  <c:v>12-1</c:v>
                </c:pt>
                <c:pt idx="19">
                  <c:v>12-2</c:v>
                </c:pt>
              </c:strCache>
            </c:strRef>
          </c:cat>
          <c:val>
            <c:numRef>
              <c:f>Hoja1!$B$35:$U$35</c:f>
              <c:numCache>
                <c:formatCode>#,##0</c:formatCode>
                <c:ptCount val="20"/>
                <c:pt idx="0">
                  <c:v>6697</c:v>
                </c:pt>
                <c:pt idx="1">
                  <c:v>7246</c:v>
                </c:pt>
                <c:pt idx="2">
                  <c:v>7921</c:v>
                </c:pt>
                <c:pt idx="3">
                  <c:v>8441</c:v>
                </c:pt>
                <c:pt idx="4">
                  <c:v>9193</c:v>
                </c:pt>
                <c:pt idx="5">
                  <c:v>9047</c:v>
                </c:pt>
                <c:pt idx="6">
                  <c:v>10016</c:v>
                </c:pt>
                <c:pt idx="7">
                  <c:v>10323</c:v>
                </c:pt>
                <c:pt idx="8">
                  <c:v>10867</c:v>
                </c:pt>
                <c:pt idx="9">
                  <c:v>11229</c:v>
                </c:pt>
                <c:pt idx="10">
                  <c:v>11916</c:v>
                </c:pt>
                <c:pt idx="11">
                  <c:v>12109</c:v>
                </c:pt>
                <c:pt idx="12">
                  <c:v>12879</c:v>
                </c:pt>
                <c:pt idx="13">
                  <c:v>13415</c:v>
                </c:pt>
                <c:pt idx="14">
                  <c:v>14490</c:v>
                </c:pt>
                <c:pt idx="15">
                  <c:v>14634</c:v>
                </c:pt>
                <c:pt idx="16">
                  <c:v>14816</c:v>
                </c:pt>
                <c:pt idx="17">
                  <c:v>15165</c:v>
                </c:pt>
                <c:pt idx="18">
                  <c:v>14875</c:v>
                </c:pt>
                <c:pt idx="19">
                  <c:v>15042</c:v>
                </c:pt>
              </c:numCache>
            </c:numRef>
          </c:val>
          <c:smooth val="0"/>
        </c:ser>
        <c:ser>
          <c:idx val="1"/>
          <c:order val="1"/>
          <c:tx>
            <c:strRef>
              <c:f>Hoja1!$A$36</c:f>
              <c:strCache>
                <c:ptCount val="1"/>
                <c:pt idx="0">
                  <c:v>Postgrado</c:v>
                </c:pt>
              </c:strCache>
            </c:strRef>
          </c:tx>
          <c:dLbls>
            <c:txPr>
              <a:bodyPr/>
              <a:lstStyle/>
              <a:p>
                <a:pPr>
                  <a:defRPr sz="800" b="1">
                    <a:solidFill>
                      <a:srgbClr val="C00000"/>
                    </a:solidFill>
                  </a:defRPr>
                </a:pPr>
                <a:endParaRPr lang="es-CO"/>
              </a:p>
            </c:txPr>
            <c:dLblPos val="t"/>
            <c:showLegendKey val="0"/>
            <c:showVal val="1"/>
            <c:showCatName val="0"/>
            <c:showSerName val="0"/>
            <c:showPercent val="0"/>
            <c:showBubbleSize val="0"/>
            <c:showLeaderLines val="0"/>
          </c:dLbls>
          <c:cat>
            <c:strRef>
              <c:f>Hoja1!$B$34:$U$34</c:f>
              <c:strCache>
                <c:ptCount val="20"/>
                <c:pt idx="0">
                  <c:v>03-1</c:v>
                </c:pt>
                <c:pt idx="1">
                  <c:v>03-2</c:v>
                </c:pt>
                <c:pt idx="2">
                  <c:v>04-1</c:v>
                </c:pt>
                <c:pt idx="3">
                  <c:v>04-2</c:v>
                </c:pt>
                <c:pt idx="4">
                  <c:v>05-1</c:v>
                </c:pt>
                <c:pt idx="5">
                  <c:v>05-2</c:v>
                </c:pt>
                <c:pt idx="6">
                  <c:v>06-1</c:v>
                </c:pt>
                <c:pt idx="7">
                  <c:v>06-2</c:v>
                </c:pt>
                <c:pt idx="8">
                  <c:v>07-1</c:v>
                </c:pt>
                <c:pt idx="9">
                  <c:v>07-2</c:v>
                </c:pt>
                <c:pt idx="10">
                  <c:v>08-1</c:v>
                </c:pt>
                <c:pt idx="11">
                  <c:v>08-2</c:v>
                </c:pt>
                <c:pt idx="12">
                  <c:v>09-1</c:v>
                </c:pt>
                <c:pt idx="13">
                  <c:v>09-2</c:v>
                </c:pt>
                <c:pt idx="14">
                  <c:v>10-1</c:v>
                </c:pt>
                <c:pt idx="15">
                  <c:v>10-2</c:v>
                </c:pt>
                <c:pt idx="16">
                  <c:v>11-1</c:v>
                </c:pt>
                <c:pt idx="17">
                  <c:v>11-2</c:v>
                </c:pt>
                <c:pt idx="18">
                  <c:v>12-1</c:v>
                </c:pt>
                <c:pt idx="19">
                  <c:v>12-2</c:v>
                </c:pt>
              </c:strCache>
            </c:strRef>
          </c:cat>
          <c:val>
            <c:numRef>
              <c:f>Hoja1!$B$36:$U$36</c:f>
              <c:numCache>
                <c:formatCode>#,##0</c:formatCode>
                <c:ptCount val="20"/>
                <c:pt idx="0">
                  <c:v>501</c:v>
                </c:pt>
                <c:pt idx="1">
                  <c:v>532</c:v>
                </c:pt>
                <c:pt idx="2">
                  <c:v>568</c:v>
                </c:pt>
                <c:pt idx="3">
                  <c:v>771</c:v>
                </c:pt>
                <c:pt idx="4">
                  <c:v>542</c:v>
                </c:pt>
                <c:pt idx="5">
                  <c:v>497</c:v>
                </c:pt>
                <c:pt idx="6">
                  <c:v>531</c:v>
                </c:pt>
                <c:pt idx="7">
                  <c:v>553</c:v>
                </c:pt>
                <c:pt idx="8">
                  <c:v>837</c:v>
                </c:pt>
                <c:pt idx="9">
                  <c:v>843</c:v>
                </c:pt>
                <c:pt idx="10">
                  <c:v>939</c:v>
                </c:pt>
                <c:pt idx="11">
                  <c:v>827</c:v>
                </c:pt>
                <c:pt idx="12">
                  <c:v>1014</c:v>
                </c:pt>
                <c:pt idx="13">
                  <c:v>998</c:v>
                </c:pt>
                <c:pt idx="14">
                  <c:v>1140</c:v>
                </c:pt>
                <c:pt idx="15">
                  <c:v>1112</c:v>
                </c:pt>
                <c:pt idx="16">
                  <c:v>1269</c:v>
                </c:pt>
                <c:pt idx="17">
                  <c:v>1086</c:v>
                </c:pt>
                <c:pt idx="18">
                  <c:v>1162</c:v>
                </c:pt>
                <c:pt idx="19">
                  <c:v>1090</c:v>
                </c:pt>
              </c:numCache>
            </c:numRef>
          </c:val>
          <c:smooth val="0"/>
        </c:ser>
        <c:ser>
          <c:idx val="2"/>
          <c:order val="2"/>
          <c:tx>
            <c:strRef>
              <c:f>Hoja1!$A$37</c:f>
              <c:strCache>
                <c:ptCount val="1"/>
                <c:pt idx="0">
                  <c:v>Total</c:v>
                </c:pt>
              </c:strCache>
            </c:strRef>
          </c:tx>
          <c:dLbls>
            <c:txPr>
              <a:bodyPr rot="-3180000"/>
              <a:lstStyle/>
              <a:p>
                <a:pPr>
                  <a:defRPr sz="800" b="1">
                    <a:solidFill>
                      <a:schemeClr val="accent3">
                        <a:lumMod val="50000"/>
                      </a:schemeClr>
                    </a:solidFill>
                  </a:defRPr>
                </a:pPr>
                <a:endParaRPr lang="es-CO"/>
              </a:p>
            </c:txPr>
            <c:dLblPos val="t"/>
            <c:showLegendKey val="0"/>
            <c:showVal val="1"/>
            <c:showCatName val="0"/>
            <c:showSerName val="0"/>
            <c:showPercent val="0"/>
            <c:showBubbleSize val="0"/>
            <c:showLeaderLines val="0"/>
          </c:dLbls>
          <c:cat>
            <c:strRef>
              <c:f>Hoja1!$B$34:$U$34</c:f>
              <c:strCache>
                <c:ptCount val="20"/>
                <c:pt idx="0">
                  <c:v>03-1</c:v>
                </c:pt>
                <c:pt idx="1">
                  <c:v>03-2</c:v>
                </c:pt>
                <c:pt idx="2">
                  <c:v>04-1</c:v>
                </c:pt>
                <c:pt idx="3">
                  <c:v>04-2</c:v>
                </c:pt>
                <c:pt idx="4">
                  <c:v>05-1</c:v>
                </c:pt>
                <c:pt idx="5">
                  <c:v>05-2</c:v>
                </c:pt>
                <c:pt idx="6">
                  <c:v>06-1</c:v>
                </c:pt>
                <c:pt idx="7">
                  <c:v>06-2</c:v>
                </c:pt>
                <c:pt idx="8">
                  <c:v>07-1</c:v>
                </c:pt>
                <c:pt idx="9">
                  <c:v>07-2</c:v>
                </c:pt>
                <c:pt idx="10">
                  <c:v>08-1</c:v>
                </c:pt>
                <c:pt idx="11">
                  <c:v>08-2</c:v>
                </c:pt>
                <c:pt idx="12">
                  <c:v>09-1</c:v>
                </c:pt>
                <c:pt idx="13">
                  <c:v>09-2</c:v>
                </c:pt>
                <c:pt idx="14">
                  <c:v>10-1</c:v>
                </c:pt>
                <c:pt idx="15">
                  <c:v>10-2</c:v>
                </c:pt>
                <c:pt idx="16">
                  <c:v>11-1</c:v>
                </c:pt>
                <c:pt idx="17">
                  <c:v>11-2</c:v>
                </c:pt>
                <c:pt idx="18">
                  <c:v>12-1</c:v>
                </c:pt>
                <c:pt idx="19">
                  <c:v>12-2</c:v>
                </c:pt>
              </c:strCache>
            </c:strRef>
          </c:cat>
          <c:val>
            <c:numRef>
              <c:f>Hoja1!$B$37:$U$37</c:f>
              <c:numCache>
                <c:formatCode>#,##0</c:formatCode>
                <c:ptCount val="20"/>
                <c:pt idx="0">
                  <c:v>7198</c:v>
                </c:pt>
                <c:pt idx="1">
                  <c:v>7778</c:v>
                </c:pt>
                <c:pt idx="2">
                  <c:v>8489</c:v>
                </c:pt>
                <c:pt idx="3">
                  <c:v>9212</c:v>
                </c:pt>
                <c:pt idx="4">
                  <c:v>9735</c:v>
                </c:pt>
                <c:pt idx="5">
                  <c:v>9544</c:v>
                </c:pt>
                <c:pt idx="6">
                  <c:v>10547</c:v>
                </c:pt>
                <c:pt idx="7">
                  <c:v>10876</c:v>
                </c:pt>
                <c:pt idx="8">
                  <c:v>11704</c:v>
                </c:pt>
                <c:pt idx="9">
                  <c:v>12072</c:v>
                </c:pt>
                <c:pt idx="10">
                  <c:v>12855</c:v>
                </c:pt>
                <c:pt idx="11">
                  <c:v>12936</c:v>
                </c:pt>
                <c:pt idx="12">
                  <c:v>13893</c:v>
                </c:pt>
                <c:pt idx="13">
                  <c:v>14413</c:v>
                </c:pt>
                <c:pt idx="14">
                  <c:v>15630</c:v>
                </c:pt>
                <c:pt idx="15">
                  <c:v>15746</c:v>
                </c:pt>
                <c:pt idx="16">
                  <c:v>16085</c:v>
                </c:pt>
                <c:pt idx="17">
                  <c:v>16251</c:v>
                </c:pt>
                <c:pt idx="18">
                  <c:v>16037</c:v>
                </c:pt>
                <c:pt idx="19">
                  <c:v>16132</c:v>
                </c:pt>
              </c:numCache>
            </c:numRef>
          </c:val>
          <c:smooth val="0"/>
        </c:ser>
        <c:dLbls>
          <c:showLegendKey val="0"/>
          <c:showVal val="0"/>
          <c:showCatName val="0"/>
          <c:showSerName val="0"/>
          <c:showPercent val="0"/>
          <c:showBubbleSize val="0"/>
        </c:dLbls>
        <c:marker val="1"/>
        <c:smooth val="0"/>
        <c:axId val="339938816"/>
        <c:axId val="297659200"/>
      </c:lineChart>
      <c:catAx>
        <c:axId val="339938816"/>
        <c:scaling>
          <c:orientation val="minMax"/>
        </c:scaling>
        <c:delete val="0"/>
        <c:axPos val="b"/>
        <c:majorTickMark val="none"/>
        <c:minorTickMark val="none"/>
        <c:tickLblPos val="nextTo"/>
        <c:txPr>
          <a:bodyPr rot="-3060000"/>
          <a:lstStyle/>
          <a:p>
            <a:pPr>
              <a:defRPr b="1"/>
            </a:pPr>
            <a:endParaRPr lang="es-CO"/>
          </a:p>
        </c:txPr>
        <c:crossAx val="297659200"/>
        <c:crosses val="autoZero"/>
        <c:auto val="1"/>
        <c:lblAlgn val="ctr"/>
        <c:lblOffset val="100"/>
        <c:noMultiLvlLbl val="0"/>
      </c:catAx>
      <c:valAx>
        <c:axId val="297659200"/>
        <c:scaling>
          <c:orientation val="minMax"/>
        </c:scaling>
        <c:delete val="0"/>
        <c:axPos val="l"/>
        <c:majorGridlines/>
        <c:numFmt formatCode="#,##0" sourceLinked="1"/>
        <c:majorTickMark val="none"/>
        <c:minorTickMark val="none"/>
        <c:tickLblPos val="nextTo"/>
        <c:spPr>
          <a:ln w="9525">
            <a:noFill/>
          </a:ln>
        </c:spPr>
        <c:txPr>
          <a:bodyPr/>
          <a:lstStyle/>
          <a:p>
            <a:pPr>
              <a:defRPr sz="800"/>
            </a:pPr>
            <a:endParaRPr lang="es-CO"/>
          </a:p>
        </c:txPr>
        <c:crossAx val="339938816"/>
        <c:crosses val="autoZero"/>
        <c:crossBetween val="between"/>
      </c:valAx>
      <c:spPr>
        <a:gradFill>
          <a:gsLst>
            <a:gs pos="0">
              <a:srgbClr val="FFEFD1"/>
            </a:gs>
            <a:gs pos="64999">
              <a:srgbClr val="F0EBD5"/>
            </a:gs>
            <a:gs pos="100000">
              <a:srgbClr val="D1C39F"/>
            </a:gs>
          </a:gsLst>
          <a:lin ang="5400000" scaled="0"/>
        </a:gradFill>
        <a:ln>
          <a:noFill/>
        </a:ln>
      </c:spPr>
    </c:plotArea>
    <c:legend>
      <c:legendPos val="b"/>
      <c:overlay val="0"/>
      <c:txPr>
        <a:bodyPr/>
        <a:lstStyle/>
        <a:p>
          <a:pPr>
            <a:defRPr sz="900"/>
          </a:pPr>
          <a:endParaRPr lang="es-CO"/>
        </a:p>
      </c:txPr>
    </c:legend>
    <c:plotVisOnly val="1"/>
    <c:dispBlanksAs val="gap"/>
    <c:showDLblsOverMax val="0"/>
  </c:chart>
  <c:spPr>
    <a:ln>
      <a:noFill/>
    </a:ln>
  </c:spPr>
  <c:externalData r:id="rId1">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10"/>
    </mc:Choice>
    <mc:Fallback>
      <c:style val="10"/>
    </mc:Fallback>
  </mc:AlternateContent>
  <c:chart>
    <c:autoTitleDeleted val="1"/>
    <c:plotArea>
      <c:layout/>
      <c:lineChart>
        <c:grouping val="standard"/>
        <c:varyColors val="0"/>
        <c:ser>
          <c:idx val="0"/>
          <c:order val="0"/>
          <c:tx>
            <c:strRef>
              <c:f>Hoja1!$K$75</c:f>
              <c:strCache>
                <c:ptCount val="1"/>
                <c:pt idx="0">
                  <c:v>Planta</c:v>
                </c:pt>
              </c:strCache>
            </c:strRef>
          </c:tx>
          <c:dLbls>
            <c:txPr>
              <a:bodyPr/>
              <a:lstStyle/>
              <a:p>
                <a:pPr>
                  <a:defRPr b="1" i="0">
                    <a:solidFill>
                      <a:schemeClr val="accent1"/>
                    </a:solidFill>
                  </a:defRPr>
                </a:pPr>
                <a:endParaRPr lang="es-CO"/>
              </a:p>
            </c:txPr>
            <c:dLblPos val="t"/>
            <c:showLegendKey val="0"/>
            <c:showVal val="1"/>
            <c:showCatName val="0"/>
            <c:showSerName val="0"/>
            <c:showPercent val="0"/>
            <c:showBubbleSize val="0"/>
            <c:showLeaderLines val="0"/>
          </c:dLbls>
          <c:cat>
            <c:strRef>
              <c:f>Hoja1!$J$76:$J$87</c:f>
              <c:strCache>
                <c:ptCount val="12"/>
                <c:pt idx="0">
                  <c:v>2007 - I</c:v>
                </c:pt>
                <c:pt idx="1">
                  <c:v>2007 - II</c:v>
                </c:pt>
                <c:pt idx="2">
                  <c:v>2008 - I</c:v>
                </c:pt>
                <c:pt idx="3">
                  <c:v>2008 - II</c:v>
                </c:pt>
                <c:pt idx="4">
                  <c:v>2009 - I</c:v>
                </c:pt>
                <c:pt idx="5">
                  <c:v>2009 - II</c:v>
                </c:pt>
                <c:pt idx="6">
                  <c:v>2010 - I</c:v>
                </c:pt>
                <c:pt idx="7">
                  <c:v>2010 - II</c:v>
                </c:pt>
                <c:pt idx="8">
                  <c:v>2011 - I</c:v>
                </c:pt>
                <c:pt idx="9">
                  <c:v>2011 - II</c:v>
                </c:pt>
                <c:pt idx="10">
                  <c:v>2012 - I</c:v>
                </c:pt>
                <c:pt idx="11">
                  <c:v>2012 - II</c:v>
                </c:pt>
              </c:strCache>
            </c:strRef>
          </c:cat>
          <c:val>
            <c:numRef>
              <c:f>Hoja1!$K$76:$K$87</c:f>
              <c:numCache>
                <c:formatCode>General</c:formatCode>
                <c:ptCount val="12"/>
                <c:pt idx="0">
                  <c:v>338</c:v>
                </c:pt>
                <c:pt idx="1">
                  <c:v>336</c:v>
                </c:pt>
                <c:pt idx="2">
                  <c:v>332</c:v>
                </c:pt>
                <c:pt idx="3">
                  <c:v>325</c:v>
                </c:pt>
                <c:pt idx="4">
                  <c:v>324</c:v>
                </c:pt>
                <c:pt idx="5">
                  <c:v>321</c:v>
                </c:pt>
                <c:pt idx="6">
                  <c:v>315</c:v>
                </c:pt>
                <c:pt idx="7">
                  <c:v>313</c:v>
                </c:pt>
                <c:pt idx="8">
                  <c:v>308</c:v>
                </c:pt>
                <c:pt idx="9">
                  <c:v>305</c:v>
                </c:pt>
                <c:pt idx="10">
                  <c:v>304</c:v>
                </c:pt>
                <c:pt idx="11">
                  <c:v>302</c:v>
                </c:pt>
              </c:numCache>
            </c:numRef>
          </c:val>
          <c:smooth val="0"/>
        </c:ser>
        <c:ser>
          <c:idx val="1"/>
          <c:order val="1"/>
          <c:tx>
            <c:strRef>
              <c:f>Hoja1!$L$75</c:f>
              <c:strCache>
                <c:ptCount val="1"/>
                <c:pt idx="0">
                  <c:v>Transitorios</c:v>
                </c:pt>
              </c:strCache>
            </c:strRef>
          </c:tx>
          <c:dLbls>
            <c:txPr>
              <a:bodyPr/>
              <a:lstStyle/>
              <a:p>
                <a:pPr>
                  <a:defRPr b="1">
                    <a:solidFill>
                      <a:srgbClr val="C00000"/>
                    </a:solidFill>
                  </a:defRPr>
                </a:pPr>
                <a:endParaRPr lang="es-CO"/>
              </a:p>
            </c:txPr>
            <c:dLblPos val="t"/>
            <c:showLegendKey val="0"/>
            <c:showVal val="1"/>
            <c:showCatName val="0"/>
            <c:showSerName val="0"/>
            <c:showPercent val="0"/>
            <c:showBubbleSize val="0"/>
            <c:showLeaderLines val="0"/>
          </c:dLbls>
          <c:cat>
            <c:strRef>
              <c:f>Hoja1!$J$76:$J$87</c:f>
              <c:strCache>
                <c:ptCount val="12"/>
                <c:pt idx="0">
                  <c:v>2007 - I</c:v>
                </c:pt>
                <c:pt idx="1">
                  <c:v>2007 - II</c:v>
                </c:pt>
                <c:pt idx="2">
                  <c:v>2008 - I</c:v>
                </c:pt>
                <c:pt idx="3">
                  <c:v>2008 - II</c:v>
                </c:pt>
                <c:pt idx="4">
                  <c:v>2009 - I</c:v>
                </c:pt>
                <c:pt idx="5">
                  <c:v>2009 - II</c:v>
                </c:pt>
                <c:pt idx="6">
                  <c:v>2010 - I</c:v>
                </c:pt>
                <c:pt idx="7">
                  <c:v>2010 - II</c:v>
                </c:pt>
                <c:pt idx="8">
                  <c:v>2011 - I</c:v>
                </c:pt>
                <c:pt idx="9">
                  <c:v>2011 - II</c:v>
                </c:pt>
                <c:pt idx="10">
                  <c:v>2012 - I</c:v>
                </c:pt>
                <c:pt idx="11">
                  <c:v>2012 - II</c:v>
                </c:pt>
              </c:strCache>
            </c:strRef>
          </c:cat>
          <c:val>
            <c:numRef>
              <c:f>Hoja1!$L$76:$L$87</c:f>
              <c:numCache>
                <c:formatCode>General</c:formatCode>
                <c:ptCount val="12"/>
                <c:pt idx="0">
                  <c:v>158</c:v>
                </c:pt>
                <c:pt idx="1">
                  <c:v>158</c:v>
                </c:pt>
                <c:pt idx="2">
                  <c:v>165</c:v>
                </c:pt>
                <c:pt idx="3">
                  <c:v>170</c:v>
                </c:pt>
                <c:pt idx="4">
                  <c:v>177</c:v>
                </c:pt>
                <c:pt idx="5">
                  <c:v>180</c:v>
                </c:pt>
                <c:pt idx="6">
                  <c:v>190</c:v>
                </c:pt>
                <c:pt idx="7">
                  <c:v>194</c:v>
                </c:pt>
                <c:pt idx="8">
                  <c:v>203</c:v>
                </c:pt>
                <c:pt idx="9">
                  <c:v>199</c:v>
                </c:pt>
                <c:pt idx="10">
                  <c:v>194</c:v>
                </c:pt>
                <c:pt idx="11">
                  <c:v>206</c:v>
                </c:pt>
              </c:numCache>
            </c:numRef>
          </c:val>
          <c:smooth val="0"/>
        </c:ser>
        <c:ser>
          <c:idx val="2"/>
          <c:order val="2"/>
          <c:tx>
            <c:strRef>
              <c:f>Hoja1!$M$75</c:f>
              <c:strCache>
                <c:ptCount val="1"/>
                <c:pt idx="0">
                  <c:v>Cátedra y Sobrecarga DTCE</c:v>
                </c:pt>
              </c:strCache>
            </c:strRef>
          </c:tx>
          <c:dLbls>
            <c:numFmt formatCode="#,##0.0" sourceLinked="0"/>
            <c:txPr>
              <a:bodyPr/>
              <a:lstStyle/>
              <a:p>
                <a:pPr>
                  <a:defRPr b="1">
                    <a:solidFill>
                      <a:schemeClr val="accent3">
                        <a:lumMod val="50000"/>
                      </a:schemeClr>
                    </a:solidFill>
                  </a:defRPr>
                </a:pPr>
                <a:endParaRPr lang="es-CO"/>
              </a:p>
            </c:txPr>
            <c:dLblPos val="b"/>
            <c:showLegendKey val="0"/>
            <c:showVal val="1"/>
            <c:showCatName val="0"/>
            <c:showSerName val="0"/>
            <c:showPercent val="0"/>
            <c:showBubbleSize val="0"/>
            <c:showLeaderLines val="0"/>
          </c:dLbls>
          <c:cat>
            <c:strRef>
              <c:f>Hoja1!$J$76:$J$87</c:f>
              <c:strCache>
                <c:ptCount val="12"/>
                <c:pt idx="0">
                  <c:v>2007 - I</c:v>
                </c:pt>
                <c:pt idx="1">
                  <c:v>2007 - II</c:v>
                </c:pt>
                <c:pt idx="2">
                  <c:v>2008 - I</c:v>
                </c:pt>
                <c:pt idx="3">
                  <c:v>2008 - II</c:v>
                </c:pt>
                <c:pt idx="4">
                  <c:v>2009 - I</c:v>
                </c:pt>
                <c:pt idx="5">
                  <c:v>2009 - II</c:v>
                </c:pt>
                <c:pt idx="6">
                  <c:v>2010 - I</c:v>
                </c:pt>
                <c:pt idx="7">
                  <c:v>2010 - II</c:v>
                </c:pt>
                <c:pt idx="8">
                  <c:v>2011 - I</c:v>
                </c:pt>
                <c:pt idx="9">
                  <c:v>2011 - II</c:v>
                </c:pt>
                <c:pt idx="10">
                  <c:v>2012 - I</c:v>
                </c:pt>
                <c:pt idx="11">
                  <c:v>2012 - II</c:v>
                </c:pt>
              </c:strCache>
            </c:strRef>
          </c:cat>
          <c:val>
            <c:numRef>
              <c:f>Hoja1!$M$76:$M$87</c:f>
              <c:numCache>
                <c:formatCode>0.00</c:formatCode>
                <c:ptCount val="12"/>
                <c:pt idx="0">
                  <c:v>107.7625</c:v>
                </c:pt>
                <c:pt idx="1">
                  <c:v>102.67222222222219</c:v>
                </c:pt>
                <c:pt idx="2">
                  <c:v>117.26527777777778</c:v>
                </c:pt>
                <c:pt idx="3">
                  <c:v>108.01944444444446</c:v>
                </c:pt>
                <c:pt idx="4">
                  <c:v>120.41805555555555</c:v>
                </c:pt>
                <c:pt idx="5">
                  <c:v>132.98888888888894</c:v>
                </c:pt>
                <c:pt idx="6">
                  <c:v>137.05277777777781</c:v>
                </c:pt>
                <c:pt idx="7">
                  <c:v>161.44194444444443</c:v>
                </c:pt>
                <c:pt idx="8">
                  <c:v>166.6055555555555</c:v>
                </c:pt>
                <c:pt idx="9">
                  <c:v>168.87444444444441</c:v>
                </c:pt>
                <c:pt idx="10">
                  <c:v>153.83888888888896</c:v>
                </c:pt>
                <c:pt idx="11">
                  <c:v>158.55000000000001</c:v>
                </c:pt>
              </c:numCache>
            </c:numRef>
          </c:val>
          <c:smooth val="0"/>
        </c:ser>
        <c:ser>
          <c:idx val="3"/>
          <c:order val="3"/>
          <c:tx>
            <c:strRef>
              <c:f>Hoja1!$N$75</c:f>
              <c:strCache>
                <c:ptCount val="1"/>
                <c:pt idx="0">
                  <c:v>Total DTCE</c:v>
                </c:pt>
              </c:strCache>
            </c:strRef>
          </c:tx>
          <c:dLbls>
            <c:txPr>
              <a:bodyPr/>
              <a:lstStyle/>
              <a:p>
                <a:pPr>
                  <a:defRPr b="1">
                    <a:solidFill>
                      <a:schemeClr val="accent4"/>
                    </a:solidFill>
                  </a:defRPr>
                </a:pPr>
                <a:endParaRPr lang="es-CO"/>
              </a:p>
            </c:txPr>
            <c:dLblPos val="t"/>
            <c:showLegendKey val="0"/>
            <c:showVal val="1"/>
            <c:showCatName val="0"/>
            <c:showSerName val="0"/>
            <c:showPercent val="0"/>
            <c:showBubbleSize val="0"/>
            <c:showLeaderLines val="0"/>
          </c:dLbls>
          <c:cat>
            <c:strRef>
              <c:f>Hoja1!$J$76:$J$87</c:f>
              <c:strCache>
                <c:ptCount val="12"/>
                <c:pt idx="0">
                  <c:v>2007 - I</c:v>
                </c:pt>
                <c:pt idx="1">
                  <c:v>2007 - II</c:v>
                </c:pt>
                <c:pt idx="2">
                  <c:v>2008 - I</c:v>
                </c:pt>
                <c:pt idx="3">
                  <c:v>2008 - II</c:v>
                </c:pt>
                <c:pt idx="4">
                  <c:v>2009 - I</c:v>
                </c:pt>
                <c:pt idx="5">
                  <c:v>2009 - II</c:v>
                </c:pt>
                <c:pt idx="6">
                  <c:v>2010 - I</c:v>
                </c:pt>
                <c:pt idx="7">
                  <c:v>2010 - II</c:v>
                </c:pt>
                <c:pt idx="8">
                  <c:v>2011 - I</c:v>
                </c:pt>
                <c:pt idx="9">
                  <c:v>2011 - II</c:v>
                </c:pt>
                <c:pt idx="10">
                  <c:v>2012 - I</c:v>
                </c:pt>
                <c:pt idx="11">
                  <c:v>2012 - II</c:v>
                </c:pt>
              </c:strCache>
            </c:strRef>
          </c:cat>
          <c:val>
            <c:numRef>
              <c:f>Hoja1!$N$76:$N$87</c:f>
              <c:numCache>
                <c:formatCode>0.0</c:formatCode>
                <c:ptCount val="12"/>
                <c:pt idx="0">
                  <c:v>564.26249999999982</c:v>
                </c:pt>
                <c:pt idx="1">
                  <c:v>559.17222222222222</c:v>
                </c:pt>
                <c:pt idx="2">
                  <c:v>573.26527777777801</c:v>
                </c:pt>
                <c:pt idx="3">
                  <c:v>561.01944444444439</c:v>
                </c:pt>
                <c:pt idx="4">
                  <c:v>579.41805555555561</c:v>
                </c:pt>
                <c:pt idx="5">
                  <c:v>591.98888888888882</c:v>
                </c:pt>
                <c:pt idx="6">
                  <c:v>595.05277777777803</c:v>
                </c:pt>
                <c:pt idx="7">
                  <c:v>620.94194444444418</c:v>
                </c:pt>
                <c:pt idx="8">
                  <c:v>629.60555555555561</c:v>
                </c:pt>
                <c:pt idx="9">
                  <c:v>626.37444444444441</c:v>
                </c:pt>
                <c:pt idx="10">
                  <c:v>600.33888888888896</c:v>
                </c:pt>
                <c:pt idx="11">
                  <c:v>618.04999999999973</c:v>
                </c:pt>
              </c:numCache>
            </c:numRef>
          </c:val>
          <c:smooth val="0"/>
        </c:ser>
        <c:dLbls>
          <c:showLegendKey val="0"/>
          <c:showVal val="0"/>
          <c:showCatName val="0"/>
          <c:showSerName val="0"/>
          <c:showPercent val="0"/>
          <c:showBubbleSize val="0"/>
        </c:dLbls>
        <c:marker val="1"/>
        <c:smooth val="0"/>
        <c:axId val="339983872"/>
        <c:axId val="297660928"/>
      </c:lineChart>
      <c:catAx>
        <c:axId val="339983872"/>
        <c:scaling>
          <c:orientation val="minMax"/>
        </c:scaling>
        <c:delete val="0"/>
        <c:axPos val="b"/>
        <c:majorTickMark val="none"/>
        <c:minorTickMark val="none"/>
        <c:tickLblPos val="nextTo"/>
        <c:txPr>
          <a:bodyPr rot="-3060000"/>
          <a:lstStyle/>
          <a:p>
            <a:pPr>
              <a:defRPr b="1"/>
            </a:pPr>
            <a:endParaRPr lang="es-CO"/>
          </a:p>
        </c:txPr>
        <c:crossAx val="297660928"/>
        <c:crosses val="autoZero"/>
        <c:auto val="1"/>
        <c:lblAlgn val="ctr"/>
        <c:lblOffset val="100"/>
        <c:noMultiLvlLbl val="0"/>
      </c:catAx>
      <c:valAx>
        <c:axId val="297660928"/>
        <c:scaling>
          <c:orientation val="minMax"/>
        </c:scaling>
        <c:delete val="0"/>
        <c:axPos val="l"/>
        <c:majorGridlines/>
        <c:numFmt formatCode="General" sourceLinked="1"/>
        <c:majorTickMark val="none"/>
        <c:minorTickMark val="none"/>
        <c:tickLblPos val="nextTo"/>
        <c:crossAx val="339983872"/>
        <c:crosses val="autoZero"/>
        <c:crossBetween val="between"/>
      </c:valAx>
      <c:spPr>
        <a:gradFill>
          <a:gsLst>
            <a:gs pos="0">
              <a:srgbClr val="FFEFD1"/>
            </a:gs>
            <a:gs pos="64999">
              <a:srgbClr val="F0EBD5"/>
            </a:gs>
            <a:gs pos="100000">
              <a:srgbClr val="D1C39F"/>
            </a:gs>
          </a:gsLst>
          <a:lin ang="5400000" scaled="0"/>
        </a:gradFill>
        <a:ln>
          <a:noFill/>
        </a:ln>
      </c:spPr>
    </c:plotArea>
    <c:legend>
      <c:legendPos val="b"/>
      <c:overlay val="0"/>
    </c:legend>
    <c:plotVisOnly val="1"/>
    <c:dispBlanksAs val="gap"/>
    <c:showDLblsOverMax val="0"/>
  </c:chart>
  <c:spPr>
    <a:ln>
      <a:noFill/>
    </a:ln>
  </c:spPr>
  <c:externalData r:id="rId1">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7709238091008617E-2"/>
          <c:y val="7.6186616740826024E-2"/>
          <c:w val="0.82097690893018349"/>
          <c:h val="0.71060586176727902"/>
        </c:manualLayout>
      </c:layout>
      <c:barChart>
        <c:barDir val="col"/>
        <c:grouping val="clustered"/>
        <c:varyColors val="0"/>
        <c:ser>
          <c:idx val="2"/>
          <c:order val="1"/>
          <c:tx>
            <c:strRef>
              <c:f>Hoja1!$A$114</c:f>
              <c:strCache>
                <c:ptCount val="1"/>
                <c:pt idx="0">
                  <c:v>Estudiantes por Docente (DD)</c:v>
                </c:pt>
              </c:strCache>
            </c:strRef>
          </c:tx>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txPr>
              <a:bodyPr/>
              <a:lstStyle/>
              <a:p>
                <a:pPr>
                  <a:defRPr sz="1050" b="1">
                    <a:solidFill>
                      <a:schemeClr val="accent3">
                        <a:lumMod val="50000"/>
                      </a:schemeClr>
                    </a:solidFill>
                  </a:defRPr>
                </a:pPr>
                <a:endParaRPr lang="es-CO"/>
              </a:p>
            </c:txPr>
            <c:showLegendKey val="0"/>
            <c:showVal val="1"/>
            <c:showCatName val="0"/>
            <c:showSerName val="0"/>
            <c:showPercent val="0"/>
            <c:showBubbleSize val="0"/>
            <c:showLeaderLines val="0"/>
          </c:dLbls>
          <c:cat>
            <c:numRef>
              <c:f>Hoja1!$B$111:$F$111</c:f>
              <c:numCache>
                <c:formatCode>0</c:formatCode>
                <c:ptCount val="5"/>
                <c:pt idx="0">
                  <c:v>2008</c:v>
                </c:pt>
                <c:pt idx="1">
                  <c:v>2009</c:v>
                </c:pt>
                <c:pt idx="2">
                  <c:v>2010</c:v>
                </c:pt>
                <c:pt idx="3">
                  <c:v>2011</c:v>
                </c:pt>
                <c:pt idx="4">
                  <c:v>2012</c:v>
                </c:pt>
              </c:numCache>
            </c:numRef>
          </c:cat>
          <c:val>
            <c:numRef>
              <c:f>Hoja1!$B$114:$F$114</c:f>
              <c:numCache>
                <c:formatCode>0.0</c:formatCode>
                <c:ptCount val="5"/>
                <c:pt idx="0">
                  <c:v>25.640615161314436</c:v>
                </c:pt>
                <c:pt idx="1">
                  <c:v>26.35527601673892</c:v>
                </c:pt>
                <c:pt idx="2">
                  <c:v>27.732007300235409</c:v>
                </c:pt>
                <c:pt idx="3">
                  <c:v>27.574947919301351</c:v>
                </c:pt>
                <c:pt idx="4">
                  <c:v>28.028855162076084</c:v>
                </c:pt>
              </c:numCache>
            </c:numRef>
          </c:val>
        </c:ser>
        <c:dLbls>
          <c:showLegendKey val="0"/>
          <c:showVal val="0"/>
          <c:showCatName val="0"/>
          <c:showSerName val="0"/>
          <c:showPercent val="0"/>
          <c:showBubbleSize val="0"/>
        </c:dLbls>
        <c:gapWidth val="75"/>
        <c:axId val="339981312"/>
        <c:axId val="297662656"/>
      </c:barChart>
      <c:lineChart>
        <c:grouping val="standard"/>
        <c:varyColors val="0"/>
        <c:ser>
          <c:idx val="1"/>
          <c:order val="0"/>
          <c:tx>
            <c:strRef>
              <c:f>Hoja1!$A$113</c:f>
              <c:strCache>
                <c:ptCount val="1"/>
                <c:pt idx="0">
                  <c:v>Estudiantes Pregrado</c:v>
                </c:pt>
              </c:strCache>
            </c:strRef>
          </c:tx>
          <c:dLbls>
            <c:txPr>
              <a:bodyPr/>
              <a:lstStyle/>
              <a:p>
                <a:pPr>
                  <a:defRPr b="1">
                    <a:solidFill>
                      <a:srgbClr val="C00000"/>
                    </a:solidFill>
                  </a:defRPr>
                </a:pPr>
                <a:endParaRPr lang="es-CO"/>
              </a:p>
            </c:txPr>
            <c:dLblPos val="t"/>
            <c:showLegendKey val="0"/>
            <c:showVal val="1"/>
            <c:showCatName val="0"/>
            <c:showSerName val="0"/>
            <c:showPercent val="0"/>
            <c:showBubbleSize val="0"/>
            <c:showLeaderLines val="0"/>
          </c:dLbls>
          <c:cat>
            <c:numRef>
              <c:f>Hoja1!$B$111:$F$111</c:f>
              <c:numCache>
                <c:formatCode>0</c:formatCode>
                <c:ptCount val="5"/>
                <c:pt idx="0">
                  <c:v>2008</c:v>
                </c:pt>
                <c:pt idx="1">
                  <c:v>2009</c:v>
                </c:pt>
                <c:pt idx="2">
                  <c:v>2010</c:v>
                </c:pt>
                <c:pt idx="3">
                  <c:v>2011</c:v>
                </c:pt>
                <c:pt idx="4">
                  <c:v>2012</c:v>
                </c:pt>
              </c:numCache>
            </c:numRef>
          </c:cat>
          <c:val>
            <c:numRef>
              <c:f>Hoja1!$B$113:$F$113</c:f>
              <c:numCache>
                <c:formatCode>#,##0</c:formatCode>
                <c:ptCount val="5"/>
                <c:pt idx="0">
                  <c:v>12012.5</c:v>
                </c:pt>
                <c:pt idx="1">
                  <c:v>13147</c:v>
                </c:pt>
                <c:pt idx="2">
                  <c:v>14562</c:v>
                </c:pt>
                <c:pt idx="3">
                  <c:v>14990.5</c:v>
                </c:pt>
                <c:pt idx="4">
                  <c:v>14959</c:v>
                </c:pt>
              </c:numCache>
            </c:numRef>
          </c:val>
          <c:smooth val="0"/>
        </c:ser>
        <c:dLbls>
          <c:showLegendKey val="0"/>
          <c:showVal val="0"/>
          <c:showCatName val="0"/>
          <c:showSerName val="0"/>
          <c:showPercent val="0"/>
          <c:showBubbleSize val="0"/>
        </c:dLbls>
        <c:marker val="1"/>
        <c:smooth val="0"/>
        <c:axId val="346418176"/>
        <c:axId val="297663232"/>
      </c:lineChart>
      <c:catAx>
        <c:axId val="339981312"/>
        <c:scaling>
          <c:orientation val="minMax"/>
        </c:scaling>
        <c:delete val="0"/>
        <c:axPos val="b"/>
        <c:numFmt formatCode="0" sourceLinked="1"/>
        <c:majorTickMark val="none"/>
        <c:minorTickMark val="none"/>
        <c:tickLblPos val="nextTo"/>
        <c:txPr>
          <a:bodyPr/>
          <a:lstStyle/>
          <a:p>
            <a:pPr>
              <a:defRPr b="1"/>
            </a:pPr>
            <a:endParaRPr lang="es-CO"/>
          </a:p>
        </c:txPr>
        <c:crossAx val="297662656"/>
        <c:crosses val="autoZero"/>
        <c:auto val="1"/>
        <c:lblAlgn val="ctr"/>
        <c:lblOffset val="100"/>
        <c:noMultiLvlLbl val="0"/>
      </c:catAx>
      <c:valAx>
        <c:axId val="297662656"/>
        <c:scaling>
          <c:orientation val="minMax"/>
          <c:max val="30"/>
          <c:min val="24"/>
        </c:scaling>
        <c:delete val="0"/>
        <c:axPos val="l"/>
        <c:majorGridlines/>
        <c:numFmt formatCode="0.0" sourceLinked="1"/>
        <c:majorTickMark val="none"/>
        <c:minorTickMark val="none"/>
        <c:tickLblPos val="nextTo"/>
        <c:spPr>
          <a:ln w="9525">
            <a:noFill/>
          </a:ln>
        </c:spPr>
        <c:txPr>
          <a:bodyPr/>
          <a:lstStyle/>
          <a:p>
            <a:pPr>
              <a:defRPr b="1"/>
            </a:pPr>
            <a:endParaRPr lang="es-CO"/>
          </a:p>
        </c:txPr>
        <c:crossAx val="339981312"/>
        <c:crosses val="autoZero"/>
        <c:crossBetween val="between"/>
      </c:valAx>
      <c:valAx>
        <c:axId val="297663232"/>
        <c:scaling>
          <c:orientation val="minMax"/>
        </c:scaling>
        <c:delete val="0"/>
        <c:axPos val="r"/>
        <c:numFmt formatCode="#,##0" sourceLinked="1"/>
        <c:majorTickMark val="out"/>
        <c:minorTickMark val="none"/>
        <c:tickLblPos val="nextTo"/>
        <c:txPr>
          <a:bodyPr/>
          <a:lstStyle/>
          <a:p>
            <a:pPr>
              <a:defRPr b="1"/>
            </a:pPr>
            <a:endParaRPr lang="es-CO"/>
          </a:p>
        </c:txPr>
        <c:crossAx val="346418176"/>
        <c:crosses val="max"/>
        <c:crossBetween val="between"/>
      </c:valAx>
      <c:catAx>
        <c:axId val="346418176"/>
        <c:scaling>
          <c:orientation val="minMax"/>
        </c:scaling>
        <c:delete val="1"/>
        <c:axPos val="b"/>
        <c:numFmt formatCode="0" sourceLinked="1"/>
        <c:majorTickMark val="out"/>
        <c:minorTickMark val="none"/>
        <c:tickLblPos val="none"/>
        <c:crossAx val="297663232"/>
        <c:crosses val="autoZero"/>
        <c:auto val="1"/>
        <c:lblAlgn val="ctr"/>
        <c:lblOffset val="100"/>
        <c:noMultiLvlLbl val="0"/>
      </c:catAx>
      <c:spPr>
        <a:gradFill>
          <a:gsLst>
            <a:gs pos="0">
              <a:srgbClr val="FFEFD1"/>
            </a:gs>
            <a:gs pos="64999">
              <a:srgbClr val="F0EBD5"/>
            </a:gs>
            <a:gs pos="100000">
              <a:srgbClr val="D1C39F"/>
            </a:gs>
          </a:gsLst>
          <a:lin ang="5400000" scaled="0"/>
        </a:gradFill>
      </c:spPr>
    </c:plotArea>
    <c:legend>
      <c:legendPos val="b"/>
      <c:overlay val="0"/>
    </c:legend>
    <c:plotVisOnly val="1"/>
    <c:dispBlanksAs val="gap"/>
    <c:showDLblsOverMax val="0"/>
  </c:chart>
  <c:spPr>
    <a:ln>
      <a:noFill/>
    </a:ln>
  </c:spPr>
  <c:externalData r:id="rId1">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35"/>
    </mc:Choice>
    <mc:Fallback>
      <c:style val="35"/>
    </mc:Fallback>
  </mc:AlternateContent>
  <c:chart>
    <c:autoTitleDeleted val="1"/>
    <c:view3D>
      <c:rotX val="15"/>
      <c:rotY val="20"/>
      <c:depthPercent val="100"/>
      <c:rAngAx val="1"/>
    </c:view3D>
    <c:floor>
      <c:thickness val="0"/>
    </c:floor>
    <c:side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sideWall>
    <c:back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backWall>
    <c:plotArea>
      <c:layout/>
      <c:bar3DChart>
        <c:barDir val="col"/>
        <c:grouping val="clustered"/>
        <c:varyColors val="1"/>
        <c:ser>
          <c:idx val="0"/>
          <c:order val="0"/>
          <c:tx>
            <c:strRef>
              <c:f>Hoja1!$B$1</c:f>
              <c:strCache>
                <c:ptCount val="1"/>
                <c:pt idx="0">
                  <c:v>Columna2</c:v>
                </c:pt>
              </c:strCache>
            </c:strRef>
          </c:tx>
          <c:invertIfNegative val="0"/>
          <c:dLbls>
            <c:dLbl>
              <c:idx val="1"/>
              <c:tx>
                <c:rich>
                  <a:bodyPr/>
                  <a:lstStyle/>
                  <a:p>
                    <a:r>
                      <a:rPr lang="en-US"/>
                      <a:t>95,14%</a:t>
                    </a:r>
                  </a:p>
                </c:rich>
              </c:tx>
              <c:showLegendKey val="0"/>
              <c:showVal val="1"/>
              <c:showCatName val="0"/>
              <c:showSerName val="0"/>
              <c:showPercent val="0"/>
              <c:showBubbleSize val="0"/>
            </c:dLbl>
            <c:dLbl>
              <c:idx val="2"/>
              <c:tx>
                <c:rich>
                  <a:bodyPr/>
                  <a:lstStyle/>
                  <a:p>
                    <a:r>
                      <a:rPr lang="en-US"/>
                      <a:t>100,00%</a:t>
                    </a:r>
                  </a:p>
                </c:rich>
              </c:tx>
              <c:showLegendKey val="0"/>
              <c:showVal val="1"/>
              <c:showCatName val="0"/>
              <c:showSerName val="0"/>
              <c:showPercent val="0"/>
              <c:showBubbleSize val="0"/>
            </c:dLbl>
            <c:txPr>
              <a:bodyPr/>
              <a:lstStyle/>
              <a:p>
                <a:pPr>
                  <a:defRPr sz="1050" b="1"/>
                </a:pPr>
                <a:endParaRPr lang="es-CO"/>
              </a:p>
            </c:txPr>
            <c:showLegendKey val="0"/>
            <c:showVal val="1"/>
            <c:showCatName val="0"/>
            <c:showSerName val="0"/>
            <c:showPercent val="0"/>
            <c:showBubbleSize val="0"/>
            <c:showLeaderLines val="0"/>
          </c:dLbls>
          <c:cat>
            <c:strRef>
              <c:f>Hoja1!$A$2:$A$5</c:f>
              <c:strCache>
                <c:ptCount val="4"/>
                <c:pt idx="0">
                  <c:v>Meta
2012</c:v>
                </c:pt>
                <c:pt idx="1">
                  <c:v>Avance
2012</c:v>
                </c:pt>
                <c:pt idx="2">
                  <c:v>% de
Cumplimiento</c:v>
                </c:pt>
                <c:pt idx="3">
                  <c:v>Meta
2013</c:v>
                </c:pt>
              </c:strCache>
            </c:strRef>
          </c:cat>
          <c:val>
            <c:numRef>
              <c:f>Hoja1!$B$2:$B$5</c:f>
              <c:numCache>
                <c:formatCode>0.00%</c:formatCode>
                <c:ptCount val="4"/>
                <c:pt idx="0">
                  <c:v>0.67200000000000026</c:v>
                </c:pt>
                <c:pt idx="1">
                  <c:v>0.95140000000000002</c:v>
                </c:pt>
                <c:pt idx="2">
                  <c:v>1</c:v>
                </c:pt>
                <c:pt idx="3">
                  <c:v>0.67000000000000026</c:v>
                </c:pt>
              </c:numCache>
            </c:numRef>
          </c:val>
        </c:ser>
        <c:dLbls>
          <c:showLegendKey val="0"/>
          <c:showVal val="0"/>
          <c:showCatName val="0"/>
          <c:showSerName val="0"/>
          <c:showPercent val="0"/>
          <c:showBubbleSize val="0"/>
        </c:dLbls>
        <c:gapWidth val="150"/>
        <c:shape val="cylinder"/>
        <c:axId val="339980800"/>
        <c:axId val="339673664"/>
        <c:axId val="0"/>
      </c:bar3DChart>
      <c:catAx>
        <c:axId val="339980800"/>
        <c:scaling>
          <c:orientation val="minMax"/>
        </c:scaling>
        <c:delete val="0"/>
        <c:axPos val="b"/>
        <c:numFmt formatCode="General" sourceLinked="1"/>
        <c:majorTickMark val="none"/>
        <c:minorTickMark val="none"/>
        <c:tickLblPos val="nextTo"/>
        <c:txPr>
          <a:bodyPr/>
          <a:lstStyle/>
          <a:p>
            <a:pPr>
              <a:defRPr lang="es-ES" sz="1000" b="1"/>
            </a:pPr>
            <a:endParaRPr lang="es-CO"/>
          </a:p>
        </c:txPr>
        <c:crossAx val="339673664"/>
        <c:crosses val="autoZero"/>
        <c:auto val="1"/>
        <c:lblAlgn val="ctr"/>
        <c:lblOffset val="100"/>
        <c:noMultiLvlLbl val="0"/>
      </c:catAx>
      <c:valAx>
        <c:axId val="339673664"/>
        <c:scaling>
          <c:orientation val="minMax"/>
        </c:scaling>
        <c:delete val="1"/>
        <c:axPos val="l"/>
        <c:numFmt formatCode="0%" sourceLinked="0"/>
        <c:majorTickMark val="none"/>
        <c:minorTickMark val="none"/>
        <c:tickLblPos val="none"/>
        <c:crossAx val="339980800"/>
        <c:crosses val="autoZero"/>
        <c:crossBetween val="between"/>
      </c:valAx>
      <c:spPr>
        <a:noFill/>
        <a:ln w="19031">
          <a:noFill/>
        </a:ln>
      </c:spPr>
    </c:plotArea>
    <c:plotVisOnly val="1"/>
    <c:dispBlanksAs val="gap"/>
    <c:showDLblsOverMax val="0"/>
  </c:chart>
  <c:spPr>
    <a:ln>
      <a:noFill/>
    </a:ln>
  </c:spPr>
  <c:txPr>
    <a:bodyPr/>
    <a:lstStyle/>
    <a:p>
      <a:pPr>
        <a:defRPr sz="1352"/>
      </a:pPr>
      <a:endParaRPr lang="es-CO"/>
    </a:p>
  </c:txPr>
  <c:externalData r:id="rId1">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rAngAx val="1"/>
    </c:view3D>
    <c:floor>
      <c:thickness val="0"/>
    </c:floor>
    <c:sideWall>
      <c:thickness val="0"/>
      <c:spP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c:spPr>
    </c:sideWall>
    <c:backWall>
      <c:thickness val="0"/>
      <c:spP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c:spPr>
    </c:backWall>
    <c:plotArea>
      <c:layout/>
      <c:bar3DChart>
        <c:barDir val="col"/>
        <c:grouping val="clustered"/>
        <c:varyColors val="0"/>
        <c:ser>
          <c:idx val="0"/>
          <c:order val="0"/>
          <c:tx>
            <c:strRef>
              <c:f>Hoja1!$B$1</c:f>
              <c:strCache>
                <c:ptCount val="1"/>
                <c:pt idx="0">
                  <c:v>Serie 1</c:v>
                </c:pt>
              </c:strCache>
            </c:strRef>
          </c:tx>
          <c:invertIfNegative val="0"/>
          <c:dLbls>
            <c:dLbl>
              <c:idx val="0"/>
              <c:layout>
                <c:manualLayout>
                  <c:x val="2.3148148148148147E-2"/>
                  <c:y val="-7.3155242240336121E-2"/>
                </c:manualLayout>
              </c:layout>
              <c:showLegendKey val="0"/>
              <c:showVal val="1"/>
              <c:showCatName val="0"/>
              <c:showSerName val="0"/>
              <c:showPercent val="0"/>
              <c:showBubbleSize val="0"/>
            </c:dLbl>
            <c:dLbl>
              <c:idx val="1"/>
              <c:layout>
                <c:manualLayout>
                  <c:x val="3.0092592592592591E-2"/>
                  <c:y val="-5.4866431680252119E-2"/>
                </c:manualLayout>
              </c:layout>
              <c:showLegendKey val="0"/>
              <c:showVal val="1"/>
              <c:showCatName val="0"/>
              <c:showSerName val="0"/>
              <c:showPercent val="0"/>
              <c:showBubbleSize val="0"/>
            </c:dLbl>
            <c:txPr>
              <a:bodyPr/>
              <a:lstStyle/>
              <a:p>
                <a:pPr>
                  <a:defRPr sz="700" b="1"/>
                </a:pPr>
                <a:endParaRPr lang="es-CO"/>
              </a:p>
            </c:txPr>
            <c:showLegendKey val="0"/>
            <c:showVal val="1"/>
            <c:showCatName val="0"/>
            <c:showSerName val="0"/>
            <c:showPercent val="0"/>
            <c:showBubbleSize val="0"/>
            <c:showLeaderLines val="0"/>
          </c:dLbls>
          <c:cat>
            <c:numRef>
              <c:f>Hoja1!$A$2:$A$3</c:f>
              <c:numCache>
                <c:formatCode>General</c:formatCode>
                <c:ptCount val="2"/>
                <c:pt idx="0">
                  <c:v>2011</c:v>
                </c:pt>
                <c:pt idx="1">
                  <c:v>2012</c:v>
                </c:pt>
              </c:numCache>
            </c:numRef>
          </c:cat>
          <c:val>
            <c:numRef>
              <c:f>Hoja1!$B$2:$B$3</c:f>
              <c:numCache>
                <c:formatCode>"$"\ #,##0</c:formatCode>
                <c:ptCount val="2"/>
                <c:pt idx="0">
                  <c:v>1046813520</c:v>
                </c:pt>
                <c:pt idx="1">
                  <c:v>1265869000</c:v>
                </c:pt>
              </c:numCache>
            </c:numRef>
          </c:val>
        </c:ser>
        <c:dLbls>
          <c:showLegendKey val="0"/>
          <c:showVal val="0"/>
          <c:showCatName val="0"/>
          <c:showSerName val="0"/>
          <c:showPercent val="0"/>
          <c:showBubbleSize val="0"/>
        </c:dLbls>
        <c:gapWidth val="150"/>
        <c:shape val="cylinder"/>
        <c:axId val="340800000"/>
        <c:axId val="339675392"/>
        <c:axId val="0"/>
      </c:bar3DChart>
      <c:catAx>
        <c:axId val="340800000"/>
        <c:scaling>
          <c:orientation val="minMax"/>
        </c:scaling>
        <c:delete val="0"/>
        <c:axPos val="b"/>
        <c:numFmt formatCode="General" sourceLinked="1"/>
        <c:majorTickMark val="out"/>
        <c:minorTickMark val="none"/>
        <c:tickLblPos val="nextTo"/>
        <c:txPr>
          <a:bodyPr/>
          <a:lstStyle/>
          <a:p>
            <a:pPr>
              <a:defRPr sz="1000" b="1"/>
            </a:pPr>
            <a:endParaRPr lang="es-CO"/>
          </a:p>
        </c:txPr>
        <c:crossAx val="339675392"/>
        <c:crosses val="autoZero"/>
        <c:auto val="1"/>
        <c:lblAlgn val="ctr"/>
        <c:lblOffset val="100"/>
        <c:noMultiLvlLbl val="0"/>
      </c:catAx>
      <c:valAx>
        <c:axId val="339675392"/>
        <c:scaling>
          <c:orientation val="minMax"/>
        </c:scaling>
        <c:delete val="1"/>
        <c:axPos val="l"/>
        <c:numFmt formatCode="&quot;$&quot;\ #,##0" sourceLinked="1"/>
        <c:majorTickMark val="out"/>
        <c:minorTickMark val="none"/>
        <c:tickLblPos val="none"/>
        <c:crossAx val="340800000"/>
        <c:crosses val="autoZero"/>
        <c:crossBetween val="between"/>
      </c:valAx>
    </c:plotArea>
    <c:plotVisOnly val="1"/>
    <c:dispBlanksAs val="gap"/>
    <c:showDLblsOverMax val="0"/>
  </c:chart>
  <c:spPr>
    <a:ln>
      <a:noFill/>
    </a:ln>
  </c:spPr>
  <c:externalData r:id="rId1">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35"/>
    </mc:Choice>
    <mc:Fallback>
      <c:style val="35"/>
    </mc:Fallback>
  </mc:AlternateContent>
  <c:chart>
    <c:autoTitleDeleted val="1"/>
    <c:view3D>
      <c:rotX val="15"/>
      <c:rotY val="20"/>
      <c:depthPercent val="100"/>
      <c:rAngAx val="1"/>
    </c:view3D>
    <c:floor>
      <c:thickness val="0"/>
    </c:floor>
    <c:side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sideWall>
    <c:back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backWall>
    <c:plotArea>
      <c:layout/>
      <c:bar3DChart>
        <c:barDir val="col"/>
        <c:grouping val="clustered"/>
        <c:varyColors val="1"/>
        <c:ser>
          <c:idx val="0"/>
          <c:order val="0"/>
          <c:tx>
            <c:strRef>
              <c:f>Hoja1!$B$1</c:f>
              <c:strCache>
                <c:ptCount val="1"/>
                <c:pt idx="0">
                  <c:v>Columna2</c:v>
                </c:pt>
              </c:strCache>
            </c:strRef>
          </c:tx>
          <c:invertIfNegative val="0"/>
          <c:dLbls>
            <c:dLbl>
              <c:idx val="2"/>
              <c:layout>
                <c:manualLayout>
                  <c:x val="2.129075182967401E-2"/>
                  <c:y val="-4.3715846994535526E-2"/>
                </c:manualLayout>
              </c:layout>
              <c:tx>
                <c:rich>
                  <a:bodyPr/>
                  <a:lstStyle/>
                  <a:p>
                    <a:r>
                      <a:rPr lang="en-US"/>
                      <a:t>100,00%</a:t>
                    </a:r>
                  </a:p>
                </c:rich>
              </c:tx>
              <c:showLegendKey val="0"/>
              <c:showVal val="1"/>
              <c:showCatName val="0"/>
              <c:showSerName val="0"/>
              <c:showPercent val="0"/>
              <c:showBubbleSize val="0"/>
            </c:dLbl>
            <c:txPr>
              <a:bodyPr/>
              <a:lstStyle/>
              <a:p>
                <a:pPr>
                  <a:defRPr sz="1050" b="1"/>
                </a:pPr>
                <a:endParaRPr lang="es-CO"/>
              </a:p>
            </c:txPr>
            <c:showLegendKey val="0"/>
            <c:showVal val="1"/>
            <c:showCatName val="0"/>
            <c:showSerName val="0"/>
            <c:showPercent val="0"/>
            <c:showBubbleSize val="0"/>
            <c:showLeaderLines val="0"/>
          </c:dLbls>
          <c:cat>
            <c:strRef>
              <c:f>Hoja1!$A$2:$A$5</c:f>
              <c:strCache>
                <c:ptCount val="4"/>
                <c:pt idx="0">
                  <c:v>Meta
2012</c:v>
                </c:pt>
                <c:pt idx="1">
                  <c:v>Avance
2012</c:v>
                </c:pt>
                <c:pt idx="2">
                  <c:v>% de
Cumplimiento</c:v>
                </c:pt>
                <c:pt idx="3">
                  <c:v>Meta
2013</c:v>
                </c:pt>
              </c:strCache>
            </c:strRef>
          </c:cat>
          <c:val>
            <c:numRef>
              <c:f>Hoja1!$B$2:$B$5</c:f>
              <c:numCache>
                <c:formatCode>0.00%</c:formatCode>
                <c:ptCount val="4"/>
                <c:pt idx="0">
                  <c:v>0.1</c:v>
                </c:pt>
                <c:pt idx="1">
                  <c:v>0.1</c:v>
                </c:pt>
                <c:pt idx="2">
                  <c:v>1</c:v>
                </c:pt>
                <c:pt idx="3">
                  <c:v>0.1</c:v>
                </c:pt>
              </c:numCache>
            </c:numRef>
          </c:val>
        </c:ser>
        <c:dLbls>
          <c:showLegendKey val="0"/>
          <c:showVal val="0"/>
          <c:showCatName val="0"/>
          <c:showSerName val="0"/>
          <c:showPercent val="0"/>
          <c:showBubbleSize val="0"/>
        </c:dLbls>
        <c:gapWidth val="150"/>
        <c:shape val="cylinder"/>
        <c:axId val="340799488"/>
        <c:axId val="339677120"/>
        <c:axId val="0"/>
      </c:bar3DChart>
      <c:catAx>
        <c:axId val="340799488"/>
        <c:scaling>
          <c:orientation val="minMax"/>
        </c:scaling>
        <c:delete val="0"/>
        <c:axPos val="b"/>
        <c:numFmt formatCode="General" sourceLinked="1"/>
        <c:majorTickMark val="none"/>
        <c:minorTickMark val="none"/>
        <c:tickLblPos val="nextTo"/>
        <c:txPr>
          <a:bodyPr/>
          <a:lstStyle/>
          <a:p>
            <a:pPr>
              <a:defRPr lang="es-ES" sz="1000" b="1"/>
            </a:pPr>
            <a:endParaRPr lang="es-CO"/>
          </a:p>
        </c:txPr>
        <c:crossAx val="339677120"/>
        <c:crosses val="autoZero"/>
        <c:auto val="1"/>
        <c:lblAlgn val="ctr"/>
        <c:lblOffset val="100"/>
        <c:noMultiLvlLbl val="0"/>
      </c:catAx>
      <c:valAx>
        <c:axId val="339677120"/>
        <c:scaling>
          <c:orientation val="minMax"/>
        </c:scaling>
        <c:delete val="1"/>
        <c:axPos val="l"/>
        <c:numFmt formatCode="0%" sourceLinked="0"/>
        <c:majorTickMark val="none"/>
        <c:minorTickMark val="none"/>
        <c:tickLblPos val="none"/>
        <c:crossAx val="340799488"/>
        <c:crosses val="autoZero"/>
        <c:crossBetween val="between"/>
      </c:valAx>
      <c:spPr>
        <a:noFill/>
        <a:ln w="19031">
          <a:noFill/>
        </a:ln>
      </c:spPr>
    </c:plotArea>
    <c:plotVisOnly val="1"/>
    <c:dispBlanksAs val="gap"/>
    <c:showDLblsOverMax val="0"/>
  </c:chart>
  <c:spPr>
    <a:ln>
      <a:noFill/>
    </a:ln>
  </c:spPr>
  <c:txPr>
    <a:bodyPr/>
    <a:lstStyle/>
    <a:p>
      <a:pPr>
        <a:defRPr sz="1352"/>
      </a:pPr>
      <a:endParaRPr lang="es-CO"/>
    </a:p>
  </c:txPr>
  <c:externalData r:id="rId1">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35"/>
    </mc:Choice>
    <mc:Fallback>
      <c:style val="35"/>
    </mc:Fallback>
  </mc:AlternateContent>
  <c:chart>
    <c:autoTitleDeleted val="1"/>
    <c:view3D>
      <c:rotX val="15"/>
      <c:rotY val="20"/>
      <c:depthPercent val="100"/>
      <c:rAngAx val="1"/>
    </c:view3D>
    <c:floor>
      <c:thickness val="0"/>
    </c:floor>
    <c:side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sideWall>
    <c:back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backWall>
    <c:plotArea>
      <c:layout/>
      <c:bar3DChart>
        <c:barDir val="col"/>
        <c:grouping val="clustered"/>
        <c:varyColors val="1"/>
        <c:ser>
          <c:idx val="0"/>
          <c:order val="0"/>
          <c:tx>
            <c:strRef>
              <c:f>Hoja1!$B$1</c:f>
              <c:strCache>
                <c:ptCount val="1"/>
                <c:pt idx="0">
                  <c:v>Columna2</c:v>
                </c:pt>
              </c:strCache>
            </c:strRef>
          </c:tx>
          <c:invertIfNegative val="0"/>
          <c:dLbls>
            <c:dLbl>
              <c:idx val="0"/>
              <c:layout>
                <c:manualLayout>
                  <c:x val="1.5967854317611517E-2"/>
                  <c:y val="-6.5573770491803282E-2"/>
                </c:manualLayout>
              </c:layout>
              <c:tx>
                <c:rich>
                  <a:bodyPr/>
                  <a:lstStyle/>
                  <a:p>
                    <a:r>
                      <a:rPr lang="en-US"/>
                      <a:t>71</a:t>
                    </a:r>
                  </a:p>
                </c:rich>
              </c:tx>
              <c:showLegendKey val="0"/>
              <c:showVal val="1"/>
              <c:showCatName val="0"/>
              <c:showSerName val="0"/>
              <c:showPercent val="0"/>
              <c:showBubbleSize val="0"/>
            </c:dLbl>
            <c:dLbl>
              <c:idx val="1"/>
              <c:layout>
                <c:manualLayout>
                  <c:x val="1.330671989354624E-2"/>
                  <c:y val="-5.1001821493624797E-2"/>
                </c:manualLayout>
              </c:layout>
              <c:tx>
                <c:rich>
                  <a:bodyPr/>
                  <a:lstStyle/>
                  <a:p>
                    <a:r>
                      <a:rPr lang="en-US"/>
                      <a:t>76</a:t>
                    </a:r>
                  </a:p>
                </c:rich>
              </c:tx>
              <c:showLegendKey val="0"/>
              <c:showVal val="1"/>
              <c:showCatName val="0"/>
              <c:showSerName val="0"/>
              <c:showPercent val="0"/>
              <c:showBubbleSize val="0"/>
            </c:dLbl>
            <c:dLbl>
              <c:idx val="2"/>
              <c:layout>
                <c:manualLayout>
                  <c:x val="2.1290751829674003E-2"/>
                  <c:y val="-4.3715846994535519E-2"/>
                </c:manualLayout>
              </c:layout>
              <c:tx>
                <c:rich>
                  <a:bodyPr/>
                  <a:lstStyle/>
                  <a:p>
                    <a:r>
                      <a:rPr lang="en-US"/>
                      <a:t>107.64%</a:t>
                    </a:r>
                  </a:p>
                </c:rich>
              </c:tx>
              <c:showLegendKey val="0"/>
              <c:showVal val="1"/>
              <c:showCatName val="0"/>
              <c:showSerName val="0"/>
              <c:showPercent val="0"/>
              <c:showBubbleSize val="0"/>
            </c:dLbl>
            <c:dLbl>
              <c:idx val="3"/>
              <c:layout>
                <c:manualLayout>
                  <c:x val="1.862940785096474E-2"/>
                  <c:y val="-4.3715846994535519E-2"/>
                </c:manualLayout>
              </c:layout>
              <c:tx>
                <c:rich>
                  <a:bodyPr/>
                  <a:lstStyle/>
                  <a:p>
                    <a:r>
                      <a:rPr lang="en-US"/>
                      <a:t>78</a:t>
                    </a:r>
                  </a:p>
                </c:rich>
              </c:tx>
              <c:showLegendKey val="0"/>
              <c:showVal val="1"/>
              <c:showCatName val="0"/>
              <c:showSerName val="0"/>
              <c:showPercent val="0"/>
              <c:showBubbleSize val="0"/>
            </c:dLbl>
            <c:txPr>
              <a:bodyPr/>
              <a:lstStyle/>
              <a:p>
                <a:pPr>
                  <a:defRPr sz="1050" b="1"/>
                </a:pPr>
                <a:endParaRPr lang="es-CO"/>
              </a:p>
            </c:txPr>
            <c:showLegendKey val="0"/>
            <c:showVal val="1"/>
            <c:showCatName val="0"/>
            <c:showSerName val="0"/>
            <c:showPercent val="0"/>
            <c:showBubbleSize val="0"/>
            <c:showLeaderLines val="0"/>
          </c:dLbls>
          <c:cat>
            <c:strRef>
              <c:f>Hoja1!$A$2:$A$5</c:f>
              <c:strCache>
                <c:ptCount val="4"/>
                <c:pt idx="0">
                  <c:v>Meta
2012</c:v>
                </c:pt>
                <c:pt idx="1">
                  <c:v>Avance
2012</c:v>
                </c:pt>
                <c:pt idx="2">
                  <c:v>% de
Cumplimiento</c:v>
                </c:pt>
                <c:pt idx="3">
                  <c:v>Meta
2013</c:v>
                </c:pt>
              </c:strCache>
            </c:strRef>
          </c:cat>
          <c:val>
            <c:numRef>
              <c:f>Hoja1!$B$2:$B$5</c:f>
              <c:numCache>
                <c:formatCode>0.00%</c:formatCode>
                <c:ptCount val="4"/>
                <c:pt idx="0">
                  <c:v>0.71000000000000041</c:v>
                </c:pt>
                <c:pt idx="1">
                  <c:v>0.76000000000000045</c:v>
                </c:pt>
                <c:pt idx="2">
                  <c:v>1.0740000000000001</c:v>
                </c:pt>
                <c:pt idx="3">
                  <c:v>0.78</c:v>
                </c:pt>
              </c:numCache>
            </c:numRef>
          </c:val>
        </c:ser>
        <c:dLbls>
          <c:showLegendKey val="0"/>
          <c:showVal val="0"/>
          <c:showCatName val="0"/>
          <c:showSerName val="0"/>
          <c:showPercent val="0"/>
          <c:showBubbleSize val="0"/>
        </c:dLbls>
        <c:gapWidth val="150"/>
        <c:shape val="cylinder"/>
        <c:axId val="340801536"/>
        <c:axId val="339678848"/>
        <c:axId val="0"/>
      </c:bar3DChart>
      <c:catAx>
        <c:axId val="340801536"/>
        <c:scaling>
          <c:orientation val="minMax"/>
        </c:scaling>
        <c:delete val="0"/>
        <c:axPos val="b"/>
        <c:numFmt formatCode="General" sourceLinked="1"/>
        <c:majorTickMark val="none"/>
        <c:minorTickMark val="none"/>
        <c:tickLblPos val="nextTo"/>
        <c:txPr>
          <a:bodyPr/>
          <a:lstStyle/>
          <a:p>
            <a:pPr>
              <a:defRPr lang="es-ES" sz="1000" b="1"/>
            </a:pPr>
            <a:endParaRPr lang="es-CO"/>
          </a:p>
        </c:txPr>
        <c:crossAx val="339678848"/>
        <c:crosses val="autoZero"/>
        <c:auto val="1"/>
        <c:lblAlgn val="ctr"/>
        <c:lblOffset val="100"/>
        <c:noMultiLvlLbl val="0"/>
      </c:catAx>
      <c:valAx>
        <c:axId val="339678848"/>
        <c:scaling>
          <c:orientation val="minMax"/>
        </c:scaling>
        <c:delete val="1"/>
        <c:axPos val="l"/>
        <c:numFmt formatCode="0%" sourceLinked="0"/>
        <c:majorTickMark val="none"/>
        <c:minorTickMark val="none"/>
        <c:tickLblPos val="none"/>
        <c:crossAx val="340801536"/>
        <c:crosses val="autoZero"/>
        <c:crossBetween val="between"/>
      </c:valAx>
      <c:spPr>
        <a:noFill/>
        <a:ln w="19031">
          <a:noFill/>
        </a:ln>
      </c:spPr>
    </c:plotArea>
    <c:plotVisOnly val="1"/>
    <c:dispBlanksAs val="gap"/>
    <c:showDLblsOverMax val="0"/>
  </c:chart>
  <c:spPr>
    <a:ln>
      <a:noFill/>
    </a:ln>
  </c:spPr>
  <c:txPr>
    <a:bodyPr/>
    <a:lstStyle/>
    <a:p>
      <a:pPr>
        <a:defRPr sz="1352"/>
      </a:pPr>
      <a:endParaRPr lang="es-CO"/>
    </a:p>
  </c:txPr>
  <c:externalData r:id="rId1">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35"/>
    </mc:Choice>
    <mc:Fallback>
      <c:style val="35"/>
    </mc:Fallback>
  </mc:AlternateContent>
  <c:chart>
    <c:autoTitleDeleted val="1"/>
    <c:view3D>
      <c:rotX val="15"/>
      <c:rotY val="20"/>
      <c:depthPercent val="100"/>
      <c:rAngAx val="1"/>
    </c:view3D>
    <c:floor>
      <c:thickness val="0"/>
    </c:floor>
    <c:side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sideWall>
    <c:back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backWall>
    <c:plotArea>
      <c:layout/>
      <c:bar3DChart>
        <c:barDir val="col"/>
        <c:grouping val="clustered"/>
        <c:varyColors val="1"/>
        <c:ser>
          <c:idx val="0"/>
          <c:order val="0"/>
          <c:tx>
            <c:strRef>
              <c:f>Hoja1!$B$1</c:f>
              <c:strCache>
                <c:ptCount val="1"/>
                <c:pt idx="0">
                  <c:v>Columna2</c:v>
                </c:pt>
              </c:strCache>
            </c:strRef>
          </c:tx>
          <c:invertIfNegative val="0"/>
          <c:dLbls>
            <c:dLbl>
              <c:idx val="0"/>
              <c:layout>
                <c:manualLayout>
                  <c:x val="2.3952095808383186E-2"/>
                  <c:y val="-5.1001821493624776E-2"/>
                </c:manualLayout>
              </c:layout>
              <c:showLegendKey val="0"/>
              <c:showVal val="1"/>
              <c:showCatName val="0"/>
              <c:showSerName val="0"/>
              <c:showPercent val="0"/>
              <c:showBubbleSize val="0"/>
            </c:dLbl>
            <c:dLbl>
              <c:idx val="1"/>
              <c:layout>
                <c:manualLayout>
                  <c:x val="1.0645375914837007E-2"/>
                  <c:y val="-6.5573770491803282E-2"/>
                </c:manualLayout>
              </c:layout>
              <c:showLegendKey val="0"/>
              <c:showVal val="1"/>
              <c:showCatName val="0"/>
              <c:showSerName val="0"/>
              <c:showPercent val="0"/>
              <c:showBubbleSize val="0"/>
            </c:dLbl>
            <c:dLbl>
              <c:idx val="2"/>
              <c:layout>
                <c:manualLayout>
                  <c:x val="2.1290751829674003E-2"/>
                  <c:y val="-4.3715846994535519E-2"/>
                </c:manualLayout>
              </c:layout>
              <c:tx>
                <c:rich>
                  <a:bodyPr/>
                  <a:lstStyle/>
                  <a:p>
                    <a:r>
                      <a:rPr lang="en-US"/>
                      <a:t>81.32%</a:t>
                    </a:r>
                  </a:p>
                </c:rich>
              </c:tx>
              <c:showLegendKey val="0"/>
              <c:showVal val="1"/>
              <c:showCatName val="0"/>
              <c:showSerName val="0"/>
              <c:showPercent val="0"/>
              <c:showBubbleSize val="0"/>
            </c:dLbl>
            <c:txPr>
              <a:bodyPr/>
              <a:lstStyle/>
              <a:p>
                <a:pPr>
                  <a:defRPr sz="1050" b="1"/>
                </a:pPr>
                <a:endParaRPr lang="es-CO"/>
              </a:p>
            </c:txPr>
            <c:showLegendKey val="0"/>
            <c:showVal val="1"/>
            <c:showCatName val="0"/>
            <c:showSerName val="0"/>
            <c:showPercent val="0"/>
            <c:showBubbleSize val="0"/>
            <c:showLeaderLines val="0"/>
          </c:dLbls>
          <c:cat>
            <c:strRef>
              <c:f>Hoja1!$A$2:$A$5</c:f>
              <c:strCache>
                <c:ptCount val="4"/>
                <c:pt idx="0">
                  <c:v>Meta
2012</c:v>
                </c:pt>
                <c:pt idx="1">
                  <c:v>Avance
2012</c:v>
                </c:pt>
                <c:pt idx="2">
                  <c:v>% de
Cumplimiento</c:v>
                </c:pt>
                <c:pt idx="3">
                  <c:v>Meta
2013</c:v>
                </c:pt>
              </c:strCache>
            </c:strRef>
          </c:cat>
          <c:val>
            <c:numRef>
              <c:f>Hoja1!$B$2:$B$5</c:f>
              <c:numCache>
                <c:formatCode>0.00%</c:formatCode>
                <c:ptCount val="4"/>
                <c:pt idx="0">
                  <c:v>0.22</c:v>
                </c:pt>
                <c:pt idx="1">
                  <c:v>0.17890000000000011</c:v>
                </c:pt>
                <c:pt idx="2">
                  <c:v>0.81318181818181878</c:v>
                </c:pt>
                <c:pt idx="3">
                  <c:v>0.26</c:v>
                </c:pt>
              </c:numCache>
            </c:numRef>
          </c:val>
        </c:ser>
        <c:dLbls>
          <c:showLegendKey val="0"/>
          <c:showVal val="0"/>
          <c:showCatName val="0"/>
          <c:showSerName val="0"/>
          <c:showPercent val="0"/>
          <c:showBubbleSize val="0"/>
        </c:dLbls>
        <c:gapWidth val="150"/>
        <c:shape val="cylinder"/>
        <c:axId val="339981824"/>
        <c:axId val="339680576"/>
        <c:axId val="0"/>
      </c:bar3DChart>
      <c:catAx>
        <c:axId val="339981824"/>
        <c:scaling>
          <c:orientation val="minMax"/>
        </c:scaling>
        <c:delete val="0"/>
        <c:axPos val="b"/>
        <c:numFmt formatCode="General" sourceLinked="1"/>
        <c:majorTickMark val="none"/>
        <c:minorTickMark val="none"/>
        <c:tickLblPos val="nextTo"/>
        <c:txPr>
          <a:bodyPr/>
          <a:lstStyle/>
          <a:p>
            <a:pPr>
              <a:defRPr lang="es-ES" sz="1000" b="1"/>
            </a:pPr>
            <a:endParaRPr lang="es-CO"/>
          </a:p>
        </c:txPr>
        <c:crossAx val="339680576"/>
        <c:crosses val="autoZero"/>
        <c:auto val="1"/>
        <c:lblAlgn val="ctr"/>
        <c:lblOffset val="100"/>
        <c:noMultiLvlLbl val="0"/>
      </c:catAx>
      <c:valAx>
        <c:axId val="339680576"/>
        <c:scaling>
          <c:orientation val="minMax"/>
        </c:scaling>
        <c:delete val="1"/>
        <c:axPos val="l"/>
        <c:numFmt formatCode="0%" sourceLinked="0"/>
        <c:majorTickMark val="none"/>
        <c:minorTickMark val="none"/>
        <c:tickLblPos val="none"/>
        <c:crossAx val="339981824"/>
        <c:crosses val="autoZero"/>
        <c:crossBetween val="between"/>
      </c:valAx>
      <c:spPr>
        <a:noFill/>
        <a:ln w="19031">
          <a:noFill/>
        </a:ln>
      </c:spPr>
    </c:plotArea>
    <c:plotVisOnly val="1"/>
    <c:dispBlanksAs val="gap"/>
    <c:showDLblsOverMax val="0"/>
  </c:chart>
  <c:spPr>
    <a:ln>
      <a:noFill/>
    </a:ln>
  </c:spPr>
  <c:txPr>
    <a:bodyPr/>
    <a:lstStyle/>
    <a:p>
      <a:pPr>
        <a:defRPr sz="1352"/>
      </a:pPr>
      <a:endParaRPr lang="es-CO"/>
    </a:p>
  </c:txPr>
  <c:externalData r:id="rId1">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ideWall>
    <c:backWall>
      <c:thickness val="0"/>
    </c:backWall>
    <c:plotArea>
      <c:layout>
        <c:manualLayout>
          <c:layoutTarget val="inner"/>
          <c:xMode val="edge"/>
          <c:yMode val="edge"/>
          <c:x val="1.5595274699321331E-2"/>
          <c:y val="2.3444667455783719E-2"/>
          <c:w val="0.98440472530067857"/>
          <c:h val="0.67929528416791063"/>
        </c:manualLayout>
      </c:layout>
      <c:bar3DChart>
        <c:barDir val="col"/>
        <c:grouping val="clustered"/>
        <c:varyColors val="1"/>
        <c:ser>
          <c:idx val="0"/>
          <c:order val="0"/>
          <c:invertIfNegative val="0"/>
          <c:dLbls>
            <c:dLbl>
              <c:idx val="0"/>
              <c:layout>
                <c:manualLayout>
                  <c:x val="6.7888662593346936E-3"/>
                  <c:y val="0"/>
                </c:manualLayout>
              </c:layout>
              <c:showLegendKey val="0"/>
              <c:showVal val="1"/>
              <c:showCatName val="0"/>
              <c:showSerName val="0"/>
              <c:showPercent val="0"/>
              <c:showBubbleSize val="0"/>
            </c:dLbl>
            <c:dLbl>
              <c:idx val="1"/>
              <c:layout>
                <c:manualLayout>
                  <c:x val="6.7888662593346936E-3"/>
                  <c:y val="0"/>
                </c:manualLayout>
              </c:layout>
              <c:showLegendKey val="0"/>
              <c:showVal val="1"/>
              <c:showCatName val="0"/>
              <c:showSerName val="0"/>
              <c:showPercent val="0"/>
              <c:showBubbleSize val="0"/>
            </c:dLbl>
            <c:dLbl>
              <c:idx val="2"/>
              <c:layout>
                <c:manualLayout>
                  <c:x val="6.7888662593346936E-3"/>
                  <c:y val="0"/>
                </c:manualLayout>
              </c:layout>
              <c:showLegendKey val="0"/>
              <c:showVal val="1"/>
              <c:showCatName val="0"/>
              <c:showSerName val="0"/>
              <c:showPercent val="0"/>
              <c:showBubbleSize val="0"/>
            </c:dLbl>
            <c:dLbl>
              <c:idx val="3"/>
              <c:layout>
                <c:manualLayout>
                  <c:x val="1.1314777098891159E-2"/>
                  <c:y val="0"/>
                </c:manualLayout>
              </c:layout>
              <c:showLegendKey val="0"/>
              <c:showVal val="1"/>
              <c:showCatName val="0"/>
              <c:showSerName val="0"/>
              <c:showPercent val="0"/>
              <c:showBubbleSize val="0"/>
            </c:dLbl>
            <c:dLbl>
              <c:idx val="4"/>
              <c:layout>
                <c:manualLayout>
                  <c:x val="6.7888662593346936E-3"/>
                  <c:y val="0"/>
                </c:manualLayout>
              </c:layout>
              <c:showLegendKey val="0"/>
              <c:showVal val="1"/>
              <c:showCatName val="0"/>
              <c:showSerName val="0"/>
              <c:showPercent val="0"/>
              <c:showBubbleSize val="0"/>
            </c:dLbl>
            <c:dLbl>
              <c:idx val="5"/>
              <c:layout>
                <c:manualLayout>
                  <c:x val="4.5259108395564549E-3"/>
                  <c:y val="0"/>
                </c:manualLayout>
              </c:layout>
              <c:showLegendKey val="0"/>
              <c:showVal val="1"/>
              <c:showCatName val="0"/>
              <c:showSerName val="0"/>
              <c:showPercent val="0"/>
              <c:showBubbleSize val="0"/>
            </c:dLbl>
            <c:dLbl>
              <c:idx val="6"/>
              <c:layout>
                <c:manualLayout>
                  <c:x val="6.7888662593346936E-3"/>
                  <c:y val="0"/>
                </c:manualLayout>
              </c:layout>
              <c:showLegendKey val="0"/>
              <c:showVal val="1"/>
              <c:showCatName val="0"/>
              <c:showSerName val="0"/>
              <c:showPercent val="0"/>
              <c:showBubbleSize val="0"/>
            </c:dLbl>
            <c:dLbl>
              <c:idx val="7"/>
              <c:layout>
                <c:manualLayout>
                  <c:x val="6.7888662593346936E-3"/>
                  <c:y val="0"/>
                </c:manualLayout>
              </c:layout>
              <c:showLegendKey val="0"/>
              <c:showVal val="1"/>
              <c:showCatName val="0"/>
              <c:showSerName val="0"/>
              <c:showPercent val="0"/>
              <c:showBubbleSize val="0"/>
            </c:dLbl>
            <c:dLbl>
              <c:idx val="8"/>
              <c:layout>
                <c:manualLayout>
                  <c:x val="6.7888662593346936E-3"/>
                  <c:y val="0"/>
                </c:manualLayout>
              </c:layout>
              <c:showLegendKey val="0"/>
              <c:showVal val="1"/>
              <c:showCatName val="0"/>
              <c:showSerName val="0"/>
              <c:showPercent val="0"/>
              <c:showBubbleSize val="0"/>
            </c:dLbl>
            <c:dLbl>
              <c:idx val="9"/>
              <c:layout>
                <c:manualLayout>
                  <c:x val="4.5259108395564549E-3"/>
                  <c:y val="0"/>
                </c:manualLayout>
              </c:layout>
              <c:showLegendKey val="0"/>
              <c:showVal val="1"/>
              <c:showCatName val="0"/>
              <c:showSerName val="0"/>
              <c:showPercent val="0"/>
              <c:showBubbleSize val="0"/>
            </c:dLbl>
            <c:txPr>
              <a:bodyPr/>
              <a:lstStyle/>
              <a:p>
                <a:pPr>
                  <a:defRPr sz="1200" b="1"/>
                </a:pPr>
                <a:endParaRPr lang="es-CO"/>
              </a:p>
            </c:txPr>
            <c:showLegendKey val="0"/>
            <c:showVal val="1"/>
            <c:showCatName val="0"/>
            <c:showSerName val="0"/>
            <c:showPercent val="0"/>
            <c:showBubbleSize val="0"/>
            <c:showLeaderLines val="0"/>
          </c:dLbls>
          <c:cat>
            <c:strRef>
              <c:f>Hoja1!$C$62:$C$71</c:f>
              <c:strCache>
                <c:ptCount val="10"/>
                <c:pt idx="0">
                  <c:v>Industrial</c:v>
                </c:pt>
                <c:pt idx="1">
                  <c:v>Social</c:v>
                </c:pt>
                <c:pt idx="2">
                  <c:v>Académico</c:v>
                </c:pt>
                <c:pt idx="3">
                  <c:v>Ambiental</c:v>
                </c:pt>
                <c:pt idx="4">
                  <c:v>Comercial</c:v>
                </c:pt>
                <c:pt idx="5">
                  <c:v>Cultural</c:v>
                </c:pt>
                <c:pt idx="6">
                  <c:v>De servicios</c:v>
                </c:pt>
                <c:pt idx="7">
                  <c:v>Científico</c:v>
                </c:pt>
                <c:pt idx="8">
                  <c:v>Gubernamental</c:v>
                </c:pt>
                <c:pt idx="9">
                  <c:v>Salud</c:v>
                </c:pt>
              </c:strCache>
            </c:strRef>
          </c:cat>
          <c:val>
            <c:numRef>
              <c:f>Hoja1!$D$62:$D$71</c:f>
              <c:numCache>
                <c:formatCode>General</c:formatCode>
                <c:ptCount val="10"/>
                <c:pt idx="0">
                  <c:v>23</c:v>
                </c:pt>
                <c:pt idx="1">
                  <c:v>6</c:v>
                </c:pt>
                <c:pt idx="2">
                  <c:v>5</c:v>
                </c:pt>
                <c:pt idx="3">
                  <c:v>5</c:v>
                </c:pt>
                <c:pt idx="4">
                  <c:v>2</c:v>
                </c:pt>
                <c:pt idx="5">
                  <c:v>2</c:v>
                </c:pt>
                <c:pt idx="6">
                  <c:v>2</c:v>
                </c:pt>
                <c:pt idx="7">
                  <c:v>1</c:v>
                </c:pt>
                <c:pt idx="8">
                  <c:v>1</c:v>
                </c:pt>
                <c:pt idx="9">
                  <c:v>1</c:v>
                </c:pt>
              </c:numCache>
            </c:numRef>
          </c:val>
        </c:ser>
        <c:dLbls>
          <c:showLegendKey val="0"/>
          <c:showVal val="0"/>
          <c:showCatName val="0"/>
          <c:showSerName val="0"/>
          <c:showPercent val="0"/>
          <c:showBubbleSize val="0"/>
        </c:dLbls>
        <c:gapWidth val="150"/>
        <c:shape val="cylinder"/>
        <c:axId val="340801024"/>
        <c:axId val="340763776"/>
        <c:axId val="0"/>
      </c:bar3DChart>
      <c:catAx>
        <c:axId val="340801024"/>
        <c:scaling>
          <c:orientation val="minMax"/>
        </c:scaling>
        <c:delete val="0"/>
        <c:axPos val="b"/>
        <c:majorTickMark val="out"/>
        <c:minorTickMark val="none"/>
        <c:tickLblPos val="nextTo"/>
        <c:txPr>
          <a:bodyPr/>
          <a:lstStyle/>
          <a:p>
            <a:pPr>
              <a:defRPr sz="1000" b="1"/>
            </a:pPr>
            <a:endParaRPr lang="es-CO"/>
          </a:p>
        </c:txPr>
        <c:crossAx val="340763776"/>
        <c:crosses val="autoZero"/>
        <c:auto val="1"/>
        <c:lblAlgn val="ctr"/>
        <c:lblOffset val="100"/>
        <c:noMultiLvlLbl val="0"/>
      </c:catAx>
      <c:valAx>
        <c:axId val="340763776"/>
        <c:scaling>
          <c:orientation val="minMax"/>
        </c:scaling>
        <c:delete val="1"/>
        <c:axPos val="l"/>
        <c:numFmt formatCode="General" sourceLinked="1"/>
        <c:majorTickMark val="out"/>
        <c:minorTickMark val="none"/>
        <c:tickLblPos val="none"/>
        <c:crossAx val="340801024"/>
        <c:crosses val="autoZero"/>
        <c:crossBetween val="between"/>
      </c:valAx>
    </c:plotArea>
    <c:plotVisOnly val="1"/>
    <c:dispBlanksAs val="gap"/>
    <c:showDLblsOverMax val="0"/>
  </c:chart>
  <c:spPr>
    <a:ln>
      <a:noFill/>
    </a:ln>
  </c:spPr>
  <c:externalData r:id="rId1">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35"/>
    </mc:Choice>
    <mc:Fallback>
      <c:style val="35"/>
    </mc:Fallback>
  </mc:AlternateContent>
  <c:chart>
    <c:autoTitleDeleted val="1"/>
    <c:view3D>
      <c:rotX val="15"/>
      <c:rotY val="20"/>
      <c:depthPercent val="100"/>
      <c:rAngAx val="1"/>
    </c:view3D>
    <c:floor>
      <c:thickness val="0"/>
    </c:floor>
    <c:side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sideWall>
    <c:back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backWall>
    <c:plotArea>
      <c:layout/>
      <c:bar3DChart>
        <c:barDir val="col"/>
        <c:grouping val="clustered"/>
        <c:varyColors val="1"/>
        <c:ser>
          <c:idx val="0"/>
          <c:order val="0"/>
          <c:tx>
            <c:strRef>
              <c:f>Hoja1!$B$1</c:f>
              <c:strCache>
                <c:ptCount val="1"/>
                <c:pt idx="0">
                  <c:v>Columna2</c:v>
                </c:pt>
              </c:strCache>
            </c:strRef>
          </c:tx>
          <c:invertIfNegative val="0"/>
          <c:dLbls>
            <c:dLbl>
              <c:idx val="0"/>
              <c:layout>
                <c:manualLayout>
                  <c:x val="2.3952095808383186E-2"/>
                  <c:y val="-5.1001821493624776E-2"/>
                </c:manualLayout>
              </c:layout>
              <c:showLegendKey val="0"/>
              <c:showVal val="1"/>
              <c:showCatName val="0"/>
              <c:showSerName val="0"/>
              <c:showPercent val="0"/>
              <c:showBubbleSize val="0"/>
            </c:dLbl>
            <c:dLbl>
              <c:idx val="1"/>
              <c:layout>
                <c:manualLayout>
                  <c:x val="1.0645375914837007E-2"/>
                  <c:y val="-6.5573770491803282E-2"/>
                </c:manualLayout>
              </c:layout>
              <c:showLegendKey val="0"/>
              <c:showVal val="1"/>
              <c:showCatName val="0"/>
              <c:showSerName val="0"/>
              <c:showPercent val="0"/>
              <c:showBubbleSize val="0"/>
            </c:dLbl>
            <c:dLbl>
              <c:idx val="2"/>
              <c:layout>
                <c:manualLayout>
                  <c:x val="2.1290751829674003E-2"/>
                  <c:y val="-4.3715846994535519E-2"/>
                </c:manualLayout>
              </c:layout>
              <c:tx>
                <c:rich>
                  <a:bodyPr/>
                  <a:lstStyle/>
                  <a:p>
                    <a:r>
                      <a:rPr lang="en-US"/>
                      <a:t>100%</a:t>
                    </a:r>
                  </a:p>
                </c:rich>
              </c:tx>
              <c:showLegendKey val="0"/>
              <c:showVal val="1"/>
              <c:showCatName val="0"/>
              <c:showSerName val="0"/>
              <c:showPercent val="0"/>
              <c:showBubbleSize val="0"/>
            </c:dLbl>
            <c:txPr>
              <a:bodyPr/>
              <a:lstStyle/>
              <a:p>
                <a:pPr>
                  <a:defRPr sz="1050" b="1"/>
                </a:pPr>
                <a:endParaRPr lang="es-CO"/>
              </a:p>
            </c:txPr>
            <c:showLegendKey val="0"/>
            <c:showVal val="1"/>
            <c:showCatName val="0"/>
            <c:showSerName val="0"/>
            <c:showPercent val="0"/>
            <c:showBubbleSize val="0"/>
            <c:showLeaderLines val="0"/>
          </c:dLbls>
          <c:cat>
            <c:strRef>
              <c:f>Hoja1!$A$2:$A$5</c:f>
              <c:strCache>
                <c:ptCount val="4"/>
                <c:pt idx="0">
                  <c:v>Meta
2012</c:v>
                </c:pt>
                <c:pt idx="1">
                  <c:v>Avance
2012</c:v>
                </c:pt>
                <c:pt idx="2">
                  <c:v>% de
Cumplimiento</c:v>
                </c:pt>
                <c:pt idx="3">
                  <c:v>Meta
2013</c:v>
                </c:pt>
              </c:strCache>
            </c:strRef>
          </c:cat>
          <c:val>
            <c:numRef>
              <c:f>Hoja1!$B$2:$B$5</c:f>
              <c:numCache>
                <c:formatCode>0.00%</c:formatCode>
                <c:ptCount val="4"/>
                <c:pt idx="0">
                  <c:v>0.14000000000000001</c:v>
                </c:pt>
                <c:pt idx="1">
                  <c:v>9.0899999999999995E-2</c:v>
                </c:pt>
                <c:pt idx="2">
                  <c:v>0.64928571428571413</c:v>
                </c:pt>
                <c:pt idx="3">
                  <c:v>0.18</c:v>
                </c:pt>
              </c:numCache>
            </c:numRef>
          </c:val>
        </c:ser>
        <c:dLbls>
          <c:showLegendKey val="0"/>
          <c:showVal val="0"/>
          <c:showCatName val="0"/>
          <c:showSerName val="0"/>
          <c:showPercent val="0"/>
          <c:showBubbleSize val="0"/>
        </c:dLbls>
        <c:gapWidth val="150"/>
        <c:shape val="cylinder"/>
        <c:axId val="340802048"/>
        <c:axId val="340765504"/>
        <c:axId val="0"/>
      </c:bar3DChart>
      <c:catAx>
        <c:axId val="340802048"/>
        <c:scaling>
          <c:orientation val="minMax"/>
        </c:scaling>
        <c:delete val="0"/>
        <c:axPos val="b"/>
        <c:numFmt formatCode="General" sourceLinked="1"/>
        <c:majorTickMark val="none"/>
        <c:minorTickMark val="none"/>
        <c:tickLblPos val="nextTo"/>
        <c:txPr>
          <a:bodyPr/>
          <a:lstStyle/>
          <a:p>
            <a:pPr>
              <a:defRPr lang="es-ES" sz="1000" b="1"/>
            </a:pPr>
            <a:endParaRPr lang="es-CO"/>
          </a:p>
        </c:txPr>
        <c:crossAx val="340765504"/>
        <c:crosses val="autoZero"/>
        <c:auto val="1"/>
        <c:lblAlgn val="ctr"/>
        <c:lblOffset val="100"/>
        <c:noMultiLvlLbl val="0"/>
      </c:catAx>
      <c:valAx>
        <c:axId val="340765504"/>
        <c:scaling>
          <c:orientation val="minMax"/>
        </c:scaling>
        <c:delete val="1"/>
        <c:axPos val="l"/>
        <c:numFmt formatCode="0%" sourceLinked="0"/>
        <c:majorTickMark val="none"/>
        <c:minorTickMark val="none"/>
        <c:tickLblPos val="none"/>
        <c:crossAx val="340802048"/>
        <c:crosses val="autoZero"/>
        <c:crossBetween val="between"/>
      </c:valAx>
      <c:spPr>
        <a:noFill/>
        <a:ln w="19031">
          <a:noFill/>
        </a:ln>
      </c:spPr>
    </c:plotArea>
    <c:plotVisOnly val="1"/>
    <c:dispBlanksAs val="gap"/>
    <c:showDLblsOverMax val="0"/>
  </c:chart>
  <c:spPr>
    <a:ln>
      <a:noFill/>
    </a:ln>
  </c:spPr>
  <c:txPr>
    <a:bodyPr/>
    <a:lstStyle/>
    <a:p>
      <a:pPr>
        <a:defRPr sz="1352"/>
      </a:pPr>
      <a:endParaRPr lang="es-CO"/>
    </a:p>
  </c:txPr>
  <c:externalData r:id="rId1">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2.1072796934865901E-2"/>
          <c:y val="5.0925925925925923E-2"/>
          <c:w val="0.95785440613026862"/>
          <c:h val="0.65719487280156574"/>
        </c:manualLayout>
      </c:layout>
      <c:lineChart>
        <c:grouping val="standard"/>
        <c:varyColors val="0"/>
        <c:ser>
          <c:idx val="0"/>
          <c:order val="0"/>
          <c:tx>
            <c:strRef>
              <c:f>Hoja1!$C$10</c:f>
              <c:strCache>
                <c:ptCount val="1"/>
                <c:pt idx="0">
                  <c:v>Grupos Constituidos</c:v>
                </c:pt>
              </c:strCache>
            </c:strRef>
          </c:tx>
          <c:marker>
            <c:symbol val="circle"/>
            <c:size val="10"/>
          </c:marker>
          <c:dLbls>
            <c:dLbl>
              <c:idx val="9"/>
              <c:tx>
                <c:rich>
                  <a:bodyPr/>
                  <a:lstStyle/>
                  <a:p>
                    <a:r>
                      <a:rPr lang="en-US"/>
                      <a:t>141</a:t>
                    </a:r>
                  </a:p>
                </c:rich>
              </c:tx>
              <c:dLblPos val="t"/>
              <c:showLegendKey val="0"/>
              <c:showVal val="1"/>
              <c:showCatName val="0"/>
              <c:showSerName val="0"/>
              <c:showPercent val="0"/>
              <c:showBubbleSize val="0"/>
            </c:dLbl>
            <c:txPr>
              <a:bodyPr/>
              <a:lstStyle/>
              <a:p>
                <a:pPr>
                  <a:defRPr sz="1050" b="1" cap="none" spc="0">
                    <a:ln w="10541" cmpd="sng">
                      <a:noFill/>
                      <a:prstDash val="solid"/>
                    </a:ln>
                    <a:solidFill>
                      <a:schemeClr val="tx1"/>
                    </a:solidFill>
                    <a:effectLst/>
                  </a:defRPr>
                </a:pPr>
                <a:endParaRPr lang="es-CO"/>
              </a:p>
            </c:txPr>
            <c:dLblPos val="t"/>
            <c:showLegendKey val="0"/>
            <c:showVal val="1"/>
            <c:showCatName val="0"/>
            <c:showSerName val="0"/>
            <c:showPercent val="0"/>
            <c:showBubbleSize val="0"/>
            <c:showLeaderLines val="0"/>
          </c:dLbls>
          <c:cat>
            <c:numRef>
              <c:f>Hoja1!$D$9:$M$9</c:f>
              <c:numCache>
                <c:formatCode>General</c:formatCode>
                <c:ptCount val="10"/>
                <c:pt idx="0">
                  <c:v>2003</c:v>
                </c:pt>
                <c:pt idx="1">
                  <c:v>2004</c:v>
                </c:pt>
                <c:pt idx="2">
                  <c:v>2005</c:v>
                </c:pt>
                <c:pt idx="3">
                  <c:v>2006</c:v>
                </c:pt>
                <c:pt idx="4">
                  <c:v>2007</c:v>
                </c:pt>
                <c:pt idx="5">
                  <c:v>2008</c:v>
                </c:pt>
                <c:pt idx="6">
                  <c:v>2009</c:v>
                </c:pt>
                <c:pt idx="7">
                  <c:v>2010</c:v>
                </c:pt>
                <c:pt idx="8">
                  <c:v>2011</c:v>
                </c:pt>
                <c:pt idx="9">
                  <c:v>2012</c:v>
                </c:pt>
              </c:numCache>
            </c:numRef>
          </c:cat>
          <c:val>
            <c:numRef>
              <c:f>Hoja1!$D$10:$M$10</c:f>
              <c:numCache>
                <c:formatCode>General</c:formatCode>
                <c:ptCount val="10"/>
                <c:pt idx="0">
                  <c:v>30</c:v>
                </c:pt>
                <c:pt idx="1">
                  <c:v>58</c:v>
                </c:pt>
                <c:pt idx="2">
                  <c:v>75</c:v>
                </c:pt>
                <c:pt idx="3">
                  <c:v>95</c:v>
                </c:pt>
                <c:pt idx="4">
                  <c:v>107</c:v>
                </c:pt>
                <c:pt idx="5">
                  <c:v>122</c:v>
                </c:pt>
                <c:pt idx="6">
                  <c:v>122</c:v>
                </c:pt>
                <c:pt idx="7">
                  <c:v>127</c:v>
                </c:pt>
                <c:pt idx="8">
                  <c:v>133</c:v>
                </c:pt>
                <c:pt idx="9">
                  <c:v>140</c:v>
                </c:pt>
              </c:numCache>
            </c:numRef>
          </c:val>
          <c:smooth val="1"/>
        </c:ser>
        <c:ser>
          <c:idx val="1"/>
          <c:order val="1"/>
          <c:tx>
            <c:strRef>
              <c:f>Hoja1!$C$11</c:f>
              <c:strCache>
                <c:ptCount val="1"/>
                <c:pt idx="0">
                  <c:v>Grupos Reconocidos</c:v>
                </c:pt>
              </c:strCache>
            </c:strRef>
          </c:tx>
          <c:marker>
            <c:symbol val="circle"/>
            <c:size val="10"/>
          </c:marker>
          <c:dLbls>
            <c:dLbl>
              <c:idx val="0"/>
              <c:layout>
                <c:manualLayout>
                  <c:x val="-7.2488164030412722E-2"/>
                  <c:y val="5.3702711244864058E-3"/>
                </c:manualLayout>
              </c:layout>
              <c:dLblPos val="r"/>
              <c:showLegendKey val="0"/>
              <c:showVal val="1"/>
              <c:showCatName val="0"/>
              <c:showSerName val="0"/>
              <c:showPercent val="0"/>
              <c:showBubbleSize val="0"/>
            </c:dLbl>
            <c:txPr>
              <a:bodyPr/>
              <a:lstStyle/>
              <a:p>
                <a:pPr>
                  <a:defRPr sz="1050" b="1" cap="none" spc="0">
                    <a:ln w="10541" cmpd="sng">
                      <a:noFill/>
                      <a:prstDash val="solid"/>
                    </a:ln>
                    <a:solidFill>
                      <a:schemeClr val="tx1"/>
                    </a:solidFill>
                    <a:effectLst/>
                  </a:defRPr>
                </a:pPr>
                <a:endParaRPr lang="es-CO"/>
              </a:p>
            </c:txPr>
            <c:dLblPos val="b"/>
            <c:showLegendKey val="0"/>
            <c:showVal val="1"/>
            <c:showCatName val="0"/>
            <c:showSerName val="0"/>
            <c:showPercent val="0"/>
            <c:showBubbleSize val="0"/>
            <c:showLeaderLines val="0"/>
          </c:dLbls>
          <c:cat>
            <c:numRef>
              <c:f>Hoja1!$D$9:$M$9</c:f>
              <c:numCache>
                <c:formatCode>General</c:formatCode>
                <c:ptCount val="10"/>
                <c:pt idx="0">
                  <c:v>2003</c:v>
                </c:pt>
                <c:pt idx="1">
                  <c:v>2004</c:v>
                </c:pt>
                <c:pt idx="2">
                  <c:v>2005</c:v>
                </c:pt>
                <c:pt idx="3">
                  <c:v>2006</c:v>
                </c:pt>
                <c:pt idx="4">
                  <c:v>2007</c:v>
                </c:pt>
                <c:pt idx="5">
                  <c:v>2008</c:v>
                </c:pt>
                <c:pt idx="6">
                  <c:v>2009</c:v>
                </c:pt>
                <c:pt idx="7">
                  <c:v>2010</c:v>
                </c:pt>
                <c:pt idx="8">
                  <c:v>2011</c:v>
                </c:pt>
                <c:pt idx="9">
                  <c:v>2012</c:v>
                </c:pt>
              </c:numCache>
            </c:numRef>
          </c:cat>
          <c:val>
            <c:numRef>
              <c:f>Hoja1!$D$11:$M$11</c:f>
              <c:numCache>
                <c:formatCode>General</c:formatCode>
                <c:ptCount val="10"/>
                <c:pt idx="0">
                  <c:v>14</c:v>
                </c:pt>
                <c:pt idx="1">
                  <c:v>28</c:v>
                </c:pt>
                <c:pt idx="2">
                  <c:v>37</c:v>
                </c:pt>
                <c:pt idx="3">
                  <c:v>53</c:v>
                </c:pt>
                <c:pt idx="4">
                  <c:v>53</c:v>
                </c:pt>
                <c:pt idx="5">
                  <c:v>53</c:v>
                </c:pt>
                <c:pt idx="6">
                  <c:v>81</c:v>
                </c:pt>
                <c:pt idx="7">
                  <c:v>88</c:v>
                </c:pt>
                <c:pt idx="8">
                  <c:v>101</c:v>
                </c:pt>
                <c:pt idx="9">
                  <c:v>101</c:v>
                </c:pt>
              </c:numCache>
            </c:numRef>
          </c:val>
          <c:smooth val="1"/>
        </c:ser>
        <c:dLbls>
          <c:showLegendKey val="0"/>
          <c:showVal val="0"/>
          <c:showCatName val="0"/>
          <c:showSerName val="0"/>
          <c:showPercent val="0"/>
          <c:showBubbleSize val="0"/>
        </c:dLbls>
        <c:marker val="1"/>
        <c:smooth val="0"/>
        <c:axId val="341293056"/>
        <c:axId val="340767808"/>
      </c:lineChart>
      <c:catAx>
        <c:axId val="341293056"/>
        <c:scaling>
          <c:orientation val="minMax"/>
        </c:scaling>
        <c:delete val="0"/>
        <c:axPos val="b"/>
        <c:numFmt formatCode="General" sourceLinked="1"/>
        <c:majorTickMark val="out"/>
        <c:minorTickMark val="none"/>
        <c:tickLblPos val="nextTo"/>
        <c:txPr>
          <a:bodyPr/>
          <a:lstStyle/>
          <a:p>
            <a:pPr>
              <a:defRPr b="1"/>
            </a:pPr>
            <a:endParaRPr lang="es-CO"/>
          </a:p>
        </c:txPr>
        <c:crossAx val="340767808"/>
        <c:crosses val="autoZero"/>
        <c:auto val="1"/>
        <c:lblAlgn val="ctr"/>
        <c:lblOffset val="100"/>
        <c:noMultiLvlLbl val="0"/>
      </c:catAx>
      <c:valAx>
        <c:axId val="340767808"/>
        <c:scaling>
          <c:orientation val="minMax"/>
        </c:scaling>
        <c:delete val="1"/>
        <c:axPos val="l"/>
        <c:numFmt formatCode="General" sourceLinked="1"/>
        <c:majorTickMark val="out"/>
        <c:minorTickMark val="none"/>
        <c:tickLblPos val="none"/>
        <c:crossAx val="341293056"/>
        <c:crosses val="autoZero"/>
        <c:crossBetween val="between"/>
      </c:valAx>
    </c:plotArea>
    <c:legend>
      <c:legendPos val="b"/>
      <c:legendEntry>
        <c:idx val="0"/>
        <c:txPr>
          <a:bodyPr/>
          <a:lstStyle/>
          <a:p>
            <a:pPr>
              <a:defRPr sz="1600" b="1" cap="none" spc="0">
                <a:ln w="10541" cmpd="sng">
                  <a:solidFill>
                    <a:schemeClr val="accent1">
                      <a:shade val="88000"/>
                      <a:satMod val="110000"/>
                    </a:schemeClr>
                  </a:solidFill>
                  <a:prstDash val="solid"/>
                </a:ln>
                <a:gradFill>
                  <a:gsLst>
                    <a:gs pos="0">
                      <a:schemeClr val="accent1">
                        <a:tint val="40000"/>
                        <a:satMod val="250000"/>
                      </a:schemeClr>
                    </a:gs>
                    <a:gs pos="9000">
                      <a:schemeClr val="accent1">
                        <a:tint val="52000"/>
                        <a:satMod val="300000"/>
                      </a:schemeClr>
                    </a:gs>
                    <a:gs pos="50000">
                      <a:schemeClr val="accent1">
                        <a:shade val="20000"/>
                        <a:satMod val="300000"/>
                      </a:schemeClr>
                    </a:gs>
                    <a:gs pos="79000">
                      <a:schemeClr val="accent1">
                        <a:tint val="52000"/>
                        <a:satMod val="300000"/>
                      </a:schemeClr>
                    </a:gs>
                    <a:gs pos="100000">
                      <a:schemeClr val="accent1">
                        <a:tint val="40000"/>
                        <a:satMod val="250000"/>
                      </a:schemeClr>
                    </a:gs>
                  </a:gsLst>
                  <a:lin ang="5400000"/>
                </a:gradFill>
                <a:effectLst/>
              </a:defRPr>
            </a:pPr>
            <a:endParaRPr lang="es-CO"/>
          </a:p>
        </c:txPr>
      </c:legendEntry>
      <c:legendEntry>
        <c:idx val="1"/>
        <c:txPr>
          <a:bodyPr/>
          <a:lstStyle/>
          <a:p>
            <a:pPr>
              <a:defRPr sz="1600" b="1" cap="none" spc="0">
                <a:ln w="10541" cmpd="sng">
                  <a:solidFill>
                    <a:schemeClr val="accent2"/>
                  </a:solidFill>
                  <a:prstDash val="solid"/>
                </a:ln>
                <a:solidFill>
                  <a:schemeClr val="accent2"/>
                </a:solidFill>
                <a:effectLst/>
              </a:defRPr>
            </a:pPr>
            <a:endParaRPr lang="es-CO"/>
          </a:p>
        </c:txPr>
      </c:legendEntry>
      <c:overlay val="0"/>
      <c:txPr>
        <a:bodyPr/>
        <a:lstStyle/>
        <a:p>
          <a:pPr>
            <a:defRPr sz="1600" b="1"/>
          </a:pPr>
          <a:endParaRPr lang="es-CO"/>
        </a:p>
      </c:txPr>
    </c:legend>
    <c:plotVisOnly val="1"/>
    <c:dispBlanksAs val="gap"/>
    <c:showDLblsOverMax val="0"/>
  </c:chart>
  <c:spPr>
    <a:ln>
      <a:noFill/>
    </a:ln>
  </c:spPr>
  <c:externalData r:id="rId1">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ideWall>
    <c:backWall>
      <c:thickness val="0"/>
    </c:backWall>
    <c:plotArea>
      <c:layout/>
      <c:bar3DChart>
        <c:barDir val="col"/>
        <c:grouping val="clustered"/>
        <c:varyColors val="1"/>
        <c:ser>
          <c:idx val="0"/>
          <c:order val="0"/>
          <c:invertIfNegative val="0"/>
          <c:dLbls>
            <c:dLbl>
              <c:idx val="0"/>
              <c:layout>
                <c:manualLayout>
                  <c:x val="9.6096096096096283E-3"/>
                  <c:y val="-4.6296296296296346E-3"/>
                </c:manualLayout>
              </c:layout>
              <c:spPr/>
              <c:txPr>
                <a:bodyPr/>
                <a:lstStyle/>
                <a:p>
                  <a:pPr>
                    <a:defRPr sz="1600" b="1" cap="none" spc="0">
                      <a:ln w="10541" cmpd="sng">
                        <a:solidFill>
                          <a:schemeClr val="accent1"/>
                        </a:solidFill>
                        <a:prstDash val="solid"/>
                      </a:ln>
                      <a:solidFill>
                        <a:schemeClr val="accent1"/>
                      </a:solidFill>
                      <a:effectLst/>
                    </a:defRPr>
                  </a:pPr>
                  <a:endParaRPr lang="es-CO"/>
                </a:p>
              </c:txPr>
              <c:showLegendKey val="0"/>
              <c:showVal val="1"/>
              <c:showCatName val="0"/>
              <c:showSerName val="0"/>
              <c:showPercent val="0"/>
              <c:showBubbleSize val="0"/>
            </c:dLbl>
            <c:dLbl>
              <c:idx val="1"/>
              <c:layout>
                <c:manualLayout>
                  <c:x val="7.2072072072072073E-3"/>
                  <c:y val="-4.6296296296296346E-3"/>
                </c:manualLayout>
              </c:layout>
              <c:spPr/>
              <c:txPr>
                <a:bodyPr/>
                <a:lstStyle/>
                <a:p>
                  <a:pPr>
                    <a:defRPr sz="1600" b="1" cap="none" spc="0">
                      <a:ln w="10541" cmpd="sng">
                        <a:solidFill>
                          <a:schemeClr val="accent2"/>
                        </a:solidFill>
                        <a:prstDash val="solid"/>
                      </a:ln>
                      <a:solidFill>
                        <a:schemeClr val="accent2"/>
                      </a:solidFill>
                      <a:effectLst/>
                    </a:defRPr>
                  </a:pPr>
                  <a:endParaRPr lang="es-CO"/>
                </a:p>
              </c:txPr>
              <c:showLegendKey val="0"/>
              <c:showVal val="1"/>
              <c:showCatName val="0"/>
              <c:showSerName val="0"/>
              <c:showPercent val="0"/>
              <c:showBubbleSize val="0"/>
            </c:dLbl>
            <c:dLbl>
              <c:idx val="2"/>
              <c:layout>
                <c:manualLayout>
                  <c:x val="7.2072072072072073E-3"/>
                  <c:y val="-1.3888888888888911E-2"/>
                </c:manualLayout>
              </c:layout>
              <c:spPr/>
              <c:txPr>
                <a:bodyPr/>
                <a:lstStyle/>
                <a:p>
                  <a:pPr>
                    <a:defRPr sz="1600" b="1" cap="none" spc="0">
                      <a:ln w="10541" cmpd="sng">
                        <a:solidFill>
                          <a:schemeClr val="accent3"/>
                        </a:solidFill>
                        <a:prstDash val="solid"/>
                      </a:ln>
                      <a:solidFill>
                        <a:schemeClr val="accent3"/>
                      </a:solidFill>
                      <a:effectLst/>
                    </a:defRPr>
                  </a:pPr>
                  <a:endParaRPr lang="es-CO"/>
                </a:p>
              </c:txPr>
              <c:showLegendKey val="0"/>
              <c:showVal val="1"/>
              <c:showCatName val="0"/>
              <c:showSerName val="0"/>
              <c:showPercent val="0"/>
              <c:showBubbleSize val="0"/>
            </c:dLbl>
            <c:dLbl>
              <c:idx val="3"/>
              <c:layout>
                <c:manualLayout>
                  <c:x val="9.6096096096096196E-3"/>
                  <c:y val="-4.6298690275655844E-3"/>
                </c:manualLayout>
              </c:layout>
              <c:spPr/>
              <c:txPr>
                <a:bodyPr/>
                <a:lstStyle/>
                <a:p>
                  <a:pPr>
                    <a:defRPr sz="1600" b="1" cap="none" spc="0">
                      <a:ln w="10541" cmpd="sng">
                        <a:solidFill>
                          <a:schemeClr val="accent4"/>
                        </a:solidFill>
                        <a:prstDash val="solid"/>
                      </a:ln>
                      <a:solidFill>
                        <a:schemeClr val="accent4"/>
                      </a:solidFill>
                      <a:effectLst/>
                    </a:defRPr>
                  </a:pPr>
                  <a:endParaRPr lang="es-CO"/>
                </a:p>
              </c:txPr>
              <c:showLegendKey val="0"/>
              <c:showVal val="1"/>
              <c:showCatName val="0"/>
              <c:showSerName val="0"/>
              <c:showPercent val="0"/>
              <c:showBubbleSize val="0"/>
            </c:dLbl>
            <c:dLbl>
              <c:idx val="4"/>
              <c:layout>
                <c:manualLayout>
                  <c:x val="9.6096096096096283E-3"/>
                  <c:y val="-9.2592592592592813E-3"/>
                </c:manualLayout>
              </c:layout>
              <c:spPr/>
              <c:txPr>
                <a:bodyPr/>
                <a:lstStyle/>
                <a:p>
                  <a:pPr>
                    <a:defRPr sz="1600" b="1" cap="none" spc="0">
                      <a:ln w="10541" cmpd="sng">
                        <a:solidFill>
                          <a:schemeClr val="accent5"/>
                        </a:solidFill>
                        <a:prstDash val="solid"/>
                      </a:ln>
                      <a:solidFill>
                        <a:schemeClr val="accent5"/>
                      </a:solidFill>
                      <a:effectLst/>
                    </a:defRPr>
                  </a:pPr>
                  <a:endParaRPr lang="es-CO"/>
                </a:p>
              </c:txPr>
              <c:showLegendKey val="0"/>
              <c:showVal val="1"/>
              <c:showCatName val="0"/>
              <c:showSerName val="0"/>
              <c:showPercent val="0"/>
              <c:showBubbleSize val="0"/>
            </c:dLbl>
            <c:dLbl>
              <c:idx val="5"/>
              <c:layout>
                <c:manualLayout>
                  <c:x val="1.2012012012012015E-2"/>
                  <c:y val="0"/>
                </c:manualLayout>
              </c:layout>
              <c:showLegendKey val="0"/>
              <c:showVal val="1"/>
              <c:showCatName val="0"/>
              <c:showSerName val="0"/>
              <c:showPercent val="0"/>
              <c:showBubbleSize val="0"/>
            </c:dLbl>
            <c:txPr>
              <a:bodyPr/>
              <a:lstStyle/>
              <a:p>
                <a:pPr>
                  <a:defRPr sz="1600" b="1" cap="none" spc="0">
                    <a:ln w="10541" cmpd="sng">
                      <a:solidFill>
                        <a:schemeClr val="accent6"/>
                      </a:solidFill>
                      <a:prstDash val="solid"/>
                    </a:ln>
                    <a:solidFill>
                      <a:schemeClr val="accent6"/>
                    </a:solidFill>
                    <a:effectLst/>
                  </a:defRPr>
                </a:pPr>
                <a:endParaRPr lang="es-CO"/>
              </a:p>
            </c:txPr>
            <c:showLegendKey val="0"/>
            <c:showVal val="1"/>
            <c:showCatName val="0"/>
            <c:showSerName val="0"/>
            <c:showPercent val="0"/>
            <c:showBubbleSize val="0"/>
            <c:showLeaderLines val="0"/>
          </c:dLbls>
          <c:cat>
            <c:strRef>
              <c:f>Hoja1!$C$37:$H$37</c:f>
              <c:strCache>
                <c:ptCount val="6"/>
                <c:pt idx="0">
                  <c:v>A1</c:v>
                </c:pt>
                <c:pt idx="1">
                  <c:v>A</c:v>
                </c:pt>
                <c:pt idx="2">
                  <c:v>B</c:v>
                </c:pt>
                <c:pt idx="3">
                  <c:v>C</c:v>
                </c:pt>
                <c:pt idx="4">
                  <c:v>D</c:v>
                </c:pt>
                <c:pt idx="5">
                  <c:v>Sin Categoría</c:v>
                </c:pt>
              </c:strCache>
            </c:strRef>
          </c:cat>
          <c:val>
            <c:numRef>
              <c:f>Hoja1!$C$38:$H$38</c:f>
              <c:numCache>
                <c:formatCode>General</c:formatCode>
                <c:ptCount val="6"/>
                <c:pt idx="0">
                  <c:v>1</c:v>
                </c:pt>
                <c:pt idx="1">
                  <c:v>11</c:v>
                </c:pt>
                <c:pt idx="2">
                  <c:v>10</c:v>
                </c:pt>
                <c:pt idx="3">
                  <c:v>32</c:v>
                </c:pt>
                <c:pt idx="4">
                  <c:v>23</c:v>
                </c:pt>
                <c:pt idx="5">
                  <c:v>24</c:v>
                </c:pt>
              </c:numCache>
            </c:numRef>
          </c:val>
        </c:ser>
        <c:dLbls>
          <c:showLegendKey val="0"/>
          <c:showVal val="0"/>
          <c:showCatName val="0"/>
          <c:showSerName val="0"/>
          <c:showPercent val="0"/>
          <c:showBubbleSize val="0"/>
        </c:dLbls>
        <c:gapWidth val="150"/>
        <c:shape val="cylinder"/>
        <c:axId val="341294592"/>
        <c:axId val="340768960"/>
        <c:axId val="0"/>
      </c:bar3DChart>
      <c:catAx>
        <c:axId val="341294592"/>
        <c:scaling>
          <c:orientation val="minMax"/>
        </c:scaling>
        <c:delete val="0"/>
        <c:axPos val="b"/>
        <c:majorTickMark val="out"/>
        <c:minorTickMark val="none"/>
        <c:tickLblPos val="nextTo"/>
        <c:txPr>
          <a:bodyPr/>
          <a:lstStyle/>
          <a:p>
            <a:pPr>
              <a:defRPr sz="1200" b="1"/>
            </a:pPr>
            <a:endParaRPr lang="es-CO"/>
          </a:p>
        </c:txPr>
        <c:crossAx val="340768960"/>
        <c:crosses val="autoZero"/>
        <c:auto val="1"/>
        <c:lblAlgn val="ctr"/>
        <c:lblOffset val="100"/>
        <c:noMultiLvlLbl val="0"/>
      </c:catAx>
      <c:valAx>
        <c:axId val="340768960"/>
        <c:scaling>
          <c:orientation val="minMax"/>
        </c:scaling>
        <c:delete val="1"/>
        <c:axPos val="l"/>
        <c:numFmt formatCode="General" sourceLinked="1"/>
        <c:majorTickMark val="out"/>
        <c:minorTickMark val="none"/>
        <c:tickLblPos val="none"/>
        <c:crossAx val="341294592"/>
        <c:crosses val="autoZero"/>
        <c:crossBetween val="between"/>
      </c:valAx>
    </c:plotArea>
    <c:plotVisOnly val="1"/>
    <c:dispBlanksAs val="gap"/>
    <c:showDLblsOverMax val="0"/>
  </c:chart>
  <c:spPr>
    <a:ln>
      <a:noFill/>
    </a:ln>
  </c:spPr>
  <c:externalData r:id="rId1">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35"/>
    </mc:Choice>
    <mc:Fallback>
      <c:style val="35"/>
    </mc:Fallback>
  </mc:AlternateContent>
  <c:chart>
    <c:autoTitleDeleted val="1"/>
    <c:view3D>
      <c:rotX val="15"/>
      <c:rotY val="20"/>
      <c:depthPercent val="100"/>
      <c:rAngAx val="1"/>
    </c:view3D>
    <c:floor>
      <c:thickness val="0"/>
    </c:floor>
    <c:side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sideWall>
    <c:back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backWall>
    <c:plotArea>
      <c:layout/>
      <c:bar3DChart>
        <c:barDir val="col"/>
        <c:grouping val="clustered"/>
        <c:varyColors val="1"/>
        <c:ser>
          <c:idx val="0"/>
          <c:order val="0"/>
          <c:tx>
            <c:strRef>
              <c:f>Hoja1!$B$1</c:f>
              <c:strCache>
                <c:ptCount val="1"/>
                <c:pt idx="0">
                  <c:v>Columna2</c:v>
                </c:pt>
              </c:strCache>
            </c:strRef>
          </c:tx>
          <c:invertIfNegative val="0"/>
          <c:dLbls>
            <c:txPr>
              <a:bodyPr/>
              <a:lstStyle/>
              <a:p>
                <a:pPr>
                  <a:defRPr sz="1000" b="1"/>
                </a:pPr>
                <a:endParaRPr lang="es-CO"/>
              </a:p>
            </c:txPr>
            <c:showLegendKey val="0"/>
            <c:showVal val="1"/>
            <c:showCatName val="0"/>
            <c:showSerName val="0"/>
            <c:showPercent val="0"/>
            <c:showBubbleSize val="0"/>
            <c:showLeaderLines val="0"/>
          </c:dLbls>
          <c:cat>
            <c:strRef>
              <c:f>Hoja1!$A$2:$A$5</c:f>
              <c:strCache>
                <c:ptCount val="4"/>
                <c:pt idx="0">
                  <c:v>Meta
2012</c:v>
                </c:pt>
                <c:pt idx="1">
                  <c:v>Avance
2012</c:v>
                </c:pt>
                <c:pt idx="2">
                  <c:v>% de
Cumplimiento</c:v>
                </c:pt>
                <c:pt idx="3">
                  <c:v>Meta
2013</c:v>
                </c:pt>
              </c:strCache>
            </c:strRef>
          </c:cat>
          <c:val>
            <c:numRef>
              <c:f>Hoja1!$B$2:$B$5</c:f>
              <c:numCache>
                <c:formatCode>0.00%</c:formatCode>
                <c:ptCount val="4"/>
                <c:pt idx="0">
                  <c:v>0.85000000000000064</c:v>
                </c:pt>
                <c:pt idx="1">
                  <c:v>0.96330000000000005</c:v>
                </c:pt>
                <c:pt idx="2">
                  <c:v>1.1332941176470555</c:v>
                </c:pt>
                <c:pt idx="3">
                  <c:v>0.75000000000000167</c:v>
                </c:pt>
              </c:numCache>
            </c:numRef>
          </c:val>
        </c:ser>
        <c:dLbls>
          <c:showLegendKey val="0"/>
          <c:showVal val="0"/>
          <c:showCatName val="0"/>
          <c:showSerName val="0"/>
          <c:showPercent val="0"/>
          <c:showBubbleSize val="0"/>
        </c:dLbls>
        <c:gapWidth val="150"/>
        <c:shape val="cylinder"/>
        <c:axId val="341299712"/>
        <c:axId val="342040576"/>
        <c:axId val="0"/>
      </c:bar3DChart>
      <c:catAx>
        <c:axId val="341299712"/>
        <c:scaling>
          <c:orientation val="minMax"/>
        </c:scaling>
        <c:delete val="0"/>
        <c:axPos val="b"/>
        <c:numFmt formatCode="General" sourceLinked="1"/>
        <c:majorTickMark val="none"/>
        <c:minorTickMark val="none"/>
        <c:tickLblPos val="nextTo"/>
        <c:txPr>
          <a:bodyPr/>
          <a:lstStyle/>
          <a:p>
            <a:pPr>
              <a:defRPr lang="es-ES" sz="1000" b="1"/>
            </a:pPr>
            <a:endParaRPr lang="es-CO"/>
          </a:p>
        </c:txPr>
        <c:crossAx val="342040576"/>
        <c:crosses val="autoZero"/>
        <c:auto val="1"/>
        <c:lblAlgn val="ctr"/>
        <c:lblOffset val="100"/>
        <c:noMultiLvlLbl val="0"/>
      </c:catAx>
      <c:valAx>
        <c:axId val="342040576"/>
        <c:scaling>
          <c:orientation val="minMax"/>
        </c:scaling>
        <c:delete val="1"/>
        <c:axPos val="l"/>
        <c:numFmt formatCode="0%" sourceLinked="0"/>
        <c:majorTickMark val="none"/>
        <c:minorTickMark val="none"/>
        <c:tickLblPos val="none"/>
        <c:crossAx val="341299712"/>
        <c:crosses val="autoZero"/>
        <c:crossBetween val="between"/>
      </c:valAx>
      <c:spPr>
        <a:noFill/>
        <a:ln w="19031">
          <a:noFill/>
        </a:ln>
      </c:spPr>
    </c:plotArea>
    <c:plotVisOnly val="1"/>
    <c:dispBlanksAs val="gap"/>
    <c:showDLblsOverMax val="0"/>
  </c:chart>
  <c:spPr>
    <a:ln>
      <a:noFill/>
    </a:ln>
  </c:spPr>
  <c:txPr>
    <a:bodyPr/>
    <a:lstStyle/>
    <a:p>
      <a:pPr>
        <a:defRPr sz="1352"/>
      </a:pPr>
      <a:endParaRPr lang="es-CO"/>
    </a:p>
  </c:txPr>
  <c:externalData r:id="rId1">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pP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c:spPr>
    </c:sideWall>
    <c:backWall>
      <c:thickness val="0"/>
      <c:spP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c:spPr>
    </c:backWall>
    <c:plotArea>
      <c:layout/>
      <c:bar3DChart>
        <c:barDir val="col"/>
        <c:grouping val="clustered"/>
        <c:varyColors val="0"/>
        <c:ser>
          <c:idx val="0"/>
          <c:order val="0"/>
          <c:invertIfNegative val="0"/>
          <c:dLbls>
            <c:txPr>
              <a:bodyPr/>
              <a:lstStyle/>
              <a:p>
                <a:pPr>
                  <a:defRPr b="1"/>
                </a:pPr>
                <a:endParaRPr lang="es-CO"/>
              </a:p>
            </c:txPr>
            <c:showLegendKey val="0"/>
            <c:showVal val="1"/>
            <c:showCatName val="0"/>
            <c:showSerName val="0"/>
            <c:showPercent val="0"/>
            <c:showBubbleSize val="0"/>
            <c:showLeaderLines val="0"/>
          </c:dLbls>
          <c:cat>
            <c:strRef>
              <c:f>Hoja1!$A$3:$A$6</c:f>
              <c:strCache>
                <c:ptCount val="4"/>
                <c:pt idx="0">
                  <c:v>Año 2009</c:v>
                </c:pt>
                <c:pt idx="1">
                  <c:v>Año 2010</c:v>
                </c:pt>
                <c:pt idx="2">
                  <c:v>Año 2011</c:v>
                </c:pt>
                <c:pt idx="3">
                  <c:v>Año 2012</c:v>
                </c:pt>
              </c:strCache>
            </c:strRef>
          </c:cat>
          <c:val>
            <c:numRef>
              <c:f>Hoja1!$B$3:$B$6</c:f>
              <c:numCache>
                <c:formatCode>0.00%</c:formatCode>
                <c:ptCount val="4"/>
                <c:pt idx="0" formatCode="0%">
                  <c:v>0.59</c:v>
                </c:pt>
                <c:pt idx="1">
                  <c:v>0.43670000000000031</c:v>
                </c:pt>
                <c:pt idx="2" formatCode="0%">
                  <c:v>0.94000000000000061</c:v>
                </c:pt>
                <c:pt idx="3">
                  <c:v>0.96330000000000005</c:v>
                </c:pt>
              </c:numCache>
            </c:numRef>
          </c:val>
        </c:ser>
        <c:dLbls>
          <c:showLegendKey val="0"/>
          <c:showVal val="0"/>
          <c:showCatName val="0"/>
          <c:showSerName val="0"/>
          <c:showPercent val="0"/>
          <c:showBubbleSize val="0"/>
        </c:dLbls>
        <c:gapWidth val="150"/>
        <c:shape val="cylinder"/>
        <c:axId val="341299200"/>
        <c:axId val="342042304"/>
        <c:axId val="0"/>
      </c:bar3DChart>
      <c:catAx>
        <c:axId val="341299200"/>
        <c:scaling>
          <c:orientation val="minMax"/>
        </c:scaling>
        <c:delete val="0"/>
        <c:axPos val="b"/>
        <c:majorTickMark val="out"/>
        <c:minorTickMark val="none"/>
        <c:tickLblPos val="nextTo"/>
        <c:txPr>
          <a:bodyPr/>
          <a:lstStyle/>
          <a:p>
            <a:pPr>
              <a:defRPr b="1"/>
            </a:pPr>
            <a:endParaRPr lang="es-CO"/>
          </a:p>
        </c:txPr>
        <c:crossAx val="342042304"/>
        <c:crosses val="autoZero"/>
        <c:auto val="1"/>
        <c:lblAlgn val="ctr"/>
        <c:lblOffset val="100"/>
        <c:noMultiLvlLbl val="0"/>
      </c:catAx>
      <c:valAx>
        <c:axId val="342042304"/>
        <c:scaling>
          <c:orientation val="minMax"/>
        </c:scaling>
        <c:delete val="1"/>
        <c:axPos val="l"/>
        <c:numFmt formatCode="0%" sourceLinked="1"/>
        <c:majorTickMark val="out"/>
        <c:minorTickMark val="none"/>
        <c:tickLblPos val="none"/>
        <c:crossAx val="341299200"/>
        <c:crosses val="autoZero"/>
        <c:crossBetween val="between"/>
      </c:valAx>
      <c:spPr>
        <a:solidFill>
          <a:sysClr val="window" lastClr="FFFFFF"/>
        </a:solidFill>
      </c:spPr>
    </c:plotArea>
    <c:plotVisOnly val="1"/>
    <c:dispBlanksAs val="gap"/>
    <c:showDLblsOverMax val="0"/>
  </c:chart>
  <c:spPr>
    <a:ln>
      <a:noFill/>
    </a:ln>
  </c:spPr>
  <c:externalData r:id="rId1">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floor>
    <c:sideWall>
      <c:thickness val="0"/>
      <c:spPr>
        <a:gradFill>
          <a:gsLst>
            <a:gs pos="0">
              <a:srgbClr val="FFEFD1"/>
            </a:gs>
            <a:gs pos="64999">
              <a:srgbClr val="F0EBD5"/>
            </a:gs>
            <a:gs pos="100000">
              <a:srgbClr val="D1C39F"/>
            </a:gs>
          </a:gsLst>
          <a:lin ang="5400000" scaled="0"/>
        </a:gradFill>
      </c:spPr>
    </c:sideWall>
    <c:backWall>
      <c:thickness val="0"/>
      <c:spPr>
        <a:gradFill>
          <a:gsLst>
            <a:gs pos="0">
              <a:srgbClr val="FFEFD1"/>
            </a:gs>
            <a:gs pos="64999">
              <a:srgbClr val="F0EBD5"/>
            </a:gs>
            <a:gs pos="100000">
              <a:srgbClr val="D1C39F"/>
            </a:gs>
          </a:gsLst>
          <a:lin ang="5400000" scaled="0"/>
        </a:gradFill>
      </c:spPr>
    </c:backWall>
    <c:plotArea>
      <c:layout/>
      <c:bar3DChart>
        <c:barDir val="col"/>
        <c:grouping val="clustered"/>
        <c:varyColors val="0"/>
        <c:ser>
          <c:idx val="0"/>
          <c:order val="0"/>
          <c:tx>
            <c:strRef>
              <c:f>Hoja1!$A$30</c:f>
              <c:strCache>
                <c:ptCount val="1"/>
                <c:pt idx="0">
                  <c:v>Administrativos en Inmersión</c:v>
                </c:pt>
              </c:strCache>
            </c:strRef>
          </c:tx>
          <c:invertIfNegative val="0"/>
          <c:dLbls>
            <c:txPr>
              <a:bodyPr/>
              <a:lstStyle/>
              <a:p>
                <a:pPr>
                  <a:defRPr b="1">
                    <a:solidFill>
                      <a:schemeClr val="accent1">
                        <a:lumMod val="50000"/>
                      </a:schemeClr>
                    </a:solidFill>
                  </a:defRPr>
                </a:pPr>
                <a:endParaRPr lang="es-CO"/>
              </a:p>
            </c:txPr>
            <c:showLegendKey val="0"/>
            <c:showVal val="1"/>
            <c:showCatName val="0"/>
            <c:showSerName val="0"/>
            <c:showPercent val="0"/>
            <c:showBubbleSize val="0"/>
            <c:showLeaderLines val="0"/>
          </c:dLbls>
          <c:cat>
            <c:strRef>
              <c:f>Hoja1!$B$36:$E$36</c:f>
              <c:strCache>
                <c:ptCount val="4"/>
                <c:pt idx="0">
                  <c:v>2009</c:v>
                </c:pt>
                <c:pt idx="1">
                  <c:v>2010</c:v>
                </c:pt>
                <c:pt idx="2">
                  <c:v>2011</c:v>
                </c:pt>
                <c:pt idx="3">
                  <c:v>2012</c:v>
                </c:pt>
              </c:strCache>
            </c:strRef>
          </c:cat>
          <c:val>
            <c:numRef>
              <c:f>Hoja1!$B$30:$E$30</c:f>
              <c:numCache>
                <c:formatCode>General</c:formatCode>
                <c:ptCount val="4"/>
                <c:pt idx="0">
                  <c:v>3</c:v>
                </c:pt>
                <c:pt idx="1">
                  <c:v>10</c:v>
                </c:pt>
                <c:pt idx="2">
                  <c:v>9</c:v>
                </c:pt>
                <c:pt idx="3">
                  <c:v>8</c:v>
                </c:pt>
              </c:numCache>
            </c:numRef>
          </c:val>
        </c:ser>
        <c:ser>
          <c:idx val="1"/>
          <c:order val="1"/>
          <c:tx>
            <c:strRef>
              <c:f>Hoja1!$A$31</c:f>
              <c:strCache>
                <c:ptCount val="1"/>
                <c:pt idx="0">
                  <c:v>Docentes en Inmersión</c:v>
                </c:pt>
              </c:strCache>
            </c:strRef>
          </c:tx>
          <c:invertIfNegative val="0"/>
          <c:dLbls>
            <c:txPr>
              <a:bodyPr/>
              <a:lstStyle/>
              <a:p>
                <a:pPr>
                  <a:defRPr b="1">
                    <a:solidFill>
                      <a:srgbClr val="FF0000"/>
                    </a:solidFill>
                  </a:defRPr>
                </a:pPr>
                <a:endParaRPr lang="es-CO"/>
              </a:p>
            </c:txPr>
            <c:showLegendKey val="0"/>
            <c:showVal val="1"/>
            <c:showCatName val="0"/>
            <c:showSerName val="0"/>
            <c:showPercent val="0"/>
            <c:showBubbleSize val="0"/>
            <c:showLeaderLines val="0"/>
          </c:dLbls>
          <c:cat>
            <c:strRef>
              <c:f>Hoja1!$B$36:$E$36</c:f>
              <c:strCache>
                <c:ptCount val="4"/>
                <c:pt idx="0">
                  <c:v>2009</c:v>
                </c:pt>
                <c:pt idx="1">
                  <c:v>2010</c:v>
                </c:pt>
                <c:pt idx="2">
                  <c:v>2011</c:v>
                </c:pt>
                <c:pt idx="3">
                  <c:v>2012</c:v>
                </c:pt>
              </c:strCache>
            </c:strRef>
          </c:cat>
          <c:val>
            <c:numRef>
              <c:f>Hoja1!$B$31:$E$31</c:f>
              <c:numCache>
                <c:formatCode>General</c:formatCode>
                <c:ptCount val="4"/>
                <c:pt idx="0">
                  <c:v>11</c:v>
                </c:pt>
                <c:pt idx="1">
                  <c:v>12</c:v>
                </c:pt>
                <c:pt idx="2">
                  <c:v>20</c:v>
                </c:pt>
                <c:pt idx="3">
                  <c:v>4</c:v>
                </c:pt>
              </c:numCache>
            </c:numRef>
          </c:val>
        </c:ser>
        <c:dLbls>
          <c:showLegendKey val="0"/>
          <c:showVal val="0"/>
          <c:showCatName val="0"/>
          <c:showSerName val="0"/>
          <c:showPercent val="0"/>
          <c:showBubbleSize val="0"/>
        </c:dLbls>
        <c:gapWidth val="150"/>
        <c:shape val="cylinder"/>
        <c:axId val="342364160"/>
        <c:axId val="342044032"/>
        <c:axId val="0"/>
      </c:bar3DChart>
      <c:catAx>
        <c:axId val="342364160"/>
        <c:scaling>
          <c:orientation val="minMax"/>
        </c:scaling>
        <c:delete val="0"/>
        <c:axPos val="b"/>
        <c:majorTickMark val="none"/>
        <c:minorTickMark val="none"/>
        <c:tickLblPos val="nextTo"/>
        <c:txPr>
          <a:bodyPr/>
          <a:lstStyle/>
          <a:p>
            <a:pPr>
              <a:defRPr b="1"/>
            </a:pPr>
            <a:endParaRPr lang="es-CO"/>
          </a:p>
        </c:txPr>
        <c:crossAx val="342044032"/>
        <c:crosses val="autoZero"/>
        <c:auto val="1"/>
        <c:lblAlgn val="ctr"/>
        <c:lblOffset val="100"/>
        <c:noMultiLvlLbl val="0"/>
      </c:catAx>
      <c:valAx>
        <c:axId val="342044032"/>
        <c:scaling>
          <c:orientation val="minMax"/>
        </c:scaling>
        <c:delete val="0"/>
        <c:axPos val="l"/>
        <c:numFmt formatCode="General" sourceLinked="1"/>
        <c:majorTickMark val="none"/>
        <c:minorTickMark val="none"/>
        <c:tickLblPos val="nextTo"/>
        <c:spPr>
          <a:ln w="9525">
            <a:noFill/>
          </a:ln>
        </c:spPr>
        <c:crossAx val="342364160"/>
        <c:crosses val="autoZero"/>
        <c:crossBetween val="between"/>
      </c:valAx>
    </c:plotArea>
    <c:legend>
      <c:legendPos val="b"/>
      <c:overlay val="0"/>
      <c:txPr>
        <a:bodyPr/>
        <a:lstStyle/>
        <a:p>
          <a:pPr>
            <a:defRPr sz="700" b="1"/>
          </a:pPr>
          <a:endParaRPr lang="es-CO"/>
        </a:p>
      </c:txPr>
    </c:legend>
    <c:plotVisOnly val="1"/>
    <c:dispBlanksAs val="gap"/>
    <c:showDLblsOverMax val="0"/>
  </c:chart>
  <c:spPr>
    <a:ln>
      <a:noFill/>
    </a:ln>
  </c:spPr>
  <c:externalData r:id="rId1">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floor>
    <c:sideWall>
      <c:thickness val="0"/>
      <c:spPr>
        <a:gradFill>
          <a:gsLst>
            <a:gs pos="0">
              <a:srgbClr val="FFEFD1"/>
            </a:gs>
            <a:gs pos="64999">
              <a:srgbClr val="F0EBD5"/>
            </a:gs>
            <a:gs pos="100000">
              <a:srgbClr val="D1C39F"/>
            </a:gs>
          </a:gsLst>
          <a:lin ang="5400000" scaled="0"/>
        </a:gradFill>
      </c:spPr>
    </c:sideWall>
    <c:backWall>
      <c:thickness val="0"/>
      <c:spPr>
        <a:gradFill>
          <a:gsLst>
            <a:gs pos="0">
              <a:srgbClr val="FFEFD1"/>
            </a:gs>
            <a:gs pos="64999">
              <a:srgbClr val="F0EBD5"/>
            </a:gs>
            <a:gs pos="100000">
              <a:srgbClr val="D1C39F"/>
            </a:gs>
          </a:gsLst>
          <a:lin ang="5400000" scaled="0"/>
        </a:gradFill>
      </c:spPr>
    </c:backWall>
    <c:plotArea>
      <c:layout/>
      <c:bar3DChart>
        <c:barDir val="col"/>
        <c:grouping val="clustered"/>
        <c:varyColors val="0"/>
        <c:ser>
          <c:idx val="0"/>
          <c:order val="0"/>
          <c:tx>
            <c:strRef>
              <c:f>Hoja1!$A$38</c:f>
              <c:strCache>
                <c:ptCount val="1"/>
                <c:pt idx="0">
                  <c:v>Estudiantes extranjeros en la UTP</c:v>
                </c:pt>
              </c:strCache>
            </c:strRef>
          </c:tx>
          <c:invertIfNegative val="0"/>
          <c:dLbls>
            <c:dLbl>
              <c:idx val="1"/>
              <c:layout>
                <c:manualLayout>
                  <c:x val="-1.5833333333333873E-3"/>
                  <c:y val="2.1010739652760235E-4"/>
                </c:manualLayout>
              </c:layout>
              <c:showLegendKey val="0"/>
              <c:showVal val="1"/>
              <c:showCatName val="0"/>
              <c:showSerName val="0"/>
              <c:showPercent val="0"/>
              <c:showBubbleSize val="0"/>
            </c:dLbl>
            <c:txPr>
              <a:bodyPr/>
              <a:lstStyle/>
              <a:p>
                <a:pPr>
                  <a:defRPr b="1">
                    <a:solidFill>
                      <a:schemeClr val="accent1">
                        <a:lumMod val="50000"/>
                      </a:schemeClr>
                    </a:solidFill>
                  </a:defRPr>
                </a:pPr>
                <a:endParaRPr lang="es-CO"/>
              </a:p>
            </c:txPr>
            <c:showLegendKey val="0"/>
            <c:showVal val="1"/>
            <c:showCatName val="0"/>
            <c:showSerName val="0"/>
            <c:showPercent val="0"/>
            <c:showBubbleSize val="0"/>
            <c:showLeaderLines val="0"/>
          </c:dLbls>
          <c:cat>
            <c:strRef>
              <c:f>Hoja1!$B$36:$E$36</c:f>
              <c:strCache>
                <c:ptCount val="4"/>
                <c:pt idx="0">
                  <c:v>2009</c:v>
                </c:pt>
                <c:pt idx="1">
                  <c:v>2010</c:v>
                </c:pt>
                <c:pt idx="2">
                  <c:v>2011</c:v>
                </c:pt>
                <c:pt idx="3">
                  <c:v>2012</c:v>
                </c:pt>
              </c:strCache>
            </c:strRef>
          </c:cat>
          <c:val>
            <c:numRef>
              <c:f>Hoja1!$B$38:$E$38</c:f>
              <c:numCache>
                <c:formatCode>General</c:formatCode>
                <c:ptCount val="4"/>
                <c:pt idx="1">
                  <c:v>17</c:v>
                </c:pt>
                <c:pt idx="2">
                  <c:v>26</c:v>
                </c:pt>
                <c:pt idx="3">
                  <c:v>20</c:v>
                </c:pt>
              </c:numCache>
            </c:numRef>
          </c:val>
        </c:ser>
        <c:ser>
          <c:idx val="1"/>
          <c:order val="1"/>
          <c:tx>
            <c:strRef>
              <c:f>Hoja1!$A$37</c:f>
              <c:strCache>
                <c:ptCount val="1"/>
                <c:pt idx="0">
                  <c:v>Estudiantes que salen de la UTP al exterior</c:v>
                </c:pt>
              </c:strCache>
            </c:strRef>
          </c:tx>
          <c:invertIfNegative val="0"/>
          <c:dLbls>
            <c:dLbl>
              <c:idx val="1"/>
              <c:layout>
                <c:manualLayout>
                  <c:x val="6.7497812773403424E-3"/>
                  <c:y val="-1.4099173328492341E-2"/>
                </c:manualLayout>
              </c:layout>
              <c:showLegendKey val="0"/>
              <c:showVal val="1"/>
              <c:showCatName val="0"/>
              <c:showSerName val="0"/>
              <c:showPercent val="0"/>
              <c:showBubbleSize val="0"/>
            </c:dLbl>
            <c:txPr>
              <a:bodyPr/>
              <a:lstStyle/>
              <a:p>
                <a:pPr>
                  <a:defRPr b="1">
                    <a:solidFill>
                      <a:srgbClr val="FF0000"/>
                    </a:solidFill>
                  </a:defRPr>
                </a:pPr>
                <a:endParaRPr lang="es-CO"/>
              </a:p>
            </c:txPr>
            <c:showLegendKey val="0"/>
            <c:showVal val="1"/>
            <c:showCatName val="0"/>
            <c:showSerName val="0"/>
            <c:showPercent val="0"/>
            <c:showBubbleSize val="0"/>
            <c:showLeaderLines val="0"/>
          </c:dLbls>
          <c:cat>
            <c:strRef>
              <c:f>Hoja1!$B$36:$E$36</c:f>
              <c:strCache>
                <c:ptCount val="4"/>
                <c:pt idx="0">
                  <c:v>2009</c:v>
                </c:pt>
                <c:pt idx="1">
                  <c:v>2010</c:v>
                </c:pt>
                <c:pt idx="2">
                  <c:v>2011</c:v>
                </c:pt>
                <c:pt idx="3">
                  <c:v>2012</c:v>
                </c:pt>
              </c:strCache>
            </c:strRef>
          </c:cat>
          <c:val>
            <c:numRef>
              <c:f>Hoja1!$B$37:$E$37</c:f>
              <c:numCache>
                <c:formatCode>General</c:formatCode>
                <c:ptCount val="4"/>
                <c:pt idx="0">
                  <c:v>6</c:v>
                </c:pt>
                <c:pt idx="1">
                  <c:v>20</c:v>
                </c:pt>
                <c:pt idx="2">
                  <c:v>22</c:v>
                </c:pt>
                <c:pt idx="3">
                  <c:v>28</c:v>
                </c:pt>
              </c:numCache>
            </c:numRef>
          </c:val>
        </c:ser>
        <c:dLbls>
          <c:showLegendKey val="0"/>
          <c:showVal val="0"/>
          <c:showCatName val="0"/>
          <c:showSerName val="0"/>
          <c:showPercent val="0"/>
          <c:showBubbleSize val="0"/>
        </c:dLbls>
        <c:gapWidth val="150"/>
        <c:shape val="cylinder"/>
        <c:axId val="342366208"/>
        <c:axId val="342045760"/>
        <c:axId val="0"/>
      </c:bar3DChart>
      <c:catAx>
        <c:axId val="342366208"/>
        <c:scaling>
          <c:orientation val="minMax"/>
        </c:scaling>
        <c:delete val="0"/>
        <c:axPos val="b"/>
        <c:majorTickMark val="none"/>
        <c:minorTickMark val="none"/>
        <c:tickLblPos val="nextTo"/>
        <c:txPr>
          <a:bodyPr/>
          <a:lstStyle/>
          <a:p>
            <a:pPr>
              <a:defRPr b="1"/>
            </a:pPr>
            <a:endParaRPr lang="es-CO"/>
          </a:p>
        </c:txPr>
        <c:crossAx val="342045760"/>
        <c:crosses val="autoZero"/>
        <c:auto val="1"/>
        <c:lblAlgn val="ctr"/>
        <c:lblOffset val="100"/>
        <c:noMultiLvlLbl val="0"/>
      </c:catAx>
      <c:valAx>
        <c:axId val="342045760"/>
        <c:scaling>
          <c:orientation val="minMax"/>
        </c:scaling>
        <c:delete val="0"/>
        <c:axPos val="l"/>
        <c:numFmt formatCode="General" sourceLinked="1"/>
        <c:majorTickMark val="none"/>
        <c:minorTickMark val="none"/>
        <c:tickLblPos val="nextTo"/>
        <c:spPr>
          <a:ln w="9525">
            <a:noFill/>
          </a:ln>
        </c:spPr>
        <c:crossAx val="342366208"/>
        <c:crosses val="autoZero"/>
        <c:crossBetween val="between"/>
      </c:valAx>
    </c:plotArea>
    <c:legend>
      <c:legendPos val="b"/>
      <c:overlay val="0"/>
      <c:txPr>
        <a:bodyPr/>
        <a:lstStyle/>
        <a:p>
          <a:pPr>
            <a:defRPr sz="800"/>
          </a:pPr>
          <a:endParaRPr lang="es-CO"/>
        </a:p>
      </c:txPr>
    </c:legend>
    <c:plotVisOnly val="1"/>
    <c:dispBlanksAs val="gap"/>
    <c:showDLblsOverMax val="0"/>
  </c:chart>
  <c:spPr>
    <a:ln>
      <a:noFill/>
    </a:ln>
  </c:spPr>
  <c:externalData r:id="rId1">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floor>
    <c:sideWall>
      <c:thickness val="0"/>
      <c:spPr>
        <a:gradFill>
          <a:gsLst>
            <a:gs pos="0">
              <a:srgbClr val="FFEFD1"/>
            </a:gs>
            <a:gs pos="64999">
              <a:srgbClr val="F0EBD5"/>
            </a:gs>
            <a:gs pos="100000">
              <a:srgbClr val="D1C39F"/>
            </a:gs>
          </a:gsLst>
          <a:lin ang="5400000" scaled="0"/>
        </a:gradFill>
      </c:spPr>
    </c:sideWall>
    <c:backWall>
      <c:thickness val="0"/>
      <c:spPr>
        <a:gradFill>
          <a:gsLst>
            <a:gs pos="0">
              <a:srgbClr val="FFEFD1"/>
            </a:gs>
            <a:gs pos="64999">
              <a:srgbClr val="F0EBD5"/>
            </a:gs>
            <a:gs pos="100000">
              <a:srgbClr val="D1C39F"/>
            </a:gs>
          </a:gsLst>
          <a:lin ang="5400000" scaled="0"/>
        </a:gradFill>
      </c:spPr>
    </c:backWall>
    <c:plotArea>
      <c:layout/>
      <c:bar3DChart>
        <c:barDir val="col"/>
        <c:grouping val="clustered"/>
        <c:varyColors val="0"/>
        <c:ser>
          <c:idx val="1"/>
          <c:order val="0"/>
          <c:tx>
            <c:strRef>
              <c:f>Hoja1!$A$50</c:f>
              <c:strCache>
                <c:ptCount val="1"/>
                <c:pt idx="0">
                  <c:v>Docentes que salen al exterior</c:v>
                </c:pt>
              </c:strCache>
            </c:strRef>
          </c:tx>
          <c:invertIfNegative val="0"/>
          <c:dLbls>
            <c:txPr>
              <a:bodyPr/>
              <a:lstStyle/>
              <a:p>
                <a:pPr>
                  <a:defRPr sz="1100" b="1">
                    <a:solidFill>
                      <a:srgbClr val="FF0000"/>
                    </a:solidFill>
                  </a:defRPr>
                </a:pPr>
                <a:endParaRPr lang="es-CO"/>
              </a:p>
            </c:txPr>
            <c:showLegendKey val="0"/>
            <c:showVal val="1"/>
            <c:showCatName val="0"/>
            <c:showSerName val="0"/>
            <c:showPercent val="0"/>
            <c:showBubbleSize val="0"/>
            <c:showLeaderLines val="0"/>
          </c:dLbls>
          <c:cat>
            <c:strRef>
              <c:f>Hoja1!$C$36:$E$36</c:f>
              <c:strCache>
                <c:ptCount val="3"/>
                <c:pt idx="0">
                  <c:v>2010</c:v>
                </c:pt>
                <c:pt idx="1">
                  <c:v>2011</c:v>
                </c:pt>
                <c:pt idx="2">
                  <c:v>2012</c:v>
                </c:pt>
              </c:strCache>
            </c:strRef>
          </c:cat>
          <c:val>
            <c:numRef>
              <c:f>Hoja1!$C$50:$E$50</c:f>
              <c:numCache>
                <c:formatCode>General</c:formatCode>
                <c:ptCount val="3"/>
                <c:pt idx="0">
                  <c:v>186</c:v>
                </c:pt>
                <c:pt idx="1">
                  <c:v>193</c:v>
                </c:pt>
                <c:pt idx="2">
                  <c:v>187</c:v>
                </c:pt>
              </c:numCache>
            </c:numRef>
          </c:val>
        </c:ser>
        <c:dLbls>
          <c:showLegendKey val="0"/>
          <c:showVal val="0"/>
          <c:showCatName val="0"/>
          <c:showSerName val="0"/>
          <c:showPercent val="0"/>
          <c:showBubbleSize val="0"/>
        </c:dLbls>
        <c:gapWidth val="150"/>
        <c:shape val="cylinder"/>
        <c:axId val="341300736"/>
        <c:axId val="342047488"/>
        <c:axId val="0"/>
      </c:bar3DChart>
      <c:catAx>
        <c:axId val="341300736"/>
        <c:scaling>
          <c:orientation val="minMax"/>
        </c:scaling>
        <c:delete val="0"/>
        <c:axPos val="b"/>
        <c:majorTickMark val="none"/>
        <c:minorTickMark val="none"/>
        <c:tickLblPos val="nextTo"/>
        <c:txPr>
          <a:bodyPr/>
          <a:lstStyle/>
          <a:p>
            <a:pPr>
              <a:defRPr b="1"/>
            </a:pPr>
            <a:endParaRPr lang="es-CO"/>
          </a:p>
        </c:txPr>
        <c:crossAx val="342047488"/>
        <c:crosses val="autoZero"/>
        <c:auto val="1"/>
        <c:lblAlgn val="ctr"/>
        <c:lblOffset val="100"/>
        <c:noMultiLvlLbl val="0"/>
      </c:catAx>
      <c:valAx>
        <c:axId val="342047488"/>
        <c:scaling>
          <c:orientation val="minMax"/>
        </c:scaling>
        <c:delete val="1"/>
        <c:axPos val="l"/>
        <c:numFmt formatCode="General" sourceLinked="1"/>
        <c:majorTickMark val="none"/>
        <c:minorTickMark val="none"/>
        <c:tickLblPos val="none"/>
        <c:crossAx val="341300736"/>
        <c:crosses val="autoZero"/>
        <c:crossBetween val="between"/>
      </c:valAx>
    </c:plotArea>
    <c:legend>
      <c:legendPos val="b"/>
      <c:overlay val="0"/>
    </c:legend>
    <c:plotVisOnly val="1"/>
    <c:dispBlanksAs val="gap"/>
    <c:showDLblsOverMax val="0"/>
  </c:chart>
  <c:spPr>
    <a:ln>
      <a:noFill/>
    </a:ln>
  </c:spPr>
  <c:externalData r:id="rId1">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floor>
    <c:sideWall>
      <c:thickness val="0"/>
      <c:spPr>
        <a:gradFill>
          <a:gsLst>
            <a:gs pos="0">
              <a:srgbClr val="FFEFD1"/>
            </a:gs>
            <a:gs pos="64999">
              <a:srgbClr val="F0EBD5"/>
            </a:gs>
            <a:gs pos="100000">
              <a:srgbClr val="D1C39F"/>
            </a:gs>
          </a:gsLst>
          <a:lin ang="5400000" scaled="0"/>
        </a:gradFill>
      </c:spPr>
    </c:sideWall>
    <c:backWall>
      <c:thickness val="0"/>
      <c:spPr>
        <a:gradFill>
          <a:gsLst>
            <a:gs pos="0">
              <a:srgbClr val="FFEFD1"/>
            </a:gs>
            <a:gs pos="64999">
              <a:srgbClr val="F0EBD5"/>
            </a:gs>
            <a:gs pos="100000">
              <a:srgbClr val="D1C39F"/>
            </a:gs>
          </a:gsLst>
          <a:lin ang="5400000" scaled="0"/>
        </a:gradFill>
      </c:spPr>
    </c:backWall>
    <c:plotArea>
      <c:layout/>
      <c:bar3DChart>
        <c:barDir val="col"/>
        <c:grouping val="clustered"/>
        <c:varyColors val="0"/>
        <c:ser>
          <c:idx val="1"/>
          <c:order val="0"/>
          <c:tx>
            <c:strRef>
              <c:f>Hoja1!$A$57</c:f>
              <c:strCache>
                <c:ptCount val="1"/>
                <c:pt idx="0">
                  <c:v>Asignaturas orientadas por profesores extranjeros visitantes </c:v>
                </c:pt>
              </c:strCache>
            </c:strRef>
          </c:tx>
          <c:spPr>
            <a:gradFill rotWithShape="1">
              <a:gsLst>
                <a:gs pos="0">
                  <a:schemeClr val="accent1">
                    <a:tint val="50000"/>
                    <a:satMod val="300000"/>
                  </a:schemeClr>
                </a:gs>
                <a:gs pos="35000">
                  <a:schemeClr val="accent1">
                    <a:tint val="37000"/>
                    <a:satMod val="300000"/>
                  </a:schemeClr>
                </a:gs>
                <a:gs pos="100000">
                  <a:schemeClr val="accent1">
                    <a:tint val="15000"/>
                    <a:satMod val="350000"/>
                  </a:schemeClr>
                </a:gs>
              </a:gsLst>
              <a:lin ang="16200000" scaled="1"/>
            </a:gradFill>
            <a:ln w="9525" cap="flat" cmpd="sng" algn="ctr">
              <a:solidFill>
                <a:schemeClr val="accent1">
                  <a:shade val="95000"/>
                  <a:satMod val="105000"/>
                </a:schemeClr>
              </a:solidFill>
              <a:prstDash val="solid"/>
            </a:ln>
            <a:effectLst>
              <a:outerShdw blurRad="40000" dist="20000" dir="5400000" rotWithShape="0">
                <a:srgbClr val="000000">
                  <a:alpha val="38000"/>
                </a:srgbClr>
              </a:outerShdw>
            </a:effectLst>
          </c:spPr>
          <c:invertIfNegative val="0"/>
          <c:dLbls>
            <c:txPr>
              <a:bodyPr/>
              <a:lstStyle/>
              <a:p>
                <a:pPr>
                  <a:defRPr sz="1600" b="1">
                    <a:solidFill>
                      <a:schemeClr val="tx2"/>
                    </a:solidFill>
                  </a:defRPr>
                </a:pPr>
                <a:endParaRPr lang="es-CO"/>
              </a:p>
            </c:txPr>
            <c:showLegendKey val="0"/>
            <c:showVal val="1"/>
            <c:showCatName val="0"/>
            <c:showSerName val="0"/>
            <c:showPercent val="0"/>
            <c:showBubbleSize val="0"/>
            <c:showLeaderLines val="0"/>
          </c:dLbls>
          <c:cat>
            <c:strRef>
              <c:f>Hoja1!$C$36:$E$36</c:f>
              <c:strCache>
                <c:ptCount val="3"/>
                <c:pt idx="0">
                  <c:v>2010</c:v>
                </c:pt>
                <c:pt idx="1">
                  <c:v>2011</c:v>
                </c:pt>
                <c:pt idx="2">
                  <c:v>2012</c:v>
                </c:pt>
              </c:strCache>
            </c:strRef>
          </c:cat>
          <c:val>
            <c:numRef>
              <c:f>Hoja1!$C$57:$E$57</c:f>
              <c:numCache>
                <c:formatCode>General</c:formatCode>
                <c:ptCount val="3"/>
                <c:pt idx="0">
                  <c:v>3</c:v>
                </c:pt>
                <c:pt idx="1">
                  <c:v>3</c:v>
                </c:pt>
                <c:pt idx="2">
                  <c:v>7</c:v>
                </c:pt>
              </c:numCache>
            </c:numRef>
          </c:val>
        </c:ser>
        <c:dLbls>
          <c:showLegendKey val="0"/>
          <c:showVal val="0"/>
          <c:showCatName val="0"/>
          <c:showSerName val="0"/>
          <c:showPercent val="0"/>
          <c:showBubbleSize val="0"/>
        </c:dLbls>
        <c:gapWidth val="150"/>
        <c:shape val="cylinder"/>
        <c:axId val="341301760"/>
        <c:axId val="343589440"/>
        <c:axId val="0"/>
      </c:bar3DChart>
      <c:catAx>
        <c:axId val="341301760"/>
        <c:scaling>
          <c:orientation val="minMax"/>
        </c:scaling>
        <c:delete val="0"/>
        <c:axPos val="b"/>
        <c:majorTickMark val="none"/>
        <c:minorTickMark val="none"/>
        <c:tickLblPos val="nextTo"/>
        <c:crossAx val="343589440"/>
        <c:crosses val="autoZero"/>
        <c:auto val="1"/>
        <c:lblAlgn val="ctr"/>
        <c:lblOffset val="100"/>
        <c:noMultiLvlLbl val="0"/>
      </c:catAx>
      <c:valAx>
        <c:axId val="343589440"/>
        <c:scaling>
          <c:orientation val="minMax"/>
        </c:scaling>
        <c:delete val="1"/>
        <c:axPos val="l"/>
        <c:numFmt formatCode="General" sourceLinked="1"/>
        <c:majorTickMark val="none"/>
        <c:minorTickMark val="none"/>
        <c:tickLblPos val="none"/>
        <c:crossAx val="341301760"/>
        <c:crosses val="autoZero"/>
        <c:crossBetween val="between"/>
      </c:valAx>
    </c:plotArea>
    <c:legend>
      <c:legendPos val="b"/>
      <c:overlay val="0"/>
    </c:legend>
    <c:plotVisOnly val="1"/>
    <c:dispBlanksAs val="gap"/>
    <c:showDLblsOverMax val="0"/>
  </c:chart>
  <c:spPr>
    <a:ln>
      <a:noFill/>
    </a:ln>
  </c:spPr>
  <c:externalData r:id="rId1">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rAngAx val="1"/>
    </c:view3D>
    <c:floor>
      <c:thickness val="0"/>
    </c:floor>
    <c:sideWall>
      <c:thickness val="0"/>
      <c:spP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c:spPr>
    </c:sideWall>
    <c:backWall>
      <c:thickness val="0"/>
      <c:spP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c:spPr>
    </c:backWall>
    <c:plotArea>
      <c:layout/>
      <c:bar3DChart>
        <c:barDir val="col"/>
        <c:grouping val="clustered"/>
        <c:varyColors val="0"/>
        <c:ser>
          <c:idx val="0"/>
          <c:order val="0"/>
          <c:tx>
            <c:strRef>
              <c:f>Hoja1!$B$1</c:f>
              <c:strCache>
                <c:ptCount val="1"/>
                <c:pt idx="0">
                  <c:v>Eventos</c:v>
                </c:pt>
              </c:strCache>
            </c:strRef>
          </c:tx>
          <c:invertIfNegative val="0"/>
          <c:dLbls>
            <c:txPr>
              <a:bodyPr/>
              <a:lstStyle/>
              <a:p>
                <a:pPr>
                  <a:defRPr sz="1400" b="1"/>
                </a:pPr>
                <a:endParaRPr lang="es-CO"/>
              </a:p>
            </c:txPr>
            <c:showLegendKey val="0"/>
            <c:showVal val="1"/>
            <c:showCatName val="0"/>
            <c:showSerName val="0"/>
            <c:showPercent val="0"/>
            <c:showBubbleSize val="0"/>
            <c:showLeaderLines val="0"/>
          </c:dLbls>
          <c:cat>
            <c:numRef>
              <c:f>Hoja1!$A$2:$A$3</c:f>
              <c:numCache>
                <c:formatCode>General</c:formatCode>
                <c:ptCount val="2"/>
                <c:pt idx="0">
                  <c:v>2011</c:v>
                </c:pt>
                <c:pt idx="1">
                  <c:v>2012</c:v>
                </c:pt>
              </c:numCache>
            </c:numRef>
          </c:cat>
          <c:val>
            <c:numRef>
              <c:f>Hoja1!$B$2:$B$3</c:f>
              <c:numCache>
                <c:formatCode>General</c:formatCode>
                <c:ptCount val="2"/>
                <c:pt idx="0">
                  <c:v>4</c:v>
                </c:pt>
                <c:pt idx="1">
                  <c:v>5</c:v>
                </c:pt>
              </c:numCache>
            </c:numRef>
          </c:val>
        </c:ser>
        <c:dLbls>
          <c:showLegendKey val="0"/>
          <c:showVal val="0"/>
          <c:showCatName val="0"/>
          <c:showSerName val="0"/>
          <c:showPercent val="0"/>
          <c:showBubbleSize val="0"/>
        </c:dLbls>
        <c:gapWidth val="150"/>
        <c:shape val="cylinder"/>
        <c:axId val="342366720"/>
        <c:axId val="343591168"/>
        <c:axId val="0"/>
      </c:bar3DChart>
      <c:catAx>
        <c:axId val="342366720"/>
        <c:scaling>
          <c:orientation val="minMax"/>
        </c:scaling>
        <c:delete val="0"/>
        <c:axPos val="b"/>
        <c:numFmt formatCode="General" sourceLinked="1"/>
        <c:majorTickMark val="out"/>
        <c:minorTickMark val="none"/>
        <c:tickLblPos val="nextTo"/>
        <c:txPr>
          <a:bodyPr/>
          <a:lstStyle/>
          <a:p>
            <a:pPr>
              <a:defRPr b="1"/>
            </a:pPr>
            <a:endParaRPr lang="es-CO"/>
          </a:p>
        </c:txPr>
        <c:crossAx val="343591168"/>
        <c:crosses val="autoZero"/>
        <c:auto val="1"/>
        <c:lblAlgn val="ctr"/>
        <c:lblOffset val="100"/>
        <c:noMultiLvlLbl val="0"/>
      </c:catAx>
      <c:valAx>
        <c:axId val="343591168"/>
        <c:scaling>
          <c:orientation val="minMax"/>
        </c:scaling>
        <c:delete val="1"/>
        <c:axPos val="l"/>
        <c:numFmt formatCode="General" sourceLinked="1"/>
        <c:majorTickMark val="out"/>
        <c:minorTickMark val="none"/>
        <c:tickLblPos val="none"/>
        <c:crossAx val="342366720"/>
        <c:crosses val="autoZero"/>
        <c:crossBetween val="between"/>
      </c:valAx>
    </c:plotArea>
    <c:plotVisOnly val="1"/>
    <c:dispBlanksAs val="gap"/>
    <c:showDLblsOverMax val="0"/>
  </c:chart>
  <c:spPr>
    <a:ln>
      <a:noFill/>
    </a:ln>
  </c:spPr>
  <c:externalData r:id="rId1">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rAngAx val="1"/>
    </c:view3D>
    <c:floor>
      <c:thickness val="0"/>
    </c:floor>
    <c:sideWall>
      <c:thickness val="0"/>
      <c:spP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c:spPr>
    </c:sideWall>
    <c:backWall>
      <c:thickness val="0"/>
      <c:spP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c:spPr>
    </c:backWall>
    <c:plotArea>
      <c:layout/>
      <c:bar3DChart>
        <c:barDir val="col"/>
        <c:grouping val="clustered"/>
        <c:varyColors val="0"/>
        <c:ser>
          <c:idx val="0"/>
          <c:order val="0"/>
          <c:tx>
            <c:strRef>
              <c:f>Hoja1!$B$1</c:f>
              <c:strCache>
                <c:ptCount val="1"/>
                <c:pt idx="0">
                  <c:v>Ponencias</c:v>
                </c:pt>
              </c:strCache>
            </c:strRef>
          </c:tx>
          <c:invertIfNegative val="0"/>
          <c:dLbls>
            <c:txPr>
              <a:bodyPr/>
              <a:lstStyle/>
              <a:p>
                <a:pPr>
                  <a:defRPr sz="1400" b="1"/>
                </a:pPr>
                <a:endParaRPr lang="es-CO"/>
              </a:p>
            </c:txPr>
            <c:showLegendKey val="0"/>
            <c:showVal val="1"/>
            <c:showCatName val="0"/>
            <c:showSerName val="0"/>
            <c:showPercent val="0"/>
            <c:showBubbleSize val="0"/>
            <c:showLeaderLines val="0"/>
          </c:dLbls>
          <c:cat>
            <c:numRef>
              <c:f>Hoja1!$A$2:$A$5</c:f>
              <c:numCache>
                <c:formatCode>General</c:formatCode>
                <c:ptCount val="4"/>
                <c:pt idx="0">
                  <c:v>2009</c:v>
                </c:pt>
                <c:pt idx="1">
                  <c:v>2010</c:v>
                </c:pt>
                <c:pt idx="2">
                  <c:v>2011</c:v>
                </c:pt>
                <c:pt idx="3">
                  <c:v>2012</c:v>
                </c:pt>
              </c:numCache>
            </c:numRef>
          </c:cat>
          <c:val>
            <c:numRef>
              <c:f>Hoja1!$B$2:$B$5</c:f>
              <c:numCache>
                <c:formatCode>General</c:formatCode>
                <c:ptCount val="4"/>
                <c:pt idx="0">
                  <c:v>28</c:v>
                </c:pt>
                <c:pt idx="1">
                  <c:v>50</c:v>
                </c:pt>
                <c:pt idx="2">
                  <c:v>51</c:v>
                </c:pt>
                <c:pt idx="3">
                  <c:v>52</c:v>
                </c:pt>
              </c:numCache>
            </c:numRef>
          </c:val>
        </c:ser>
        <c:dLbls>
          <c:showLegendKey val="0"/>
          <c:showVal val="0"/>
          <c:showCatName val="0"/>
          <c:showSerName val="0"/>
          <c:showPercent val="0"/>
          <c:showBubbleSize val="0"/>
        </c:dLbls>
        <c:gapWidth val="150"/>
        <c:shape val="cylinder"/>
        <c:axId val="342367232"/>
        <c:axId val="343592896"/>
        <c:axId val="0"/>
      </c:bar3DChart>
      <c:catAx>
        <c:axId val="342367232"/>
        <c:scaling>
          <c:orientation val="minMax"/>
        </c:scaling>
        <c:delete val="0"/>
        <c:axPos val="b"/>
        <c:numFmt formatCode="General" sourceLinked="1"/>
        <c:majorTickMark val="out"/>
        <c:minorTickMark val="none"/>
        <c:tickLblPos val="nextTo"/>
        <c:txPr>
          <a:bodyPr/>
          <a:lstStyle/>
          <a:p>
            <a:pPr>
              <a:defRPr b="1"/>
            </a:pPr>
            <a:endParaRPr lang="es-CO"/>
          </a:p>
        </c:txPr>
        <c:crossAx val="343592896"/>
        <c:crosses val="autoZero"/>
        <c:auto val="1"/>
        <c:lblAlgn val="ctr"/>
        <c:lblOffset val="100"/>
        <c:noMultiLvlLbl val="0"/>
      </c:catAx>
      <c:valAx>
        <c:axId val="343592896"/>
        <c:scaling>
          <c:orientation val="minMax"/>
        </c:scaling>
        <c:delete val="1"/>
        <c:axPos val="l"/>
        <c:numFmt formatCode="General" sourceLinked="1"/>
        <c:majorTickMark val="out"/>
        <c:minorTickMark val="none"/>
        <c:tickLblPos val="none"/>
        <c:crossAx val="342367232"/>
        <c:crosses val="autoZero"/>
        <c:crossBetween val="between"/>
      </c:valAx>
    </c:plotArea>
    <c:plotVisOnly val="1"/>
    <c:dispBlanksAs val="gap"/>
    <c:showDLblsOverMax val="0"/>
  </c:chart>
  <c:spPr>
    <a:ln>
      <a:noFill/>
    </a:ln>
  </c:spPr>
  <c:externalData r:id="rId1">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35"/>
    </mc:Choice>
    <mc:Fallback>
      <c:style val="35"/>
    </mc:Fallback>
  </mc:AlternateContent>
  <c:chart>
    <c:autoTitleDeleted val="1"/>
    <c:view3D>
      <c:rotX val="15"/>
      <c:rotY val="20"/>
      <c:depthPercent val="100"/>
      <c:rAngAx val="1"/>
    </c:view3D>
    <c:floor>
      <c:thickness val="0"/>
    </c:floor>
    <c:side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sideWall>
    <c:back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backWall>
    <c:plotArea>
      <c:layout/>
      <c:bar3DChart>
        <c:barDir val="col"/>
        <c:grouping val="clustered"/>
        <c:varyColors val="1"/>
        <c:ser>
          <c:idx val="0"/>
          <c:order val="0"/>
          <c:tx>
            <c:strRef>
              <c:f>Hoja1!$B$1</c:f>
              <c:strCache>
                <c:ptCount val="1"/>
                <c:pt idx="0">
                  <c:v>Columna2</c:v>
                </c:pt>
              </c:strCache>
            </c:strRef>
          </c:tx>
          <c:invertIfNegative val="0"/>
          <c:dLbls>
            <c:dLbl>
              <c:idx val="2"/>
              <c:layout>
                <c:manualLayout>
                  <c:x val="2.1290751829673996E-2"/>
                  <c:y val="-4.3715846994535519E-2"/>
                </c:manualLayout>
              </c:layout>
              <c:tx>
                <c:rich>
                  <a:bodyPr/>
                  <a:lstStyle/>
                  <a:p>
                    <a:r>
                      <a:rPr lang="en-US"/>
                      <a:t>95,00%</a:t>
                    </a:r>
                  </a:p>
                </c:rich>
              </c:tx>
              <c:showLegendKey val="0"/>
              <c:showVal val="1"/>
              <c:showCatName val="0"/>
              <c:showSerName val="0"/>
              <c:showPercent val="0"/>
              <c:showBubbleSize val="0"/>
            </c:dLbl>
            <c:txPr>
              <a:bodyPr/>
              <a:lstStyle/>
              <a:p>
                <a:pPr>
                  <a:defRPr sz="1050" b="1"/>
                </a:pPr>
                <a:endParaRPr lang="es-CO"/>
              </a:p>
            </c:txPr>
            <c:showLegendKey val="0"/>
            <c:showVal val="1"/>
            <c:showCatName val="0"/>
            <c:showSerName val="0"/>
            <c:showPercent val="0"/>
            <c:showBubbleSize val="0"/>
            <c:showLeaderLines val="0"/>
          </c:dLbls>
          <c:cat>
            <c:strRef>
              <c:f>Hoja1!$A$2:$A$5</c:f>
              <c:strCache>
                <c:ptCount val="4"/>
                <c:pt idx="0">
                  <c:v>Meta
2012</c:v>
                </c:pt>
                <c:pt idx="1">
                  <c:v>Avance
2012</c:v>
                </c:pt>
                <c:pt idx="2">
                  <c:v>% de
Cumplimiento</c:v>
                </c:pt>
                <c:pt idx="3">
                  <c:v>Meta
2013</c:v>
                </c:pt>
              </c:strCache>
            </c:strRef>
          </c:cat>
          <c:val>
            <c:numRef>
              <c:f>Hoja1!$B$2:$B$5</c:f>
              <c:numCache>
                <c:formatCode>0.00%</c:formatCode>
                <c:ptCount val="4"/>
                <c:pt idx="0">
                  <c:v>1</c:v>
                </c:pt>
                <c:pt idx="1">
                  <c:v>0.95000000000000018</c:v>
                </c:pt>
                <c:pt idx="2">
                  <c:v>0.95000000000000018</c:v>
                </c:pt>
                <c:pt idx="3">
                  <c:v>1</c:v>
                </c:pt>
              </c:numCache>
            </c:numRef>
          </c:val>
        </c:ser>
        <c:dLbls>
          <c:showLegendKey val="0"/>
          <c:showVal val="0"/>
          <c:showCatName val="0"/>
          <c:showSerName val="0"/>
          <c:showPercent val="0"/>
          <c:showBubbleSize val="0"/>
        </c:dLbls>
        <c:gapWidth val="150"/>
        <c:shape val="cylinder"/>
        <c:axId val="341302784"/>
        <c:axId val="343594624"/>
        <c:axId val="0"/>
      </c:bar3DChart>
      <c:catAx>
        <c:axId val="341302784"/>
        <c:scaling>
          <c:orientation val="minMax"/>
        </c:scaling>
        <c:delete val="0"/>
        <c:axPos val="b"/>
        <c:numFmt formatCode="General" sourceLinked="1"/>
        <c:majorTickMark val="none"/>
        <c:minorTickMark val="none"/>
        <c:tickLblPos val="nextTo"/>
        <c:txPr>
          <a:bodyPr/>
          <a:lstStyle/>
          <a:p>
            <a:pPr>
              <a:defRPr lang="es-ES" sz="1000" b="1"/>
            </a:pPr>
            <a:endParaRPr lang="es-CO"/>
          </a:p>
        </c:txPr>
        <c:crossAx val="343594624"/>
        <c:crosses val="autoZero"/>
        <c:auto val="1"/>
        <c:lblAlgn val="ctr"/>
        <c:lblOffset val="100"/>
        <c:noMultiLvlLbl val="0"/>
      </c:catAx>
      <c:valAx>
        <c:axId val="343594624"/>
        <c:scaling>
          <c:orientation val="minMax"/>
        </c:scaling>
        <c:delete val="1"/>
        <c:axPos val="l"/>
        <c:numFmt formatCode="0%" sourceLinked="0"/>
        <c:majorTickMark val="none"/>
        <c:minorTickMark val="none"/>
        <c:tickLblPos val="none"/>
        <c:crossAx val="341302784"/>
        <c:crosses val="autoZero"/>
        <c:crossBetween val="between"/>
      </c:valAx>
      <c:spPr>
        <a:noFill/>
        <a:ln w="19031">
          <a:noFill/>
        </a:ln>
      </c:spPr>
    </c:plotArea>
    <c:plotVisOnly val="1"/>
    <c:dispBlanksAs val="gap"/>
    <c:showDLblsOverMax val="0"/>
  </c:chart>
  <c:spPr>
    <a:ln>
      <a:noFill/>
    </a:ln>
  </c:spPr>
  <c:txPr>
    <a:bodyPr/>
    <a:lstStyle/>
    <a:p>
      <a:pPr>
        <a:defRPr sz="1352"/>
      </a:pPr>
      <a:endParaRPr lang="es-CO"/>
    </a:p>
  </c:txPr>
  <c:externalData r:id="rId1">
    <c:autoUpdate val="0"/>
  </c:externalData>
</c:chartSpace>
</file>

<file path=word/charts/chart46.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35"/>
    </mc:Choice>
    <mc:Fallback>
      <c:style val="35"/>
    </mc:Fallback>
  </mc:AlternateContent>
  <c:chart>
    <c:autoTitleDeleted val="1"/>
    <c:view3D>
      <c:rotX val="15"/>
      <c:rotY val="20"/>
      <c:depthPercent val="100"/>
      <c:rAngAx val="1"/>
    </c:view3D>
    <c:floor>
      <c:thickness val="0"/>
    </c:floor>
    <c:side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sideWall>
    <c:back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backWall>
    <c:plotArea>
      <c:layout/>
      <c:bar3DChart>
        <c:barDir val="col"/>
        <c:grouping val="clustered"/>
        <c:varyColors val="1"/>
        <c:ser>
          <c:idx val="0"/>
          <c:order val="0"/>
          <c:tx>
            <c:strRef>
              <c:f>Hoja1!$B$1</c:f>
              <c:strCache>
                <c:ptCount val="1"/>
                <c:pt idx="0">
                  <c:v>Columna2</c:v>
                </c:pt>
              </c:strCache>
            </c:strRef>
          </c:tx>
          <c:invertIfNegative val="0"/>
          <c:dLbls>
            <c:dLbl>
              <c:idx val="0"/>
              <c:layout>
                <c:manualLayout>
                  <c:x val="1.0645375914836998E-2"/>
                  <c:y val="-2.1857923497267701E-2"/>
                </c:manualLayout>
              </c:layout>
              <c:tx>
                <c:rich>
                  <a:bodyPr/>
                  <a:lstStyle/>
                  <a:p>
                    <a:r>
                      <a:rPr lang="en-US"/>
                      <a:t>8</a:t>
                    </a:r>
                    <a:r>
                      <a:rPr lang="en-US" baseline="0"/>
                      <a:t> aliados</a:t>
                    </a:r>
                    <a:endParaRPr lang="en-US"/>
                  </a:p>
                </c:rich>
              </c:tx>
              <c:showLegendKey val="0"/>
              <c:showVal val="1"/>
              <c:showCatName val="0"/>
              <c:showSerName val="0"/>
              <c:showPercent val="0"/>
              <c:showBubbleSize val="0"/>
            </c:dLbl>
            <c:dLbl>
              <c:idx val="1"/>
              <c:layout>
                <c:manualLayout>
                  <c:x val="1.3306510338902258E-2"/>
                  <c:y val="-3.6429872495446283E-2"/>
                </c:manualLayout>
              </c:layout>
              <c:tx>
                <c:rich>
                  <a:bodyPr/>
                  <a:lstStyle/>
                  <a:p>
                    <a:r>
                      <a:rPr lang="en-US"/>
                      <a:t>7 aliados</a:t>
                    </a:r>
                  </a:p>
                </c:rich>
              </c:tx>
              <c:showLegendKey val="0"/>
              <c:showVal val="1"/>
              <c:showCatName val="0"/>
              <c:showSerName val="0"/>
              <c:showPercent val="0"/>
              <c:showBubbleSize val="0"/>
            </c:dLbl>
            <c:dLbl>
              <c:idx val="2"/>
              <c:layout>
                <c:manualLayout>
                  <c:x val="2.1290751829673996E-2"/>
                  <c:y val="-4.3715846994535519E-2"/>
                </c:manualLayout>
              </c:layout>
              <c:tx>
                <c:rich>
                  <a:bodyPr/>
                  <a:lstStyle/>
                  <a:p>
                    <a:r>
                      <a:rPr lang="en-US"/>
                      <a:t>87.5%</a:t>
                    </a:r>
                  </a:p>
                </c:rich>
              </c:tx>
              <c:showLegendKey val="0"/>
              <c:showVal val="1"/>
              <c:showCatName val="0"/>
              <c:showSerName val="0"/>
              <c:showPercent val="0"/>
              <c:showBubbleSize val="0"/>
            </c:dLbl>
            <c:dLbl>
              <c:idx val="3"/>
              <c:layout>
                <c:manualLayout>
                  <c:x val="1.5968063872255391E-2"/>
                  <c:y val="-2.9143897996357082E-2"/>
                </c:manualLayout>
              </c:layout>
              <c:tx>
                <c:rich>
                  <a:bodyPr/>
                  <a:lstStyle/>
                  <a:p>
                    <a:r>
                      <a:rPr lang="en-US"/>
                      <a:t>9</a:t>
                    </a:r>
                    <a:r>
                      <a:rPr lang="en-US" baseline="0"/>
                      <a:t> aliados</a:t>
                    </a:r>
                    <a:endParaRPr lang="en-US"/>
                  </a:p>
                </c:rich>
              </c:tx>
              <c:showLegendKey val="0"/>
              <c:showVal val="1"/>
              <c:showCatName val="0"/>
              <c:showSerName val="0"/>
              <c:showPercent val="0"/>
              <c:showBubbleSize val="0"/>
            </c:dLbl>
            <c:txPr>
              <a:bodyPr/>
              <a:lstStyle/>
              <a:p>
                <a:pPr>
                  <a:defRPr sz="1050" b="1"/>
                </a:pPr>
                <a:endParaRPr lang="es-CO"/>
              </a:p>
            </c:txPr>
            <c:showLegendKey val="0"/>
            <c:showVal val="1"/>
            <c:showCatName val="0"/>
            <c:showSerName val="0"/>
            <c:showPercent val="0"/>
            <c:showBubbleSize val="0"/>
            <c:showLeaderLines val="0"/>
          </c:dLbls>
          <c:cat>
            <c:strRef>
              <c:f>Hoja1!$A$2:$A$5</c:f>
              <c:strCache>
                <c:ptCount val="4"/>
                <c:pt idx="0">
                  <c:v>Meta
2012</c:v>
                </c:pt>
                <c:pt idx="1">
                  <c:v>Avance
2012</c:v>
                </c:pt>
                <c:pt idx="2">
                  <c:v>% de
Cumplimiento</c:v>
                </c:pt>
                <c:pt idx="3">
                  <c:v>Meta
2013</c:v>
                </c:pt>
              </c:strCache>
            </c:strRef>
          </c:cat>
          <c:val>
            <c:numRef>
              <c:f>Hoja1!$B$2:$B$5</c:f>
              <c:numCache>
                <c:formatCode>0.00%</c:formatCode>
                <c:ptCount val="4"/>
                <c:pt idx="0">
                  <c:v>8.0000000000000029E-2</c:v>
                </c:pt>
                <c:pt idx="1">
                  <c:v>7.0000000000000021E-2</c:v>
                </c:pt>
                <c:pt idx="2">
                  <c:v>0.87500000000000022</c:v>
                </c:pt>
                <c:pt idx="3">
                  <c:v>9.0000000000000024E-2</c:v>
                </c:pt>
              </c:numCache>
            </c:numRef>
          </c:val>
        </c:ser>
        <c:dLbls>
          <c:showLegendKey val="0"/>
          <c:showVal val="0"/>
          <c:showCatName val="0"/>
          <c:showSerName val="0"/>
          <c:showPercent val="0"/>
          <c:showBubbleSize val="0"/>
        </c:dLbls>
        <c:gapWidth val="150"/>
        <c:shape val="cylinder"/>
        <c:axId val="342663168"/>
        <c:axId val="343596352"/>
        <c:axId val="0"/>
      </c:bar3DChart>
      <c:catAx>
        <c:axId val="342663168"/>
        <c:scaling>
          <c:orientation val="minMax"/>
        </c:scaling>
        <c:delete val="0"/>
        <c:axPos val="b"/>
        <c:numFmt formatCode="General" sourceLinked="1"/>
        <c:majorTickMark val="none"/>
        <c:minorTickMark val="none"/>
        <c:tickLblPos val="nextTo"/>
        <c:txPr>
          <a:bodyPr/>
          <a:lstStyle/>
          <a:p>
            <a:pPr>
              <a:defRPr lang="es-ES" sz="1000" b="1"/>
            </a:pPr>
            <a:endParaRPr lang="es-CO"/>
          </a:p>
        </c:txPr>
        <c:crossAx val="343596352"/>
        <c:crosses val="autoZero"/>
        <c:auto val="1"/>
        <c:lblAlgn val="ctr"/>
        <c:lblOffset val="100"/>
        <c:noMultiLvlLbl val="0"/>
      </c:catAx>
      <c:valAx>
        <c:axId val="343596352"/>
        <c:scaling>
          <c:orientation val="minMax"/>
        </c:scaling>
        <c:delete val="1"/>
        <c:axPos val="l"/>
        <c:numFmt formatCode="0%" sourceLinked="0"/>
        <c:majorTickMark val="none"/>
        <c:minorTickMark val="none"/>
        <c:tickLblPos val="none"/>
        <c:crossAx val="342663168"/>
        <c:crosses val="autoZero"/>
        <c:crossBetween val="between"/>
      </c:valAx>
      <c:spPr>
        <a:noFill/>
        <a:ln w="19031">
          <a:noFill/>
        </a:ln>
      </c:spPr>
    </c:plotArea>
    <c:plotVisOnly val="1"/>
    <c:dispBlanksAs val="gap"/>
    <c:showDLblsOverMax val="0"/>
  </c:chart>
  <c:spPr>
    <a:ln>
      <a:noFill/>
    </a:ln>
  </c:spPr>
  <c:txPr>
    <a:bodyPr/>
    <a:lstStyle/>
    <a:p>
      <a:pPr>
        <a:defRPr sz="1352"/>
      </a:pPr>
      <a:endParaRPr lang="es-CO"/>
    </a:p>
  </c:txPr>
  <c:externalData r:id="rId1">
    <c:autoUpdate val="0"/>
  </c:externalData>
</c:chartSpace>
</file>

<file path=word/charts/chart47.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35"/>
    </mc:Choice>
    <mc:Fallback>
      <c:style val="35"/>
    </mc:Fallback>
  </mc:AlternateContent>
  <c:chart>
    <c:autoTitleDeleted val="1"/>
    <c:view3D>
      <c:rotX val="15"/>
      <c:rotY val="20"/>
      <c:depthPercent val="100"/>
      <c:rAngAx val="1"/>
    </c:view3D>
    <c:floor>
      <c:thickness val="0"/>
    </c:floor>
    <c:side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sideWall>
    <c:back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backWall>
    <c:plotArea>
      <c:layout/>
      <c:bar3DChart>
        <c:barDir val="col"/>
        <c:grouping val="clustered"/>
        <c:varyColors val="1"/>
        <c:ser>
          <c:idx val="0"/>
          <c:order val="0"/>
          <c:tx>
            <c:strRef>
              <c:f>Hoja1!$B$1</c:f>
              <c:strCache>
                <c:ptCount val="1"/>
                <c:pt idx="0">
                  <c:v>Columna2</c:v>
                </c:pt>
              </c:strCache>
            </c:strRef>
          </c:tx>
          <c:invertIfNegative val="0"/>
          <c:dLbls>
            <c:dLbl>
              <c:idx val="0"/>
              <c:layout>
                <c:manualLayout>
                  <c:x val="1.0645375914837026E-2"/>
                  <c:y val="-4.3715846994535464E-2"/>
                </c:manualLayout>
              </c:layout>
              <c:tx>
                <c:rich>
                  <a:bodyPr/>
                  <a:lstStyle/>
                  <a:p>
                    <a:r>
                      <a:rPr lang="en-US"/>
                      <a:t>18</a:t>
                    </a:r>
                  </a:p>
                </c:rich>
              </c:tx>
              <c:showLegendKey val="0"/>
              <c:showVal val="1"/>
              <c:showCatName val="0"/>
              <c:showSerName val="0"/>
              <c:showPercent val="0"/>
              <c:showBubbleSize val="0"/>
            </c:dLbl>
            <c:dLbl>
              <c:idx val="1"/>
              <c:layout>
                <c:manualLayout>
                  <c:x val="1.3306510338902258E-2"/>
                  <c:y val="-3.6429872495446283E-2"/>
                </c:manualLayout>
              </c:layout>
              <c:tx>
                <c:rich>
                  <a:bodyPr/>
                  <a:lstStyle/>
                  <a:p>
                    <a:r>
                      <a:rPr lang="en-US" sz="1050" b="1" i="0" baseline="0">
                        <a:effectLst/>
                      </a:rPr>
                      <a:t>18</a:t>
                    </a:r>
                    <a:endParaRPr lang="es-CO" sz="1050">
                      <a:effectLst/>
                    </a:endParaRPr>
                  </a:p>
                </c:rich>
              </c:tx>
              <c:showLegendKey val="0"/>
              <c:showVal val="1"/>
              <c:showCatName val="0"/>
              <c:showSerName val="0"/>
              <c:showPercent val="0"/>
              <c:showBubbleSize val="0"/>
            </c:dLbl>
            <c:dLbl>
              <c:idx val="2"/>
              <c:layout>
                <c:manualLayout>
                  <c:x val="2.1290751829673996E-2"/>
                  <c:y val="-4.3715846994535519E-2"/>
                </c:manualLayout>
              </c:layout>
              <c:tx>
                <c:rich>
                  <a:bodyPr/>
                  <a:lstStyle/>
                  <a:p>
                    <a:r>
                      <a:rPr lang="en-US"/>
                      <a:t>100%</a:t>
                    </a:r>
                  </a:p>
                </c:rich>
              </c:tx>
              <c:showLegendKey val="0"/>
              <c:showVal val="1"/>
              <c:showCatName val="0"/>
              <c:showSerName val="0"/>
              <c:showPercent val="0"/>
              <c:showBubbleSize val="0"/>
            </c:dLbl>
            <c:dLbl>
              <c:idx val="3"/>
              <c:layout>
                <c:manualLayout>
                  <c:x val="1.5968063872255391E-2"/>
                  <c:y val="-2.9143897996357082E-2"/>
                </c:manualLayout>
              </c:layout>
              <c:tx>
                <c:rich>
                  <a:bodyPr/>
                  <a:lstStyle/>
                  <a:p>
                    <a:r>
                      <a:rPr lang="en-US"/>
                      <a:t>16</a:t>
                    </a:r>
                  </a:p>
                </c:rich>
              </c:tx>
              <c:showLegendKey val="0"/>
              <c:showVal val="1"/>
              <c:showCatName val="0"/>
              <c:showSerName val="0"/>
              <c:showPercent val="0"/>
              <c:showBubbleSize val="0"/>
            </c:dLbl>
            <c:txPr>
              <a:bodyPr/>
              <a:lstStyle/>
              <a:p>
                <a:pPr>
                  <a:defRPr sz="1050" b="1"/>
                </a:pPr>
                <a:endParaRPr lang="es-CO"/>
              </a:p>
            </c:txPr>
            <c:showLegendKey val="0"/>
            <c:showVal val="1"/>
            <c:showCatName val="0"/>
            <c:showSerName val="0"/>
            <c:showPercent val="0"/>
            <c:showBubbleSize val="0"/>
            <c:showLeaderLines val="0"/>
          </c:dLbls>
          <c:cat>
            <c:strRef>
              <c:f>Hoja1!$A$2:$A$5</c:f>
              <c:strCache>
                <c:ptCount val="4"/>
                <c:pt idx="0">
                  <c:v>Meta
2012</c:v>
                </c:pt>
                <c:pt idx="1">
                  <c:v>Avance
2012</c:v>
                </c:pt>
                <c:pt idx="2">
                  <c:v>% de
Cumplimiento</c:v>
                </c:pt>
                <c:pt idx="3">
                  <c:v>Meta
2013</c:v>
                </c:pt>
              </c:strCache>
            </c:strRef>
          </c:cat>
          <c:val>
            <c:numRef>
              <c:f>Hoja1!$B$2:$B$5</c:f>
              <c:numCache>
                <c:formatCode>0.00%</c:formatCode>
                <c:ptCount val="4"/>
                <c:pt idx="0">
                  <c:v>0.18000000000000005</c:v>
                </c:pt>
                <c:pt idx="1">
                  <c:v>0.18000000000000005</c:v>
                </c:pt>
                <c:pt idx="2">
                  <c:v>1</c:v>
                </c:pt>
                <c:pt idx="3">
                  <c:v>0.16</c:v>
                </c:pt>
              </c:numCache>
            </c:numRef>
          </c:val>
        </c:ser>
        <c:dLbls>
          <c:showLegendKey val="0"/>
          <c:showVal val="0"/>
          <c:showCatName val="0"/>
          <c:showSerName val="0"/>
          <c:showPercent val="0"/>
          <c:showBubbleSize val="0"/>
        </c:dLbls>
        <c:gapWidth val="150"/>
        <c:shape val="cylinder"/>
        <c:axId val="342664704"/>
        <c:axId val="345490560"/>
        <c:axId val="0"/>
      </c:bar3DChart>
      <c:catAx>
        <c:axId val="342664704"/>
        <c:scaling>
          <c:orientation val="minMax"/>
        </c:scaling>
        <c:delete val="0"/>
        <c:axPos val="b"/>
        <c:numFmt formatCode="General" sourceLinked="1"/>
        <c:majorTickMark val="none"/>
        <c:minorTickMark val="none"/>
        <c:tickLblPos val="nextTo"/>
        <c:txPr>
          <a:bodyPr/>
          <a:lstStyle/>
          <a:p>
            <a:pPr>
              <a:defRPr lang="es-ES" sz="1000" b="1"/>
            </a:pPr>
            <a:endParaRPr lang="es-CO"/>
          </a:p>
        </c:txPr>
        <c:crossAx val="345490560"/>
        <c:crosses val="autoZero"/>
        <c:auto val="1"/>
        <c:lblAlgn val="ctr"/>
        <c:lblOffset val="100"/>
        <c:noMultiLvlLbl val="0"/>
      </c:catAx>
      <c:valAx>
        <c:axId val="345490560"/>
        <c:scaling>
          <c:orientation val="minMax"/>
        </c:scaling>
        <c:delete val="1"/>
        <c:axPos val="l"/>
        <c:numFmt formatCode="0%" sourceLinked="0"/>
        <c:majorTickMark val="none"/>
        <c:minorTickMark val="none"/>
        <c:tickLblPos val="none"/>
        <c:crossAx val="342664704"/>
        <c:crosses val="autoZero"/>
        <c:crossBetween val="between"/>
      </c:valAx>
      <c:spPr>
        <a:noFill/>
        <a:ln w="19031">
          <a:noFill/>
        </a:ln>
      </c:spPr>
    </c:plotArea>
    <c:plotVisOnly val="1"/>
    <c:dispBlanksAs val="gap"/>
    <c:showDLblsOverMax val="0"/>
  </c:chart>
  <c:spPr>
    <a:ln>
      <a:noFill/>
    </a:ln>
  </c:spPr>
  <c:txPr>
    <a:bodyPr/>
    <a:lstStyle/>
    <a:p>
      <a:pPr>
        <a:defRPr sz="1352"/>
      </a:pPr>
      <a:endParaRPr lang="es-CO"/>
    </a:p>
  </c:txPr>
  <c:externalData r:id="rId1">
    <c:autoUpdate val="0"/>
  </c:externalData>
</c:chartSpace>
</file>

<file path=word/charts/chart48.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35"/>
    </mc:Choice>
    <mc:Fallback>
      <c:style val="35"/>
    </mc:Fallback>
  </mc:AlternateContent>
  <c:chart>
    <c:autoTitleDeleted val="1"/>
    <c:view3D>
      <c:rotX val="15"/>
      <c:rotY val="20"/>
      <c:depthPercent val="100"/>
      <c:rAngAx val="1"/>
    </c:view3D>
    <c:floor>
      <c:thickness val="0"/>
    </c:floor>
    <c:side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sideWall>
    <c:back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backWall>
    <c:plotArea>
      <c:layout/>
      <c:bar3DChart>
        <c:barDir val="col"/>
        <c:grouping val="clustered"/>
        <c:varyColors val="1"/>
        <c:ser>
          <c:idx val="0"/>
          <c:order val="0"/>
          <c:tx>
            <c:strRef>
              <c:f>Hoja1!$B$1</c:f>
              <c:strCache>
                <c:ptCount val="1"/>
                <c:pt idx="0">
                  <c:v>Columna2</c:v>
                </c:pt>
              </c:strCache>
            </c:strRef>
          </c:tx>
          <c:invertIfNegative val="0"/>
          <c:dLbls>
            <c:dLbl>
              <c:idx val="0"/>
              <c:layout>
                <c:manualLayout>
                  <c:x val="1.0645375914837026E-2"/>
                  <c:y val="-4.3715846994535464E-2"/>
                </c:manualLayout>
              </c:layout>
              <c:tx>
                <c:rich>
                  <a:bodyPr/>
                  <a:lstStyle/>
                  <a:p>
                    <a:r>
                      <a:rPr lang="en-US"/>
                      <a:t>3</a:t>
                    </a:r>
                  </a:p>
                </c:rich>
              </c:tx>
              <c:showLegendKey val="0"/>
              <c:showVal val="1"/>
              <c:showCatName val="0"/>
              <c:showSerName val="0"/>
              <c:showPercent val="0"/>
              <c:showBubbleSize val="0"/>
            </c:dLbl>
            <c:dLbl>
              <c:idx val="1"/>
              <c:layout>
                <c:manualLayout>
                  <c:x val="1.3306510338902258E-2"/>
                  <c:y val="-3.6429872495446283E-2"/>
                </c:manualLayout>
              </c:layout>
              <c:tx>
                <c:rich>
                  <a:bodyPr/>
                  <a:lstStyle/>
                  <a:p>
                    <a:r>
                      <a:rPr lang="en-US" sz="1050" b="1" i="0" baseline="0">
                        <a:effectLst/>
                      </a:rPr>
                      <a:t>3</a:t>
                    </a:r>
                    <a:endParaRPr lang="es-CO" sz="1050">
                      <a:effectLst/>
                    </a:endParaRPr>
                  </a:p>
                </c:rich>
              </c:tx>
              <c:showLegendKey val="0"/>
              <c:showVal val="1"/>
              <c:showCatName val="0"/>
              <c:showSerName val="0"/>
              <c:showPercent val="0"/>
              <c:showBubbleSize val="0"/>
            </c:dLbl>
            <c:dLbl>
              <c:idx val="2"/>
              <c:layout>
                <c:manualLayout>
                  <c:x val="2.1290751829673996E-2"/>
                  <c:y val="-4.3715846994535519E-2"/>
                </c:manualLayout>
              </c:layout>
              <c:tx>
                <c:rich>
                  <a:bodyPr/>
                  <a:lstStyle/>
                  <a:p>
                    <a:r>
                      <a:rPr lang="en-US"/>
                      <a:t>100%</a:t>
                    </a:r>
                  </a:p>
                </c:rich>
              </c:tx>
              <c:showLegendKey val="0"/>
              <c:showVal val="1"/>
              <c:showCatName val="0"/>
              <c:showSerName val="0"/>
              <c:showPercent val="0"/>
              <c:showBubbleSize val="0"/>
            </c:dLbl>
            <c:dLbl>
              <c:idx val="3"/>
              <c:layout>
                <c:manualLayout>
                  <c:x val="1.5968063872255391E-2"/>
                  <c:y val="-2.9143897996357082E-2"/>
                </c:manualLayout>
              </c:layout>
              <c:tx>
                <c:rich>
                  <a:bodyPr/>
                  <a:lstStyle/>
                  <a:p>
                    <a:r>
                      <a:rPr lang="en-US"/>
                      <a:t>4</a:t>
                    </a:r>
                  </a:p>
                </c:rich>
              </c:tx>
              <c:showLegendKey val="0"/>
              <c:showVal val="1"/>
              <c:showCatName val="0"/>
              <c:showSerName val="0"/>
              <c:showPercent val="0"/>
              <c:showBubbleSize val="0"/>
            </c:dLbl>
            <c:txPr>
              <a:bodyPr/>
              <a:lstStyle/>
              <a:p>
                <a:pPr>
                  <a:defRPr sz="1050" b="1"/>
                </a:pPr>
                <a:endParaRPr lang="es-CO"/>
              </a:p>
            </c:txPr>
            <c:showLegendKey val="0"/>
            <c:showVal val="1"/>
            <c:showCatName val="0"/>
            <c:showSerName val="0"/>
            <c:showPercent val="0"/>
            <c:showBubbleSize val="0"/>
            <c:showLeaderLines val="0"/>
          </c:dLbls>
          <c:cat>
            <c:strRef>
              <c:f>Hoja1!$A$2:$A$5</c:f>
              <c:strCache>
                <c:ptCount val="4"/>
                <c:pt idx="0">
                  <c:v>Meta
2012</c:v>
                </c:pt>
                <c:pt idx="1">
                  <c:v>Avance
2012</c:v>
                </c:pt>
                <c:pt idx="2">
                  <c:v>% de
Cumplimiento</c:v>
                </c:pt>
                <c:pt idx="3">
                  <c:v>Meta
2013</c:v>
                </c:pt>
              </c:strCache>
            </c:strRef>
          </c:cat>
          <c:val>
            <c:numRef>
              <c:f>Hoja1!$B$2:$B$5</c:f>
              <c:numCache>
                <c:formatCode>0.00%</c:formatCode>
                <c:ptCount val="4"/>
                <c:pt idx="0">
                  <c:v>3.0000000000000002E-2</c:v>
                </c:pt>
                <c:pt idx="1">
                  <c:v>3.0000000000000002E-2</c:v>
                </c:pt>
                <c:pt idx="2">
                  <c:v>1</c:v>
                </c:pt>
                <c:pt idx="3">
                  <c:v>4.0000000000000015E-2</c:v>
                </c:pt>
              </c:numCache>
            </c:numRef>
          </c:val>
        </c:ser>
        <c:dLbls>
          <c:showLegendKey val="0"/>
          <c:showVal val="0"/>
          <c:showCatName val="0"/>
          <c:showSerName val="0"/>
          <c:showPercent val="0"/>
          <c:showBubbleSize val="0"/>
        </c:dLbls>
        <c:gapWidth val="150"/>
        <c:shape val="cylinder"/>
        <c:axId val="342364672"/>
        <c:axId val="345492288"/>
        <c:axId val="0"/>
      </c:bar3DChart>
      <c:catAx>
        <c:axId val="342364672"/>
        <c:scaling>
          <c:orientation val="minMax"/>
        </c:scaling>
        <c:delete val="0"/>
        <c:axPos val="b"/>
        <c:numFmt formatCode="General" sourceLinked="1"/>
        <c:majorTickMark val="none"/>
        <c:minorTickMark val="none"/>
        <c:tickLblPos val="nextTo"/>
        <c:txPr>
          <a:bodyPr/>
          <a:lstStyle/>
          <a:p>
            <a:pPr>
              <a:defRPr lang="es-ES" sz="1000" b="1"/>
            </a:pPr>
            <a:endParaRPr lang="es-CO"/>
          </a:p>
        </c:txPr>
        <c:crossAx val="345492288"/>
        <c:crosses val="autoZero"/>
        <c:auto val="1"/>
        <c:lblAlgn val="ctr"/>
        <c:lblOffset val="100"/>
        <c:noMultiLvlLbl val="0"/>
      </c:catAx>
      <c:valAx>
        <c:axId val="345492288"/>
        <c:scaling>
          <c:orientation val="minMax"/>
        </c:scaling>
        <c:delete val="1"/>
        <c:axPos val="l"/>
        <c:numFmt formatCode="0%" sourceLinked="0"/>
        <c:majorTickMark val="none"/>
        <c:minorTickMark val="none"/>
        <c:tickLblPos val="none"/>
        <c:crossAx val="342364672"/>
        <c:crosses val="autoZero"/>
        <c:crossBetween val="between"/>
      </c:valAx>
      <c:spPr>
        <a:noFill/>
        <a:ln w="19031">
          <a:noFill/>
        </a:ln>
      </c:spPr>
    </c:plotArea>
    <c:plotVisOnly val="1"/>
    <c:dispBlanksAs val="gap"/>
    <c:showDLblsOverMax val="0"/>
  </c:chart>
  <c:spPr>
    <a:ln>
      <a:noFill/>
    </a:ln>
  </c:spPr>
  <c:txPr>
    <a:bodyPr/>
    <a:lstStyle/>
    <a:p>
      <a:pPr>
        <a:defRPr sz="1352"/>
      </a:pPr>
      <a:endParaRPr lang="es-CO"/>
    </a:p>
  </c:txPr>
  <c:externalData r:id="rId1">
    <c:autoUpdate val="0"/>
  </c:externalData>
</c:chartSpace>
</file>

<file path=word/charts/chart49.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35"/>
    </mc:Choice>
    <mc:Fallback>
      <c:style val="35"/>
    </mc:Fallback>
  </mc:AlternateContent>
  <c:chart>
    <c:autoTitleDeleted val="1"/>
    <c:view3D>
      <c:rotX val="15"/>
      <c:rotY val="20"/>
      <c:depthPercent val="100"/>
      <c:rAngAx val="1"/>
    </c:view3D>
    <c:floor>
      <c:thickness val="0"/>
    </c:floor>
    <c:side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sideWall>
    <c:back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backWall>
    <c:plotArea>
      <c:layout/>
      <c:bar3DChart>
        <c:barDir val="col"/>
        <c:grouping val="clustered"/>
        <c:varyColors val="1"/>
        <c:ser>
          <c:idx val="0"/>
          <c:order val="0"/>
          <c:tx>
            <c:strRef>
              <c:f>Hoja1!$B$1</c:f>
              <c:strCache>
                <c:ptCount val="1"/>
                <c:pt idx="0">
                  <c:v>Columna2</c:v>
                </c:pt>
              </c:strCache>
            </c:strRef>
          </c:tx>
          <c:invertIfNegative val="0"/>
          <c:dLbls>
            <c:dLbl>
              <c:idx val="0"/>
              <c:layout>
                <c:manualLayout>
                  <c:x val="1.0645375914837026E-2"/>
                  <c:y val="-4.3715846994535464E-2"/>
                </c:manualLayout>
              </c:layout>
              <c:tx>
                <c:rich>
                  <a:bodyPr/>
                  <a:lstStyle/>
                  <a:p>
                    <a:r>
                      <a:rPr lang="en-US"/>
                      <a:t>27</a:t>
                    </a:r>
                  </a:p>
                </c:rich>
              </c:tx>
              <c:showLegendKey val="0"/>
              <c:showVal val="1"/>
              <c:showCatName val="0"/>
              <c:showSerName val="0"/>
              <c:showPercent val="0"/>
              <c:showBubbleSize val="0"/>
            </c:dLbl>
            <c:dLbl>
              <c:idx val="1"/>
              <c:layout>
                <c:manualLayout>
                  <c:x val="1.3306510338902258E-2"/>
                  <c:y val="-3.6429872495446283E-2"/>
                </c:manualLayout>
              </c:layout>
              <c:tx>
                <c:rich>
                  <a:bodyPr/>
                  <a:lstStyle/>
                  <a:p>
                    <a:r>
                      <a:rPr lang="en-US" sz="1050" b="1" i="0" baseline="0">
                        <a:effectLst/>
                      </a:rPr>
                      <a:t>27</a:t>
                    </a:r>
                    <a:endParaRPr lang="es-CO" sz="1050">
                      <a:effectLst/>
                    </a:endParaRPr>
                  </a:p>
                </c:rich>
              </c:tx>
              <c:showLegendKey val="0"/>
              <c:showVal val="1"/>
              <c:showCatName val="0"/>
              <c:showSerName val="0"/>
              <c:showPercent val="0"/>
              <c:showBubbleSize val="0"/>
            </c:dLbl>
            <c:dLbl>
              <c:idx val="2"/>
              <c:layout>
                <c:manualLayout>
                  <c:x val="2.1290751829673996E-2"/>
                  <c:y val="-4.3715846994535519E-2"/>
                </c:manualLayout>
              </c:layout>
              <c:tx>
                <c:rich>
                  <a:bodyPr/>
                  <a:lstStyle/>
                  <a:p>
                    <a:r>
                      <a:rPr lang="en-US"/>
                      <a:t>100%</a:t>
                    </a:r>
                  </a:p>
                </c:rich>
              </c:tx>
              <c:showLegendKey val="0"/>
              <c:showVal val="1"/>
              <c:showCatName val="0"/>
              <c:showSerName val="0"/>
              <c:showPercent val="0"/>
              <c:showBubbleSize val="0"/>
            </c:dLbl>
            <c:dLbl>
              <c:idx val="3"/>
              <c:layout>
                <c:manualLayout>
                  <c:x val="1.5968063872255391E-2"/>
                  <c:y val="-2.9143897996357082E-2"/>
                </c:manualLayout>
              </c:layout>
              <c:tx>
                <c:rich>
                  <a:bodyPr/>
                  <a:lstStyle/>
                  <a:p>
                    <a:r>
                      <a:rPr lang="en-US"/>
                      <a:t>27</a:t>
                    </a:r>
                  </a:p>
                </c:rich>
              </c:tx>
              <c:showLegendKey val="0"/>
              <c:showVal val="1"/>
              <c:showCatName val="0"/>
              <c:showSerName val="0"/>
              <c:showPercent val="0"/>
              <c:showBubbleSize val="0"/>
            </c:dLbl>
            <c:txPr>
              <a:bodyPr/>
              <a:lstStyle/>
              <a:p>
                <a:pPr>
                  <a:defRPr sz="1050" b="1"/>
                </a:pPr>
                <a:endParaRPr lang="es-CO"/>
              </a:p>
            </c:txPr>
            <c:showLegendKey val="0"/>
            <c:showVal val="1"/>
            <c:showCatName val="0"/>
            <c:showSerName val="0"/>
            <c:showPercent val="0"/>
            <c:showBubbleSize val="0"/>
            <c:showLeaderLines val="0"/>
          </c:dLbls>
          <c:cat>
            <c:strRef>
              <c:f>Hoja1!$A$2:$A$5</c:f>
              <c:strCache>
                <c:ptCount val="4"/>
                <c:pt idx="0">
                  <c:v>Meta
2012</c:v>
                </c:pt>
                <c:pt idx="1">
                  <c:v>Avance
2012</c:v>
                </c:pt>
                <c:pt idx="2">
                  <c:v>% de
Cumplimiento</c:v>
                </c:pt>
                <c:pt idx="3">
                  <c:v>Meta
2013</c:v>
                </c:pt>
              </c:strCache>
            </c:strRef>
          </c:cat>
          <c:val>
            <c:numRef>
              <c:f>Hoja1!$B$2:$B$5</c:f>
              <c:numCache>
                <c:formatCode>0.00%</c:formatCode>
                <c:ptCount val="4"/>
                <c:pt idx="0">
                  <c:v>0.27</c:v>
                </c:pt>
                <c:pt idx="1">
                  <c:v>0.27</c:v>
                </c:pt>
                <c:pt idx="2">
                  <c:v>1</c:v>
                </c:pt>
                <c:pt idx="3">
                  <c:v>0.27</c:v>
                </c:pt>
              </c:numCache>
            </c:numRef>
          </c:val>
        </c:ser>
        <c:dLbls>
          <c:showLegendKey val="0"/>
          <c:showVal val="0"/>
          <c:showCatName val="0"/>
          <c:showSerName val="0"/>
          <c:showPercent val="0"/>
          <c:showBubbleSize val="0"/>
        </c:dLbls>
        <c:gapWidth val="150"/>
        <c:shape val="cylinder"/>
        <c:axId val="342664192"/>
        <c:axId val="345494016"/>
        <c:axId val="0"/>
      </c:bar3DChart>
      <c:catAx>
        <c:axId val="342664192"/>
        <c:scaling>
          <c:orientation val="minMax"/>
        </c:scaling>
        <c:delete val="0"/>
        <c:axPos val="b"/>
        <c:numFmt formatCode="General" sourceLinked="1"/>
        <c:majorTickMark val="none"/>
        <c:minorTickMark val="none"/>
        <c:tickLblPos val="nextTo"/>
        <c:txPr>
          <a:bodyPr/>
          <a:lstStyle/>
          <a:p>
            <a:pPr>
              <a:defRPr lang="es-ES" sz="1000" b="1"/>
            </a:pPr>
            <a:endParaRPr lang="es-CO"/>
          </a:p>
        </c:txPr>
        <c:crossAx val="345494016"/>
        <c:crosses val="autoZero"/>
        <c:auto val="1"/>
        <c:lblAlgn val="ctr"/>
        <c:lblOffset val="100"/>
        <c:noMultiLvlLbl val="0"/>
      </c:catAx>
      <c:valAx>
        <c:axId val="345494016"/>
        <c:scaling>
          <c:orientation val="minMax"/>
        </c:scaling>
        <c:delete val="1"/>
        <c:axPos val="l"/>
        <c:numFmt formatCode="0%" sourceLinked="0"/>
        <c:majorTickMark val="none"/>
        <c:minorTickMark val="none"/>
        <c:tickLblPos val="none"/>
        <c:crossAx val="342664192"/>
        <c:crosses val="autoZero"/>
        <c:crossBetween val="between"/>
      </c:valAx>
      <c:spPr>
        <a:noFill/>
        <a:ln w="19031">
          <a:noFill/>
        </a:ln>
      </c:spPr>
    </c:plotArea>
    <c:plotVisOnly val="1"/>
    <c:dispBlanksAs val="gap"/>
    <c:showDLblsOverMax val="0"/>
  </c:chart>
  <c:spPr>
    <a:ln>
      <a:noFill/>
    </a:ln>
  </c:spPr>
  <c:txPr>
    <a:bodyPr/>
    <a:lstStyle/>
    <a:p>
      <a:pPr>
        <a:defRPr sz="1352"/>
      </a:pPr>
      <a:endParaRPr lang="es-CO"/>
    </a:p>
  </c:txPr>
  <c:externalData r:id="rId1">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35"/>
    </mc:Choice>
    <mc:Fallback>
      <c:style val="35"/>
    </mc:Fallback>
  </mc:AlternateContent>
  <c:chart>
    <c:autoTitleDeleted val="1"/>
    <c:view3D>
      <c:rotX val="15"/>
      <c:rotY val="20"/>
      <c:depthPercent val="100"/>
      <c:rAngAx val="1"/>
    </c:view3D>
    <c:floor>
      <c:thickness val="0"/>
    </c:floor>
    <c:side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sideWall>
    <c:back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backWall>
    <c:plotArea>
      <c:layout/>
      <c:bar3DChart>
        <c:barDir val="col"/>
        <c:grouping val="clustered"/>
        <c:varyColors val="1"/>
        <c:ser>
          <c:idx val="0"/>
          <c:order val="0"/>
          <c:tx>
            <c:strRef>
              <c:f>Hoja1!$B$1</c:f>
              <c:strCache>
                <c:ptCount val="1"/>
                <c:pt idx="0">
                  <c:v>Columna2</c:v>
                </c:pt>
              </c:strCache>
            </c:strRef>
          </c:tx>
          <c:invertIfNegative val="0"/>
          <c:dLbls>
            <c:dLbl>
              <c:idx val="2"/>
              <c:tx>
                <c:rich>
                  <a:bodyPr/>
                  <a:lstStyle/>
                  <a:p>
                    <a:r>
                      <a:rPr lang="en-US" sz="1050" b="1"/>
                      <a:t>93%</a:t>
                    </a:r>
                    <a:endParaRPr lang="en-US"/>
                  </a:p>
                </c:rich>
              </c:tx>
              <c:showLegendKey val="0"/>
              <c:showVal val="1"/>
              <c:showCatName val="0"/>
              <c:showSerName val="0"/>
              <c:showPercent val="0"/>
              <c:showBubbleSize val="0"/>
            </c:dLbl>
            <c:txPr>
              <a:bodyPr/>
              <a:lstStyle/>
              <a:p>
                <a:pPr>
                  <a:defRPr sz="1050" b="1"/>
                </a:pPr>
                <a:endParaRPr lang="es-CO"/>
              </a:p>
            </c:txPr>
            <c:showLegendKey val="0"/>
            <c:showVal val="1"/>
            <c:showCatName val="0"/>
            <c:showSerName val="0"/>
            <c:showPercent val="0"/>
            <c:showBubbleSize val="0"/>
            <c:showLeaderLines val="0"/>
          </c:dLbls>
          <c:cat>
            <c:strRef>
              <c:f>Hoja1!$A$2:$A$5</c:f>
              <c:strCache>
                <c:ptCount val="4"/>
                <c:pt idx="0">
                  <c:v>Meta
2012</c:v>
                </c:pt>
                <c:pt idx="1">
                  <c:v>Avance
2012</c:v>
                </c:pt>
                <c:pt idx="2">
                  <c:v>% de
Cumplimiento</c:v>
                </c:pt>
                <c:pt idx="3">
                  <c:v>Meta
2013</c:v>
                </c:pt>
              </c:strCache>
            </c:strRef>
          </c:cat>
          <c:val>
            <c:numRef>
              <c:f>Hoja1!$B$2:$B$5</c:f>
              <c:numCache>
                <c:formatCode>0</c:formatCode>
                <c:ptCount val="4"/>
                <c:pt idx="0">
                  <c:v>28</c:v>
                </c:pt>
                <c:pt idx="1">
                  <c:v>26</c:v>
                </c:pt>
                <c:pt idx="2">
                  <c:v>26</c:v>
                </c:pt>
                <c:pt idx="3">
                  <c:v>30</c:v>
                </c:pt>
              </c:numCache>
            </c:numRef>
          </c:val>
        </c:ser>
        <c:dLbls>
          <c:showLegendKey val="0"/>
          <c:showVal val="0"/>
          <c:showCatName val="0"/>
          <c:showSerName val="0"/>
          <c:showPercent val="0"/>
          <c:showBubbleSize val="0"/>
        </c:dLbls>
        <c:gapWidth val="150"/>
        <c:shape val="cylinder"/>
        <c:axId val="342665216"/>
        <c:axId val="345495744"/>
        <c:axId val="0"/>
      </c:bar3DChart>
      <c:catAx>
        <c:axId val="342665216"/>
        <c:scaling>
          <c:orientation val="minMax"/>
        </c:scaling>
        <c:delete val="0"/>
        <c:axPos val="b"/>
        <c:numFmt formatCode="General" sourceLinked="1"/>
        <c:majorTickMark val="none"/>
        <c:minorTickMark val="none"/>
        <c:tickLblPos val="nextTo"/>
        <c:txPr>
          <a:bodyPr/>
          <a:lstStyle/>
          <a:p>
            <a:pPr>
              <a:defRPr lang="es-ES" sz="1000" b="1"/>
            </a:pPr>
            <a:endParaRPr lang="es-CO"/>
          </a:p>
        </c:txPr>
        <c:crossAx val="345495744"/>
        <c:crosses val="autoZero"/>
        <c:auto val="1"/>
        <c:lblAlgn val="ctr"/>
        <c:lblOffset val="100"/>
        <c:noMultiLvlLbl val="0"/>
      </c:catAx>
      <c:valAx>
        <c:axId val="345495744"/>
        <c:scaling>
          <c:orientation val="minMax"/>
        </c:scaling>
        <c:delete val="1"/>
        <c:axPos val="l"/>
        <c:numFmt formatCode="0%" sourceLinked="0"/>
        <c:majorTickMark val="none"/>
        <c:minorTickMark val="none"/>
        <c:tickLblPos val="none"/>
        <c:crossAx val="342665216"/>
        <c:crosses val="autoZero"/>
        <c:crossBetween val="between"/>
      </c:valAx>
      <c:spPr>
        <a:noFill/>
        <a:ln w="19031">
          <a:noFill/>
        </a:ln>
      </c:spPr>
    </c:plotArea>
    <c:plotVisOnly val="1"/>
    <c:dispBlanksAs val="gap"/>
    <c:showDLblsOverMax val="0"/>
  </c:chart>
  <c:spPr>
    <a:ln>
      <a:noFill/>
    </a:ln>
  </c:spPr>
  <c:txPr>
    <a:bodyPr/>
    <a:lstStyle/>
    <a:p>
      <a:pPr>
        <a:defRPr sz="1352"/>
      </a:pPr>
      <a:endParaRPr lang="es-CO"/>
    </a:p>
  </c:txPr>
  <c:externalData r:id="rId1">
    <c:autoUpdate val="0"/>
  </c:externalData>
</c:chartSpace>
</file>

<file path=word/charts/chart51.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35"/>
    </mc:Choice>
    <mc:Fallback>
      <c:style val="35"/>
    </mc:Fallback>
  </mc:AlternateContent>
  <c:chart>
    <c:autoTitleDeleted val="1"/>
    <c:view3D>
      <c:rotX val="15"/>
      <c:rotY val="20"/>
      <c:depthPercent val="100"/>
      <c:rAngAx val="1"/>
    </c:view3D>
    <c:floor>
      <c:thickness val="0"/>
    </c:floor>
    <c:side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sideWall>
    <c:back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backWall>
    <c:plotArea>
      <c:layout/>
      <c:bar3DChart>
        <c:barDir val="col"/>
        <c:grouping val="clustered"/>
        <c:varyColors val="1"/>
        <c:ser>
          <c:idx val="0"/>
          <c:order val="0"/>
          <c:tx>
            <c:strRef>
              <c:f>Hoja1!$B$1</c:f>
              <c:strCache>
                <c:ptCount val="1"/>
                <c:pt idx="0">
                  <c:v>Columna2</c:v>
                </c:pt>
              </c:strCache>
            </c:strRef>
          </c:tx>
          <c:invertIfNegative val="0"/>
          <c:dLbls>
            <c:dLbl>
              <c:idx val="2"/>
              <c:tx>
                <c:rich>
                  <a:bodyPr/>
                  <a:lstStyle/>
                  <a:p>
                    <a:r>
                      <a:rPr lang="en-US" sz="1050" b="1"/>
                      <a:t>88%</a:t>
                    </a:r>
                    <a:endParaRPr lang="en-US"/>
                  </a:p>
                </c:rich>
              </c:tx>
              <c:showLegendKey val="0"/>
              <c:showVal val="1"/>
              <c:showCatName val="0"/>
              <c:showSerName val="0"/>
              <c:showPercent val="0"/>
              <c:showBubbleSize val="0"/>
            </c:dLbl>
            <c:txPr>
              <a:bodyPr/>
              <a:lstStyle/>
              <a:p>
                <a:pPr>
                  <a:defRPr sz="1050" b="1"/>
                </a:pPr>
                <a:endParaRPr lang="es-CO"/>
              </a:p>
            </c:txPr>
            <c:showLegendKey val="0"/>
            <c:showVal val="1"/>
            <c:showCatName val="0"/>
            <c:showSerName val="0"/>
            <c:showPercent val="0"/>
            <c:showBubbleSize val="0"/>
            <c:showLeaderLines val="0"/>
          </c:dLbls>
          <c:cat>
            <c:strRef>
              <c:f>Hoja1!$A$2:$A$5</c:f>
              <c:strCache>
                <c:ptCount val="4"/>
                <c:pt idx="0">
                  <c:v>Meta
2012</c:v>
                </c:pt>
                <c:pt idx="1">
                  <c:v>Avance
2012</c:v>
                </c:pt>
                <c:pt idx="2">
                  <c:v>% de
Cumplimiento</c:v>
                </c:pt>
                <c:pt idx="3">
                  <c:v>Meta
2013</c:v>
                </c:pt>
              </c:strCache>
            </c:strRef>
          </c:cat>
          <c:val>
            <c:numRef>
              <c:f>Hoja1!$B$2:$B$5</c:f>
              <c:numCache>
                <c:formatCode>0</c:formatCode>
                <c:ptCount val="4"/>
                <c:pt idx="0">
                  <c:v>8</c:v>
                </c:pt>
                <c:pt idx="1">
                  <c:v>7</c:v>
                </c:pt>
                <c:pt idx="2">
                  <c:v>7</c:v>
                </c:pt>
                <c:pt idx="3">
                  <c:v>8</c:v>
                </c:pt>
              </c:numCache>
            </c:numRef>
          </c:val>
        </c:ser>
        <c:dLbls>
          <c:showLegendKey val="0"/>
          <c:showVal val="0"/>
          <c:showCatName val="0"/>
          <c:showSerName val="0"/>
          <c:showPercent val="0"/>
          <c:showBubbleSize val="0"/>
        </c:dLbls>
        <c:gapWidth val="150"/>
        <c:shape val="cylinder"/>
        <c:axId val="342663680"/>
        <c:axId val="346546176"/>
        <c:axId val="0"/>
      </c:bar3DChart>
      <c:catAx>
        <c:axId val="342663680"/>
        <c:scaling>
          <c:orientation val="minMax"/>
        </c:scaling>
        <c:delete val="0"/>
        <c:axPos val="b"/>
        <c:numFmt formatCode="General" sourceLinked="1"/>
        <c:majorTickMark val="none"/>
        <c:minorTickMark val="none"/>
        <c:tickLblPos val="nextTo"/>
        <c:txPr>
          <a:bodyPr/>
          <a:lstStyle/>
          <a:p>
            <a:pPr>
              <a:defRPr lang="es-ES" sz="1000" b="1"/>
            </a:pPr>
            <a:endParaRPr lang="es-CO"/>
          </a:p>
        </c:txPr>
        <c:crossAx val="346546176"/>
        <c:crosses val="autoZero"/>
        <c:auto val="1"/>
        <c:lblAlgn val="ctr"/>
        <c:lblOffset val="100"/>
        <c:noMultiLvlLbl val="0"/>
      </c:catAx>
      <c:valAx>
        <c:axId val="346546176"/>
        <c:scaling>
          <c:orientation val="minMax"/>
        </c:scaling>
        <c:delete val="1"/>
        <c:axPos val="l"/>
        <c:numFmt formatCode="0%" sourceLinked="0"/>
        <c:majorTickMark val="none"/>
        <c:minorTickMark val="none"/>
        <c:tickLblPos val="none"/>
        <c:crossAx val="342663680"/>
        <c:crosses val="autoZero"/>
        <c:crossBetween val="between"/>
      </c:valAx>
      <c:spPr>
        <a:noFill/>
        <a:ln w="19031">
          <a:noFill/>
        </a:ln>
      </c:spPr>
    </c:plotArea>
    <c:plotVisOnly val="1"/>
    <c:dispBlanksAs val="gap"/>
    <c:showDLblsOverMax val="0"/>
  </c:chart>
  <c:spPr>
    <a:ln>
      <a:noFill/>
    </a:ln>
  </c:spPr>
  <c:txPr>
    <a:bodyPr/>
    <a:lstStyle/>
    <a:p>
      <a:pPr>
        <a:defRPr sz="1352"/>
      </a:pPr>
      <a:endParaRPr lang="es-CO"/>
    </a:p>
  </c:txPr>
  <c:externalData r:id="rId1">
    <c:autoUpdate val="0"/>
  </c:externalData>
</c:chartSpace>
</file>

<file path=word/charts/chart52.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35"/>
    </mc:Choice>
    <mc:Fallback>
      <c:style val="35"/>
    </mc:Fallback>
  </mc:AlternateContent>
  <c:chart>
    <c:autoTitleDeleted val="1"/>
    <c:view3D>
      <c:rotX val="15"/>
      <c:rotY val="20"/>
      <c:depthPercent val="100"/>
      <c:rAngAx val="1"/>
    </c:view3D>
    <c:floor>
      <c:thickness val="0"/>
    </c:floor>
    <c:side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sideWall>
    <c:backWall>
      <c:thickness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backWall>
    <c:plotArea>
      <c:layout/>
      <c:bar3DChart>
        <c:barDir val="col"/>
        <c:grouping val="clustered"/>
        <c:varyColors val="1"/>
        <c:ser>
          <c:idx val="0"/>
          <c:order val="0"/>
          <c:tx>
            <c:strRef>
              <c:f>Hoja1!$B$1</c:f>
              <c:strCache>
                <c:ptCount val="1"/>
                <c:pt idx="0">
                  <c:v>Columna2</c:v>
                </c:pt>
              </c:strCache>
            </c:strRef>
          </c:tx>
          <c:invertIfNegative val="0"/>
          <c:dLbls>
            <c:dLbl>
              <c:idx val="2"/>
              <c:tx>
                <c:rich>
                  <a:bodyPr/>
                  <a:lstStyle/>
                  <a:p>
                    <a:r>
                      <a:rPr lang="en-US" sz="1050" b="1"/>
                      <a:t>83%</a:t>
                    </a:r>
                    <a:endParaRPr lang="en-US"/>
                  </a:p>
                </c:rich>
              </c:tx>
              <c:showLegendKey val="0"/>
              <c:showVal val="1"/>
              <c:showCatName val="0"/>
              <c:showSerName val="0"/>
              <c:showPercent val="0"/>
              <c:showBubbleSize val="0"/>
            </c:dLbl>
            <c:txPr>
              <a:bodyPr/>
              <a:lstStyle/>
              <a:p>
                <a:pPr>
                  <a:defRPr sz="1050" b="1"/>
                </a:pPr>
                <a:endParaRPr lang="es-CO"/>
              </a:p>
            </c:txPr>
            <c:showLegendKey val="0"/>
            <c:showVal val="1"/>
            <c:showCatName val="0"/>
            <c:showSerName val="0"/>
            <c:showPercent val="0"/>
            <c:showBubbleSize val="0"/>
            <c:showLeaderLines val="0"/>
          </c:dLbls>
          <c:cat>
            <c:strRef>
              <c:f>Hoja1!$A$2:$A$5</c:f>
              <c:strCache>
                <c:ptCount val="4"/>
                <c:pt idx="0">
                  <c:v>Meta
2012</c:v>
                </c:pt>
                <c:pt idx="1">
                  <c:v>Avance
2012</c:v>
                </c:pt>
                <c:pt idx="2">
                  <c:v>% de
Cumplimiento</c:v>
                </c:pt>
                <c:pt idx="3">
                  <c:v>Meta
2013</c:v>
                </c:pt>
              </c:strCache>
            </c:strRef>
          </c:cat>
          <c:val>
            <c:numRef>
              <c:f>Hoja1!$B$2:$B$5</c:f>
              <c:numCache>
                <c:formatCode>0</c:formatCode>
                <c:ptCount val="4"/>
                <c:pt idx="0">
                  <c:v>6</c:v>
                </c:pt>
                <c:pt idx="1">
                  <c:v>7</c:v>
                </c:pt>
                <c:pt idx="2">
                  <c:v>6</c:v>
                </c:pt>
                <c:pt idx="3">
                  <c:v>6.5</c:v>
                </c:pt>
              </c:numCache>
            </c:numRef>
          </c:val>
        </c:ser>
        <c:dLbls>
          <c:showLegendKey val="0"/>
          <c:showVal val="0"/>
          <c:showCatName val="0"/>
          <c:showSerName val="0"/>
          <c:showPercent val="0"/>
          <c:showBubbleSize val="0"/>
        </c:dLbls>
        <c:gapWidth val="150"/>
        <c:shape val="cylinder"/>
        <c:axId val="342666240"/>
        <c:axId val="346547904"/>
        <c:axId val="0"/>
      </c:bar3DChart>
      <c:catAx>
        <c:axId val="342666240"/>
        <c:scaling>
          <c:orientation val="minMax"/>
        </c:scaling>
        <c:delete val="0"/>
        <c:axPos val="b"/>
        <c:numFmt formatCode="General" sourceLinked="1"/>
        <c:majorTickMark val="none"/>
        <c:minorTickMark val="none"/>
        <c:tickLblPos val="nextTo"/>
        <c:txPr>
          <a:bodyPr/>
          <a:lstStyle/>
          <a:p>
            <a:pPr>
              <a:defRPr lang="es-ES" sz="1000" b="1"/>
            </a:pPr>
            <a:endParaRPr lang="es-CO"/>
          </a:p>
        </c:txPr>
        <c:crossAx val="346547904"/>
        <c:crosses val="autoZero"/>
        <c:auto val="1"/>
        <c:lblAlgn val="ctr"/>
        <c:lblOffset val="100"/>
        <c:noMultiLvlLbl val="0"/>
      </c:catAx>
      <c:valAx>
        <c:axId val="346547904"/>
        <c:scaling>
          <c:orientation val="minMax"/>
        </c:scaling>
        <c:delete val="1"/>
        <c:axPos val="l"/>
        <c:numFmt formatCode="0%" sourceLinked="0"/>
        <c:majorTickMark val="none"/>
        <c:minorTickMark val="none"/>
        <c:tickLblPos val="none"/>
        <c:crossAx val="342666240"/>
        <c:crosses val="autoZero"/>
        <c:crossBetween val="between"/>
      </c:valAx>
      <c:spPr>
        <a:noFill/>
        <a:ln w="19031">
          <a:noFill/>
        </a:ln>
      </c:spPr>
    </c:plotArea>
    <c:plotVisOnly val="1"/>
    <c:dispBlanksAs val="gap"/>
    <c:showDLblsOverMax val="0"/>
  </c:chart>
  <c:spPr>
    <a:ln>
      <a:noFill/>
    </a:ln>
  </c:spPr>
  <c:txPr>
    <a:bodyPr/>
    <a:lstStyle/>
    <a:p>
      <a:pPr>
        <a:defRPr sz="1352"/>
      </a:pPr>
      <a:endParaRPr lang="es-CO"/>
    </a:p>
  </c:txPr>
  <c:externalData r:id="rId1">
    <c:autoUpdate val="0"/>
  </c:externalData>
</c:chartSpace>
</file>

<file path=word/charts/chart53.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ideWall>
    <c:backWall>
      <c:thickness val="0"/>
    </c:backWall>
    <c:plotArea>
      <c:layout>
        <c:manualLayout>
          <c:layoutTarget val="inner"/>
          <c:xMode val="edge"/>
          <c:yMode val="edge"/>
          <c:x val="0.42919313210848631"/>
          <c:y val="0.10106565633623502"/>
          <c:w val="0.47011242344706922"/>
          <c:h val="0.85455714445906039"/>
        </c:manualLayout>
      </c:layout>
      <c:bar3DChart>
        <c:barDir val="bar"/>
        <c:grouping val="clustered"/>
        <c:varyColors val="0"/>
        <c:ser>
          <c:idx val="0"/>
          <c:order val="0"/>
          <c:invertIfNegative val="0"/>
          <c:cat>
            <c:strRef>
              <c:f>Resumen!$B$22:$B$28</c:f>
              <c:strCache>
                <c:ptCount val="7"/>
                <c:pt idx="0">
                  <c:v>Desarrollo institucional</c:v>
                </c:pt>
                <c:pt idx="1">
                  <c:v>Cobertura con calidad</c:v>
                </c:pt>
                <c:pt idx="2">
                  <c:v>Bienestar institucional</c:v>
                </c:pt>
                <c:pt idx="3">
                  <c:v>Investigación, innovación y extensión</c:v>
                </c:pt>
                <c:pt idx="4">
                  <c:v>Internacionalización</c:v>
                </c:pt>
                <c:pt idx="5">
                  <c:v>Impacto regional</c:v>
                </c:pt>
                <c:pt idx="6">
                  <c:v>Alianzas estratégicas</c:v>
                </c:pt>
              </c:strCache>
            </c:strRef>
          </c:cat>
          <c:val>
            <c:numRef>
              <c:f>Resumen!$C$22:$C$28</c:f>
            </c:numRef>
          </c:val>
          <c:shape val="box"/>
        </c:ser>
        <c:ser>
          <c:idx val="1"/>
          <c:order val="1"/>
          <c:invertIfNegative val="0"/>
          <c:dPt>
            <c:idx val="0"/>
            <c:invertIfNegative val="0"/>
            <c:bubble3D val="0"/>
            <c:spPr>
              <a:gradFill>
                <a:gsLst>
                  <a:gs pos="0">
                    <a:srgbClr val="03D4A8"/>
                  </a:gs>
                  <a:gs pos="25000">
                    <a:srgbClr val="21D6E0"/>
                  </a:gs>
                  <a:gs pos="75000">
                    <a:srgbClr val="0087E6"/>
                  </a:gs>
                  <a:gs pos="100000">
                    <a:srgbClr val="005CBF"/>
                  </a:gs>
                </a:gsLst>
                <a:lin ang="5400000" scaled="0"/>
              </a:gradFill>
            </c:spPr>
          </c:dPt>
          <c:dPt>
            <c:idx val="1"/>
            <c:invertIfNegative val="0"/>
            <c:bubble3D val="0"/>
            <c:spPr>
              <a:gradFill rotWithShape="1">
                <a:gsLst>
                  <a:gs pos="0">
                    <a:schemeClr val="accent6">
                      <a:shade val="51000"/>
                      <a:satMod val="130000"/>
                    </a:schemeClr>
                  </a:gs>
                  <a:gs pos="80000">
                    <a:schemeClr val="accent6">
                      <a:shade val="93000"/>
                      <a:satMod val="130000"/>
                    </a:schemeClr>
                  </a:gs>
                  <a:gs pos="100000">
                    <a:schemeClr val="accent6">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2"/>
            <c:invertIfNegative val="0"/>
            <c:bubble3D val="0"/>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3"/>
            <c:invertIfNegative val="0"/>
            <c:bubble3D val="0"/>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4"/>
            <c:invertIfNegative val="0"/>
            <c:bubble3D val="0"/>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5"/>
            <c:invertIfNegative val="0"/>
            <c:bubble3D val="0"/>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6"/>
            <c:invertIfNegative val="0"/>
            <c:bubble3D val="0"/>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Lbls>
            <c:txPr>
              <a:bodyPr/>
              <a:lstStyle/>
              <a:p>
                <a:pPr>
                  <a:defRPr b="1"/>
                </a:pPr>
                <a:endParaRPr lang="es-CO"/>
              </a:p>
            </c:txPr>
            <c:showLegendKey val="0"/>
            <c:showVal val="1"/>
            <c:showCatName val="0"/>
            <c:showSerName val="0"/>
            <c:showPercent val="0"/>
            <c:showBubbleSize val="0"/>
            <c:showLeaderLines val="0"/>
          </c:dLbls>
          <c:cat>
            <c:strRef>
              <c:f>Resumen!$B$22:$B$28</c:f>
              <c:strCache>
                <c:ptCount val="7"/>
                <c:pt idx="0">
                  <c:v>Desarrollo institucional</c:v>
                </c:pt>
                <c:pt idx="1">
                  <c:v>Cobertura con calidad</c:v>
                </c:pt>
                <c:pt idx="2">
                  <c:v>Bienestar institucional</c:v>
                </c:pt>
                <c:pt idx="3">
                  <c:v>Investigación, innovación y extensión</c:v>
                </c:pt>
                <c:pt idx="4">
                  <c:v>Internacionalización</c:v>
                </c:pt>
                <c:pt idx="5">
                  <c:v>Impacto regional</c:v>
                </c:pt>
                <c:pt idx="6">
                  <c:v>Alianzas estratégicas</c:v>
                </c:pt>
              </c:strCache>
            </c:strRef>
          </c:cat>
          <c:val>
            <c:numRef>
              <c:f>Resumen!$D$22:$D$28</c:f>
              <c:numCache>
                <c:formatCode>0.00%</c:formatCode>
                <c:ptCount val="7"/>
                <c:pt idx="0">
                  <c:v>0.94804374948547465</c:v>
                </c:pt>
                <c:pt idx="1">
                  <c:v>0.95930280741897411</c:v>
                </c:pt>
                <c:pt idx="2">
                  <c:v>0.96837681159420308</c:v>
                </c:pt>
                <c:pt idx="3">
                  <c:v>0.87655892771680954</c:v>
                </c:pt>
                <c:pt idx="4">
                  <c:v>0.75944230769230769</c:v>
                </c:pt>
                <c:pt idx="5">
                  <c:v>0.94587500000000024</c:v>
                </c:pt>
                <c:pt idx="6">
                  <c:v>0.85060483870967774</c:v>
                </c:pt>
              </c:numCache>
            </c:numRef>
          </c:val>
        </c:ser>
        <c:dLbls>
          <c:showLegendKey val="0"/>
          <c:showVal val="0"/>
          <c:showCatName val="0"/>
          <c:showSerName val="0"/>
          <c:showPercent val="0"/>
          <c:showBubbleSize val="0"/>
        </c:dLbls>
        <c:gapWidth val="150"/>
        <c:shape val="cylinder"/>
        <c:axId val="341300224"/>
        <c:axId val="346549632"/>
        <c:axId val="0"/>
      </c:bar3DChart>
      <c:catAx>
        <c:axId val="341300224"/>
        <c:scaling>
          <c:orientation val="maxMin"/>
        </c:scaling>
        <c:delete val="0"/>
        <c:axPos val="l"/>
        <c:majorTickMark val="out"/>
        <c:minorTickMark val="none"/>
        <c:tickLblPos val="nextTo"/>
        <c:txPr>
          <a:bodyPr/>
          <a:lstStyle/>
          <a:p>
            <a:pPr>
              <a:defRPr sz="900" b="1"/>
            </a:pPr>
            <a:endParaRPr lang="es-CO"/>
          </a:p>
        </c:txPr>
        <c:crossAx val="346549632"/>
        <c:crosses val="autoZero"/>
        <c:auto val="1"/>
        <c:lblAlgn val="ctr"/>
        <c:lblOffset val="100"/>
        <c:noMultiLvlLbl val="0"/>
      </c:catAx>
      <c:valAx>
        <c:axId val="346549632"/>
        <c:scaling>
          <c:orientation val="minMax"/>
          <c:max val="1"/>
          <c:min val="0.5"/>
        </c:scaling>
        <c:delete val="0"/>
        <c:axPos val="t"/>
        <c:majorGridlines/>
        <c:numFmt formatCode="0%" sourceLinked="0"/>
        <c:majorTickMark val="out"/>
        <c:minorTickMark val="none"/>
        <c:tickLblPos val="nextTo"/>
        <c:txPr>
          <a:bodyPr/>
          <a:lstStyle/>
          <a:p>
            <a:pPr>
              <a:defRPr b="1"/>
            </a:pPr>
            <a:endParaRPr lang="es-CO"/>
          </a:p>
        </c:txPr>
        <c:crossAx val="341300224"/>
        <c:crosses val="autoZero"/>
        <c:crossBetween val="between"/>
      </c:valAx>
    </c:plotArea>
    <c:plotVisOnly val="1"/>
    <c:dispBlanksAs val="gap"/>
    <c:showDLblsOverMax val="0"/>
  </c:chart>
  <c:spPr>
    <a:ln>
      <a:noFill/>
    </a:ln>
  </c:spPr>
  <c:externalData r:id="rId1">
    <c:autoUpdate val="0"/>
  </c:externalData>
</c:chartSpace>
</file>

<file path=word/charts/chart54.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ideWall>
    <c:backWall>
      <c:thickness val="0"/>
    </c:backWall>
    <c:plotArea>
      <c:layout>
        <c:manualLayout>
          <c:layoutTarget val="inner"/>
          <c:xMode val="edge"/>
          <c:yMode val="edge"/>
          <c:x val="0.42919313210848631"/>
          <c:y val="0.10106565633623502"/>
          <c:w val="0.47011242344706922"/>
          <c:h val="0.85455714445906039"/>
        </c:manualLayout>
      </c:layout>
      <c:bar3DChart>
        <c:barDir val="bar"/>
        <c:grouping val="clustered"/>
        <c:varyColors val="0"/>
        <c:ser>
          <c:idx val="0"/>
          <c:order val="0"/>
          <c:invertIfNegative val="0"/>
          <c:cat>
            <c:strRef>
              <c:f>Resumen!$B$37:$B$43</c:f>
              <c:strCache>
                <c:ptCount val="7"/>
                <c:pt idx="0">
                  <c:v>Desarrollo institucional</c:v>
                </c:pt>
                <c:pt idx="1">
                  <c:v>Cobertura con calidad</c:v>
                </c:pt>
                <c:pt idx="2">
                  <c:v>Bienestar institucional</c:v>
                </c:pt>
                <c:pt idx="3">
                  <c:v>Investigación, innovación y extensión</c:v>
                </c:pt>
                <c:pt idx="4">
                  <c:v>Internacionalización</c:v>
                </c:pt>
                <c:pt idx="5">
                  <c:v>Impacto regional</c:v>
                </c:pt>
                <c:pt idx="6">
                  <c:v>Alianzas estratégicas</c:v>
                </c:pt>
              </c:strCache>
            </c:strRef>
          </c:cat>
          <c:val>
            <c:numRef>
              <c:f>Resumen!$C$37:$C$43</c:f>
            </c:numRef>
          </c:val>
          <c:shape val="box"/>
        </c:ser>
        <c:ser>
          <c:idx val="1"/>
          <c:order val="1"/>
          <c:invertIfNegative val="0"/>
          <c:dPt>
            <c:idx val="0"/>
            <c:invertIfNegative val="0"/>
            <c:bubble3D val="0"/>
            <c:spPr>
              <a:gradFill>
                <a:gsLst>
                  <a:gs pos="0">
                    <a:srgbClr val="03D4A8"/>
                  </a:gs>
                  <a:gs pos="25000">
                    <a:srgbClr val="21D6E0"/>
                  </a:gs>
                  <a:gs pos="75000">
                    <a:srgbClr val="0087E6"/>
                  </a:gs>
                  <a:gs pos="100000">
                    <a:srgbClr val="005CBF"/>
                  </a:gs>
                </a:gsLst>
                <a:lin ang="5400000" scaled="0"/>
              </a:gradFill>
            </c:spPr>
          </c:dPt>
          <c:dPt>
            <c:idx val="1"/>
            <c:invertIfNegative val="0"/>
            <c:bubble3D val="0"/>
            <c:spPr>
              <a:gradFill rotWithShape="1">
                <a:gsLst>
                  <a:gs pos="0">
                    <a:schemeClr val="accent6">
                      <a:shade val="51000"/>
                      <a:satMod val="130000"/>
                    </a:schemeClr>
                  </a:gs>
                  <a:gs pos="80000">
                    <a:schemeClr val="accent6">
                      <a:shade val="93000"/>
                      <a:satMod val="130000"/>
                    </a:schemeClr>
                  </a:gs>
                  <a:gs pos="100000">
                    <a:schemeClr val="accent6">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2"/>
            <c:invertIfNegative val="0"/>
            <c:bubble3D val="0"/>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3"/>
            <c:invertIfNegative val="0"/>
            <c:bubble3D val="0"/>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4"/>
            <c:invertIfNegative val="0"/>
            <c:bubble3D val="0"/>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5"/>
            <c:invertIfNegative val="0"/>
            <c:bubble3D val="0"/>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Pt>
            <c:idx val="6"/>
            <c:invertIfNegative val="0"/>
            <c:bubble3D val="0"/>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dLbls>
            <c:txPr>
              <a:bodyPr/>
              <a:lstStyle/>
              <a:p>
                <a:pPr>
                  <a:defRPr b="1"/>
                </a:pPr>
                <a:endParaRPr lang="es-CO"/>
              </a:p>
            </c:txPr>
            <c:showLegendKey val="0"/>
            <c:showVal val="1"/>
            <c:showCatName val="0"/>
            <c:showSerName val="0"/>
            <c:showPercent val="0"/>
            <c:showBubbleSize val="0"/>
            <c:showLeaderLines val="0"/>
          </c:dLbls>
          <c:cat>
            <c:strRef>
              <c:f>Resumen!$B$37:$B$43</c:f>
              <c:strCache>
                <c:ptCount val="7"/>
                <c:pt idx="0">
                  <c:v>Desarrollo institucional</c:v>
                </c:pt>
                <c:pt idx="1">
                  <c:v>Cobertura con calidad</c:v>
                </c:pt>
                <c:pt idx="2">
                  <c:v>Bienestar institucional</c:v>
                </c:pt>
                <c:pt idx="3">
                  <c:v>Investigación, innovación y extensión</c:v>
                </c:pt>
                <c:pt idx="4">
                  <c:v>Internacionalización</c:v>
                </c:pt>
                <c:pt idx="5">
                  <c:v>Impacto regional</c:v>
                </c:pt>
                <c:pt idx="6">
                  <c:v>Alianzas estratégicas</c:v>
                </c:pt>
              </c:strCache>
            </c:strRef>
          </c:cat>
          <c:val>
            <c:numRef>
              <c:f>Resumen!$D$37:$D$43</c:f>
              <c:numCache>
                <c:formatCode>0.00%</c:formatCode>
                <c:ptCount val="7"/>
                <c:pt idx="0">
                  <c:v>0.9219562499999997</c:v>
                </c:pt>
                <c:pt idx="1">
                  <c:v>0.9684316666666668</c:v>
                </c:pt>
                <c:pt idx="2">
                  <c:v>0.9345500000000001</c:v>
                </c:pt>
                <c:pt idx="3">
                  <c:v>0.88829655224662951</c:v>
                </c:pt>
                <c:pt idx="4">
                  <c:v>0.99940476190476157</c:v>
                </c:pt>
                <c:pt idx="5">
                  <c:v>0.98484848484848508</c:v>
                </c:pt>
                <c:pt idx="6">
                  <c:v>0.98984571428571455</c:v>
                </c:pt>
              </c:numCache>
            </c:numRef>
          </c:val>
        </c:ser>
        <c:dLbls>
          <c:showLegendKey val="0"/>
          <c:showVal val="0"/>
          <c:showCatName val="0"/>
          <c:showSerName val="0"/>
          <c:showPercent val="0"/>
          <c:showBubbleSize val="0"/>
        </c:dLbls>
        <c:gapWidth val="150"/>
        <c:shape val="cylinder"/>
        <c:axId val="341975040"/>
        <c:axId val="346551360"/>
        <c:axId val="0"/>
      </c:bar3DChart>
      <c:catAx>
        <c:axId val="341975040"/>
        <c:scaling>
          <c:orientation val="maxMin"/>
        </c:scaling>
        <c:delete val="0"/>
        <c:axPos val="l"/>
        <c:majorTickMark val="out"/>
        <c:minorTickMark val="none"/>
        <c:tickLblPos val="nextTo"/>
        <c:txPr>
          <a:bodyPr/>
          <a:lstStyle/>
          <a:p>
            <a:pPr>
              <a:defRPr sz="900" b="1"/>
            </a:pPr>
            <a:endParaRPr lang="es-CO"/>
          </a:p>
        </c:txPr>
        <c:crossAx val="346551360"/>
        <c:crosses val="autoZero"/>
        <c:auto val="1"/>
        <c:lblAlgn val="ctr"/>
        <c:lblOffset val="100"/>
        <c:noMultiLvlLbl val="0"/>
      </c:catAx>
      <c:valAx>
        <c:axId val="346551360"/>
        <c:scaling>
          <c:orientation val="minMax"/>
          <c:max val="1"/>
          <c:min val="0.5"/>
        </c:scaling>
        <c:delete val="0"/>
        <c:axPos val="t"/>
        <c:majorGridlines/>
        <c:numFmt formatCode="0%" sourceLinked="0"/>
        <c:majorTickMark val="out"/>
        <c:minorTickMark val="none"/>
        <c:tickLblPos val="nextTo"/>
        <c:txPr>
          <a:bodyPr/>
          <a:lstStyle/>
          <a:p>
            <a:pPr>
              <a:defRPr b="1"/>
            </a:pPr>
            <a:endParaRPr lang="es-CO"/>
          </a:p>
        </c:txPr>
        <c:crossAx val="341975040"/>
        <c:crosses val="autoZero"/>
        <c:crossBetween val="between"/>
      </c:valAx>
    </c:plotArea>
    <c:plotVisOnly val="1"/>
    <c:dispBlanksAs val="gap"/>
    <c:showDLblsOverMax val="0"/>
  </c:chart>
  <c:spPr>
    <a:ln>
      <a:noFill/>
    </a:ln>
  </c:spPr>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3CC70BF-1D31-4DCA-8FFA-7C66F053FC45}" type="doc">
      <dgm:prSet loTypeId="urn:microsoft.com/office/officeart/2005/8/layout/radial1" loCatId="cycle" qsTypeId="urn:microsoft.com/office/officeart/2005/8/quickstyle/3d3" qsCatId="3D" csTypeId="urn:microsoft.com/office/officeart/2005/8/colors/accent1_2" csCatId="accent1" phldr="1"/>
      <dgm:spPr/>
      <dgm:t>
        <a:bodyPr/>
        <a:lstStyle/>
        <a:p>
          <a:endParaRPr lang="es-CO"/>
        </a:p>
      </dgm:t>
    </dgm:pt>
    <dgm:pt modelId="{8943D5EC-0328-404F-B0F6-C38DD5AA1083}">
      <dgm:prSet phldrT="[Texto]" custT="1"/>
      <dgm:spPr/>
      <dgm:t>
        <a:bodyPr/>
        <a:lstStyle/>
        <a:p>
          <a:r>
            <a:rPr lang="es-CO" sz="1100" b="1"/>
            <a:t>GESTIÓN AMBIENTAL UNIVERSITARIA</a:t>
          </a:r>
        </a:p>
      </dgm:t>
    </dgm:pt>
    <dgm:pt modelId="{DE4222A0-866C-4722-81D2-47F2A3A92CDC}" type="parTrans" cxnId="{58589B8A-EB3F-4705-BC17-6A8F47A92231}">
      <dgm:prSet/>
      <dgm:spPr/>
      <dgm:t>
        <a:bodyPr/>
        <a:lstStyle/>
        <a:p>
          <a:endParaRPr lang="es-CO"/>
        </a:p>
      </dgm:t>
    </dgm:pt>
    <dgm:pt modelId="{CB368499-7AFB-4342-BA01-7B011A59258D}" type="sibTrans" cxnId="{58589B8A-EB3F-4705-BC17-6A8F47A92231}">
      <dgm:prSet/>
      <dgm:spPr/>
      <dgm:t>
        <a:bodyPr/>
        <a:lstStyle/>
        <a:p>
          <a:endParaRPr lang="es-CO"/>
        </a:p>
      </dgm:t>
    </dgm:pt>
    <dgm:pt modelId="{DA2F1948-B8B0-481B-8DE5-062D0FC8B7A0}">
      <dgm:prSet phldrT="[Texto]" custT="1"/>
      <dgm:spPr/>
      <dgm:t>
        <a:bodyPr/>
        <a:lstStyle/>
        <a:p>
          <a:r>
            <a:rPr lang="es-CO" sz="1100">
              <a:solidFill>
                <a:schemeClr val="bg1"/>
              </a:solidFill>
            </a:rPr>
            <a:t>Totalidad d</a:t>
          </a:r>
          <a:r>
            <a:rPr lang="es-CO" sz="1100"/>
            <a:t>e los Bosques en conservación ambiental</a:t>
          </a:r>
        </a:p>
      </dgm:t>
    </dgm:pt>
    <dgm:pt modelId="{FD7B5179-EE18-4C4D-951D-629237C0AC22}" type="parTrans" cxnId="{1C6751EC-F48B-448F-AB15-6AD30E8474EF}">
      <dgm:prSet/>
      <dgm:spPr/>
      <dgm:t>
        <a:bodyPr/>
        <a:lstStyle/>
        <a:p>
          <a:endParaRPr lang="es-CO"/>
        </a:p>
      </dgm:t>
    </dgm:pt>
    <dgm:pt modelId="{CE38F2EC-DAC7-4BD7-A72B-DE2432133D80}" type="sibTrans" cxnId="{1C6751EC-F48B-448F-AB15-6AD30E8474EF}">
      <dgm:prSet/>
      <dgm:spPr/>
      <dgm:t>
        <a:bodyPr/>
        <a:lstStyle/>
        <a:p>
          <a:endParaRPr lang="es-CO"/>
        </a:p>
      </dgm:t>
    </dgm:pt>
    <dgm:pt modelId="{3528A384-215A-4288-A9E2-0A93A6AF0930}">
      <dgm:prSet phldrT="[Texto]" custT="1"/>
      <dgm:spPr/>
      <dgm:t>
        <a:bodyPr/>
        <a:lstStyle/>
        <a:p>
          <a:r>
            <a:rPr lang="es-CO" sz="900"/>
            <a:t>402 especies  </a:t>
          </a:r>
          <a:r>
            <a:rPr lang="es-CO" sz="900">
              <a:solidFill>
                <a:schemeClr val="bg1"/>
              </a:solidFill>
            </a:rPr>
            <a:t>de valor ecologico y/o en via de extición </a:t>
          </a:r>
          <a:r>
            <a:rPr lang="es-CO" sz="900"/>
            <a:t>en conservación</a:t>
          </a:r>
        </a:p>
      </dgm:t>
    </dgm:pt>
    <dgm:pt modelId="{2D05A414-A81E-42BB-90EC-8AE3D08AC45B}" type="parTrans" cxnId="{C0B59C7A-FD3B-4AC7-90FD-DED0E95388B3}">
      <dgm:prSet/>
      <dgm:spPr/>
      <dgm:t>
        <a:bodyPr/>
        <a:lstStyle/>
        <a:p>
          <a:endParaRPr lang="es-CO"/>
        </a:p>
      </dgm:t>
    </dgm:pt>
    <dgm:pt modelId="{AA2C7AAC-0E0E-4D59-B6BD-89F2BFDE342A}" type="sibTrans" cxnId="{C0B59C7A-FD3B-4AC7-90FD-DED0E95388B3}">
      <dgm:prSet/>
      <dgm:spPr/>
      <dgm:t>
        <a:bodyPr/>
        <a:lstStyle/>
        <a:p>
          <a:endParaRPr lang="es-CO"/>
        </a:p>
      </dgm:t>
    </dgm:pt>
    <dgm:pt modelId="{852DF5EA-A403-4F5A-A09B-60003E736CBB}">
      <dgm:prSet phldrT="[Texto]" custT="1"/>
      <dgm:spPr/>
      <dgm:t>
        <a:bodyPr/>
        <a:lstStyle/>
        <a:p>
          <a:r>
            <a:rPr lang="es-CO" sz="1000"/>
            <a:t>Docentes (planta, transitorios y catedráticos) capacitados y sensibilizados</a:t>
          </a:r>
        </a:p>
      </dgm:t>
    </dgm:pt>
    <dgm:pt modelId="{B47E1048-5D1E-478C-A19C-D5612987957B}" type="parTrans" cxnId="{B665BC8F-27A0-4269-AE44-7AA1E36B16C9}">
      <dgm:prSet/>
      <dgm:spPr/>
      <dgm:t>
        <a:bodyPr/>
        <a:lstStyle/>
        <a:p>
          <a:endParaRPr lang="es-CO"/>
        </a:p>
      </dgm:t>
    </dgm:pt>
    <dgm:pt modelId="{6E5B88D2-1A90-4E8B-9F8C-B9FF96B217CA}" type="sibTrans" cxnId="{B665BC8F-27A0-4269-AE44-7AA1E36B16C9}">
      <dgm:prSet/>
      <dgm:spPr/>
      <dgm:t>
        <a:bodyPr/>
        <a:lstStyle/>
        <a:p>
          <a:endParaRPr lang="es-CO"/>
        </a:p>
      </dgm:t>
    </dgm:pt>
    <dgm:pt modelId="{6A43E0ED-5FA5-42D1-8651-84B984144EC7}">
      <dgm:prSet phldrT="[Texto]" custT="1"/>
      <dgm:spPr/>
      <dgm:t>
        <a:bodyPr/>
        <a:lstStyle/>
        <a:p>
          <a:r>
            <a:rPr lang="es-CO" sz="1000"/>
            <a:t>Aprovechamiento de 10.607kg de materia reciclado </a:t>
          </a:r>
        </a:p>
      </dgm:t>
    </dgm:pt>
    <dgm:pt modelId="{16417E58-9C35-43FC-81B2-5CCD5DF46D87}" type="parTrans" cxnId="{0777740D-D803-4B5B-9E9A-AC2C205059CB}">
      <dgm:prSet/>
      <dgm:spPr/>
      <dgm:t>
        <a:bodyPr/>
        <a:lstStyle/>
        <a:p>
          <a:endParaRPr lang="es-CO"/>
        </a:p>
      </dgm:t>
    </dgm:pt>
    <dgm:pt modelId="{25D7818E-1936-432D-B039-1796DD4EB87E}" type="sibTrans" cxnId="{0777740D-D803-4B5B-9E9A-AC2C205059CB}">
      <dgm:prSet/>
      <dgm:spPr/>
      <dgm:t>
        <a:bodyPr/>
        <a:lstStyle/>
        <a:p>
          <a:endParaRPr lang="es-CO"/>
        </a:p>
      </dgm:t>
    </dgm:pt>
    <dgm:pt modelId="{B6336DBC-1A13-428D-B5BE-84C6E76DF998}" type="pres">
      <dgm:prSet presAssocID="{23CC70BF-1D31-4DCA-8FFA-7C66F053FC45}" presName="cycle" presStyleCnt="0">
        <dgm:presLayoutVars>
          <dgm:chMax val="1"/>
          <dgm:dir/>
          <dgm:animLvl val="ctr"/>
          <dgm:resizeHandles val="exact"/>
        </dgm:presLayoutVars>
      </dgm:prSet>
      <dgm:spPr/>
      <dgm:t>
        <a:bodyPr/>
        <a:lstStyle/>
        <a:p>
          <a:endParaRPr lang="es-CO"/>
        </a:p>
      </dgm:t>
    </dgm:pt>
    <dgm:pt modelId="{A929FBA8-EECB-4D76-867C-5A838D7D3814}" type="pres">
      <dgm:prSet presAssocID="{8943D5EC-0328-404F-B0F6-C38DD5AA1083}" presName="centerShape" presStyleLbl="node0" presStyleIdx="0" presStyleCnt="1" custScaleX="166475" custLinFactNeighborX="-415" custLinFactNeighborY="415"/>
      <dgm:spPr/>
      <dgm:t>
        <a:bodyPr/>
        <a:lstStyle/>
        <a:p>
          <a:endParaRPr lang="es-CO"/>
        </a:p>
      </dgm:t>
    </dgm:pt>
    <dgm:pt modelId="{F2491910-B651-4E44-ADC4-6E21E66ECEE7}" type="pres">
      <dgm:prSet presAssocID="{FD7B5179-EE18-4C4D-951D-629237C0AC22}" presName="Name9" presStyleLbl="parChTrans1D2" presStyleIdx="0" presStyleCnt="4"/>
      <dgm:spPr/>
      <dgm:t>
        <a:bodyPr/>
        <a:lstStyle/>
        <a:p>
          <a:endParaRPr lang="es-CO"/>
        </a:p>
      </dgm:t>
    </dgm:pt>
    <dgm:pt modelId="{76EFAA0E-1F76-4F5E-BBE0-7AAB8BCB7B4A}" type="pres">
      <dgm:prSet presAssocID="{FD7B5179-EE18-4C4D-951D-629237C0AC22}" presName="connTx" presStyleLbl="parChTrans1D2" presStyleIdx="0" presStyleCnt="4"/>
      <dgm:spPr/>
      <dgm:t>
        <a:bodyPr/>
        <a:lstStyle/>
        <a:p>
          <a:endParaRPr lang="es-CO"/>
        </a:p>
      </dgm:t>
    </dgm:pt>
    <dgm:pt modelId="{76A09AE8-24E4-454F-86D9-5D752D48490F}" type="pres">
      <dgm:prSet presAssocID="{DA2F1948-B8B0-481B-8DE5-062D0FC8B7A0}" presName="node" presStyleLbl="node1" presStyleIdx="0" presStyleCnt="4" custScaleX="173365" custScaleY="102925">
        <dgm:presLayoutVars>
          <dgm:bulletEnabled val="1"/>
        </dgm:presLayoutVars>
      </dgm:prSet>
      <dgm:spPr/>
      <dgm:t>
        <a:bodyPr/>
        <a:lstStyle/>
        <a:p>
          <a:endParaRPr lang="es-CO"/>
        </a:p>
      </dgm:t>
    </dgm:pt>
    <dgm:pt modelId="{37C0A485-341B-4624-A15D-D1B6FC88CD86}" type="pres">
      <dgm:prSet presAssocID="{2D05A414-A81E-42BB-90EC-8AE3D08AC45B}" presName="Name9" presStyleLbl="parChTrans1D2" presStyleIdx="1" presStyleCnt="4"/>
      <dgm:spPr/>
      <dgm:t>
        <a:bodyPr/>
        <a:lstStyle/>
        <a:p>
          <a:endParaRPr lang="es-CO"/>
        </a:p>
      </dgm:t>
    </dgm:pt>
    <dgm:pt modelId="{C73C9A21-27B1-4F27-BBB4-332CC908DB15}" type="pres">
      <dgm:prSet presAssocID="{2D05A414-A81E-42BB-90EC-8AE3D08AC45B}" presName="connTx" presStyleLbl="parChTrans1D2" presStyleIdx="1" presStyleCnt="4"/>
      <dgm:spPr/>
      <dgm:t>
        <a:bodyPr/>
        <a:lstStyle/>
        <a:p>
          <a:endParaRPr lang="es-CO"/>
        </a:p>
      </dgm:t>
    </dgm:pt>
    <dgm:pt modelId="{4A884F8A-C797-4803-B4DA-E8F7287123C1}" type="pres">
      <dgm:prSet presAssocID="{3528A384-215A-4288-A9E2-0A93A6AF0930}" presName="node" presStyleLbl="node1" presStyleIdx="1" presStyleCnt="4" custScaleX="160770" custScaleY="101617" custRadScaleRad="143193" custRadScaleInc="1">
        <dgm:presLayoutVars>
          <dgm:bulletEnabled val="1"/>
        </dgm:presLayoutVars>
      </dgm:prSet>
      <dgm:spPr/>
      <dgm:t>
        <a:bodyPr/>
        <a:lstStyle/>
        <a:p>
          <a:endParaRPr lang="es-CO"/>
        </a:p>
      </dgm:t>
    </dgm:pt>
    <dgm:pt modelId="{E4EF0F16-7A04-43D8-B5D6-5BDDF7992D5B}" type="pres">
      <dgm:prSet presAssocID="{B47E1048-5D1E-478C-A19C-D5612987957B}" presName="Name9" presStyleLbl="parChTrans1D2" presStyleIdx="2" presStyleCnt="4"/>
      <dgm:spPr/>
      <dgm:t>
        <a:bodyPr/>
        <a:lstStyle/>
        <a:p>
          <a:endParaRPr lang="es-CO"/>
        </a:p>
      </dgm:t>
    </dgm:pt>
    <dgm:pt modelId="{8B58F0F5-2032-4479-952C-6DA9EF785929}" type="pres">
      <dgm:prSet presAssocID="{B47E1048-5D1E-478C-A19C-D5612987957B}" presName="connTx" presStyleLbl="parChTrans1D2" presStyleIdx="2" presStyleCnt="4"/>
      <dgm:spPr/>
      <dgm:t>
        <a:bodyPr/>
        <a:lstStyle/>
        <a:p>
          <a:endParaRPr lang="es-CO"/>
        </a:p>
      </dgm:t>
    </dgm:pt>
    <dgm:pt modelId="{2282DD0D-F361-4562-B25E-CC466A3A55EC}" type="pres">
      <dgm:prSet presAssocID="{852DF5EA-A403-4F5A-A09B-60003E736CBB}" presName="node" presStyleLbl="node1" presStyleIdx="2" presStyleCnt="4" custScaleX="171621">
        <dgm:presLayoutVars>
          <dgm:bulletEnabled val="1"/>
        </dgm:presLayoutVars>
      </dgm:prSet>
      <dgm:spPr/>
      <dgm:t>
        <a:bodyPr/>
        <a:lstStyle/>
        <a:p>
          <a:endParaRPr lang="es-CO"/>
        </a:p>
      </dgm:t>
    </dgm:pt>
    <dgm:pt modelId="{C95E7FD3-2BD2-44BB-8D6C-A488252096E0}" type="pres">
      <dgm:prSet presAssocID="{16417E58-9C35-43FC-81B2-5CCD5DF46D87}" presName="Name9" presStyleLbl="parChTrans1D2" presStyleIdx="3" presStyleCnt="4"/>
      <dgm:spPr/>
      <dgm:t>
        <a:bodyPr/>
        <a:lstStyle/>
        <a:p>
          <a:endParaRPr lang="es-CO"/>
        </a:p>
      </dgm:t>
    </dgm:pt>
    <dgm:pt modelId="{13B7680E-D8A1-46B0-A2DC-63138242BEF0}" type="pres">
      <dgm:prSet presAssocID="{16417E58-9C35-43FC-81B2-5CCD5DF46D87}" presName="connTx" presStyleLbl="parChTrans1D2" presStyleIdx="3" presStyleCnt="4"/>
      <dgm:spPr/>
      <dgm:t>
        <a:bodyPr/>
        <a:lstStyle/>
        <a:p>
          <a:endParaRPr lang="es-CO"/>
        </a:p>
      </dgm:t>
    </dgm:pt>
    <dgm:pt modelId="{CE6493EA-217B-465E-9295-E6B50F9C388E}" type="pres">
      <dgm:prSet presAssocID="{6A43E0ED-5FA5-42D1-8651-84B984144EC7}" presName="node" presStyleLbl="node1" presStyleIdx="3" presStyleCnt="4" custScaleX="158089" custScaleY="108102" custRadScaleRad="149010" custRadScaleInc="-710">
        <dgm:presLayoutVars>
          <dgm:bulletEnabled val="1"/>
        </dgm:presLayoutVars>
      </dgm:prSet>
      <dgm:spPr/>
      <dgm:t>
        <a:bodyPr/>
        <a:lstStyle/>
        <a:p>
          <a:endParaRPr lang="es-CO"/>
        </a:p>
      </dgm:t>
    </dgm:pt>
  </dgm:ptLst>
  <dgm:cxnLst>
    <dgm:cxn modelId="{1C6751EC-F48B-448F-AB15-6AD30E8474EF}" srcId="{8943D5EC-0328-404F-B0F6-C38DD5AA1083}" destId="{DA2F1948-B8B0-481B-8DE5-062D0FC8B7A0}" srcOrd="0" destOrd="0" parTransId="{FD7B5179-EE18-4C4D-951D-629237C0AC22}" sibTransId="{CE38F2EC-DAC7-4BD7-A72B-DE2432133D80}"/>
    <dgm:cxn modelId="{37F3F153-C551-4F10-B608-2F98FC51451B}" type="presOf" srcId="{6A43E0ED-5FA5-42D1-8651-84B984144EC7}" destId="{CE6493EA-217B-465E-9295-E6B50F9C388E}" srcOrd="0" destOrd="0" presId="urn:microsoft.com/office/officeart/2005/8/layout/radial1"/>
    <dgm:cxn modelId="{B665BC8F-27A0-4269-AE44-7AA1E36B16C9}" srcId="{8943D5EC-0328-404F-B0F6-C38DD5AA1083}" destId="{852DF5EA-A403-4F5A-A09B-60003E736CBB}" srcOrd="2" destOrd="0" parTransId="{B47E1048-5D1E-478C-A19C-D5612987957B}" sibTransId="{6E5B88D2-1A90-4E8B-9F8C-B9FF96B217CA}"/>
    <dgm:cxn modelId="{F5AD84A2-9F5E-4F01-970C-F008EE740CF6}" type="presOf" srcId="{2D05A414-A81E-42BB-90EC-8AE3D08AC45B}" destId="{37C0A485-341B-4624-A15D-D1B6FC88CD86}" srcOrd="0" destOrd="0" presId="urn:microsoft.com/office/officeart/2005/8/layout/radial1"/>
    <dgm:cxn modelId="{E118FFC9-3DD6-47C4-9727-B7FEDBC8AD66}" type="presOf" srcId="{DA2F1948-B8B0-481B-8DE5-062D0FC8B7A0}" destId="{76A09AE8-24E4-454F-86D9-5D752D48490F}" srcOrd="0" destOrd="0" presId="urn:microsoft.com/office/officeart/2005/8/layout/radial1"/>
    <dgm:cxn modelId="{6B9F9791-9D69-4851-AD34-F11C89058E80}" type="presOf" srcId="{B47E1048-5D1E-478C-A19C-D5612987957B}" destId="{8B58F0F5-2032-4479-952C-6DA9EF785929}" srcOrd="1" destOrd="0" presId="urn:microsoft.com/office/officeart/2005/8/layout/radial1"/>
    <dgm:cxn modelId="{1EF4A77F-5D92-40BA-8624-9A0FF5B157BF}" type="presOf" srcId="{23CC70BF-1D31-4DCA-8FFA-7C66F053FC45}" destId="{B6336DBC-1A13-428D-B5BE-84C6E76DF998}" srcOrd="0" destOrd="0" presId="urn:microsoft.com/office/officeart/2005/8/layout/radial1"/>
    <dgm:cxn modelId="{F3907649-105E-4FA3-868C-3AAD833AB054}" type="presOf" srcId="{2D05A414-A81E-42BB-90EC-8AE3D08AC45B}" destId="{C73C9A21-27B1-4F27-BBB4-332CC908DB15}" srcOrd="1" destOrd="0" presId="urn:microsoft.com/office/officeart/2005/8/layout/radial1"/>
    <dgm:cxn modelId="{537D0670-2757-432A-9E86-86EB695DDB38}" type="presOf" srcId="{852DF5EA-A403-4F5A-A09B-60003E736CBB}" destId="{2282DD0D-F361-4562-B25E-CC466A3A55EC}" srcOrd="0" destOrd="0" presId="urn:microsoft.com/office/officeart/2005/8/layout/radial1"/>
    <dgm:cxn modelId="{EBEF7718-29D8-46FC-A379-E22BB0F1C4D7}" type="presOf" srcId="{3528A384-215A-4288-A9E2-0A93A6AF0930}" destId="{4A884F8A-C797-4803-B4DA-E8F7287123C1}" srcOrd="0" destOrd="0" presId="urn:microsoft.com/office/officeart/2005/8/layout/radial1"/>
    <dgm:cxn modelId="{BA2D08BB-7C18-494E-A706-59E4C56C352A}" type="presOf" srcId="{16417E58-9C35-43FC-81B2-5CCD5DF46D87}" destId="{13B7680E-D8A1-46B0-A2DC-63138242BEF0}" srcOrd="1" destOrd="0" presId="urn:microsoft.com/office/officeart/2005/8/layout/radial1"/>
    <dgm:cxn modelId="{83E203AF-6D16-45E8-82B5-5ECFFC9E453C}" type="presOf" srcId="{16417E58-9C35-43FC-81B2-5CCD5DF46D87}" destId="{C95E7FD3-2BD2-44BB-8D6C-A488252096E0}" srcOrd="0" destOrd="0" presId="urn:microsoft.com/office/officeart/2005/8/layout/radial1"/>
    <dgm:cxn modelId="{0777740D-D803-4B5B-9E9A-AC2C205059CB}" srcId="{8943D5EC-0328-404F-B0F6-C38DD5AA1083}" destId="{6A43E0ED-5FA5-42D1-8651-84B984144EC7}" srcOrd="3" destOrd="0" parTransId="{16417E58-9C35-43FC-81B2-5CCD5DF46D87}" sibTransId="{25D7818E-1936-432D-B039-1796DD4EB87E}"/>
    <dgm:cxn modelId="{C0B59C7A-FD3B-4AC7-90FD-DED0E95388B3}" srcId="{8943D5EC-0328-404F-B0F6-C38DD5AA1083}" destId="{3528A384-215A-4288-A9E2-0A93A6AF0930}" srcOrd="1" destOrd="0" parTransId="{2D05A414-A81E-42BB-90EC-8AE3D08AC45B}" sibTransId="{AA2C7AAC-0E0E-4D59-B6BD-89F2BFDE342A}"/>
    <dgm:cxn modelId="{A1234BFF-AE2C-45DB-A86B-D2A889E93656}" type="presOf" srcId="{FD7B5179-EE18-4C4D-951D-629237C0AC22}" destId="{F2491910-B651-4E44-ADC4-6E21E66ECEE7}" srcOrd="0" destOrd="0" presId="urn:microsoft.com/office/officeart/2005/8/layout/radial1"/>
    <dgm:cxn modelId="{20756037-A1A2-4949-911F-54C834A58A21}" type="presOf" srcId="{B47E1048-5D1E-478C-A19C-D5612987957B}" destId="{E4EF0F16-7A04-43D8-B5D6-5BDDF7992D5B}" srcOrd="0" destOrd="0" presId="urn:microsoft.com/office/officeart/2005/8/layout/radial1"/>
    <dgm:cxn modelId="{55DDF511-17DD-4725-831F-E0869729F815}" type="presOf" srcId="{8943D5EC-0328-404F-B0F6-C38DD5AA1083}" destId="{A929FBA8-EECB-4D76-867C-5A838D7D3814}" srcOrd="0" destOrd="0" presId="urn:microsoft.com/office/officeart/2005/8/layout/radial1"/>
    <dgm:cxn modelId="{BDD81729-EF44-47E7-8069-109D40580C44}" type="presOf" srcId="{FD7B5179-EE18-4C4D-951D-629237C0AC22}" destId="{76EFAA0E-1F76-4F5E-BBE0-7AAB8BCB7B4A}" srcOrd="1" destOrd="0" presId="urn:microsoft.com/office/officeart/2005/8/layout/radial1"/>
    <dgm:cxn modelId="{58589B8A-EB3F-4705-BC17-6A8F47A92231}" srcId="{23CC70BF-1D31-4DCA-8FFA-7C66F053FC45}" destId="{8943D5EC-0328-404F-B0F6-C38DD5AA1083}" srcOrd="0" destOrd="0" parTransId="{DE4222A0-866C-4722-81D2-47F2A3A92CDC}" sibTransId="{CB368499-7AFB-4342-BA01-7B011A59258D}"/>
    <dgm:cxn modelId="{CCF14FE9-187E-4C73-B9E2-05B3418DF9C7}" type="presParOf" srcId="{B6336DBC-1A13-428D-B5BE-84C6E76DF998}" destId="{A929FBA8-EECB-4D76-867C-5A838D7D3814}" srcOrd="0" destOrd="0" presId="urn:microsoft.com/office/officeart/2005/8/layout/radial1"/>
    <dgm:cxn modelId="{4B015D46-8E95-4295-A7A9-0B112897ECA1}" type="presParOf" srcId="{B6336DBC-1A13-428D-B5BE-84C6E76DF998}" destId="{F2491910-B651-4E44-ADC4-6E21E66ECEE7}" srcOrd="1" destOrd="0" presId="urn:microsoft.com/office/officeart/2005/8/layout/radial1"/>
    <dgm:cxn modelId="{5A3B7FCE-19D4-430B-B78B-F19B54DF4B1F}" type="presParOf" srcId="{F2491910-B651-4E44-ADC4-6E21E66ECEE7}" destId="{76EFAA0E-1F76-4F5E-BBE0-7AAB8BCB7B4A}" srcOrd="0" destOrd="0" presId="urn:microsoft.com/office/officeart/2005/8/layout/radial1"/>
    <dgm:cxn modelId="{E1B03995-FBED-4547-9114-D7C2DE1706E4}" type="presParOf" srcId="{B6336DBC-1A13-428D-B5BE-84C6E76DF998}" destId="{76A09AE8-24E4-454F-86D9-5D752D48490F}" srcOrd="2" destOrd="0" presId="urn:microsoft.com/office/officeart/2005/8/layout/radial1"/>
    <dgm:cxn modelId="{5EEFF780-8A9C-4C57-B0DE-62C8DE6AA66A}" type="presParOf" srcId="{B6336DBC-1A13-428D-B5BE-84C6E76DF998}" destId="{37C0A485-341B-4624-A15D-D1B6FC88CD86}" srcOrd="3" destOrd="0" presId="urn:microsoft.com/office/officeart/2005/8/layout/radial1"/>
    <dgm:cxn modelId="{8794A02C-4772-4D43-BC20-11347C441468}" type="presParOf" srcId="{37C0A485-341B-4624-A15D-D1B6FC88CD86}" destId="{C73C9A21-27B1-4F27-BBB4-332CC908DB15}" srcOrd="0" destOrd="0" presId="urn:microsoft.com/office/officeart/2005/8/layout/radial1"/>
    <dgm:cxn modelId="{D5CBB846-F1D8-4095-9A12-BEC3632F7AB6}" type="presParOf" srcId="{B6336DBC-1A13-428D-B5BE-84C6E76DF998}" destId="{4A884F8A-C797-4803-B4DA-E8F7287123C1}" srcOrd="4" destOrd="0" presId="urn:microsoft.com/office/officeart/2005/8/layout/radial1"/>
    <dgm:cxn modelId="{71AE719C-97BD-4D6F-9573-74C41F4A6A73}" type="presParOf" srcId="{B6336DBC-1A13-428D-B5BE-84C6E76DF998}" destId="{E4EF0F16-7A04-43D8-B5D6-5BDDF7992D5B}" srcOrd="5" destOrd="0" presId="urn:microsoft.com/office/officeart/2005/8/layout/radial1"/>
    <dgm:cxn modelId="{5DE96784-1F0F-4556-81AE-BABD5924175A}" type="presParOf" srcId="{E4EF0F16-7A04-43D8-B5D6-5BDDF7992D5B}" destId="{8B58F0F5-2032-4479-952C-6DA9EF785929}" srcOrd="0" destOrd="0" presId="urn:microsoft.com/office/officeart/2005/8/layout/radial1"/>
    <dgm:cxn modelId="{6A2AF803-95F0-4788-9155-00221548524E}" type="presParOf" srcId="{B6336DBC-1A13-428D-B5BE-84C6E76DF998}" destId="{2282DD0D-F361-4562-B25E-CC466A3A55EC}" srcOrd="6" destOrd="0" presId="urn:microsoft.com/office/officeart/2005/8/layout/radial1"/>
    <dgm:cxn modelId="{08711E3C-07C9-4BF4-A861-8251EBDDCB03}" type="presParOf" srcId="{B6336DBC-1A13-428D-B5BE-84C6E76DF998}" destId="{C95E7FD3-2BD2-44BB-8D6C-A488252096E0}" srcOrd="7" destOrd="0" presId="urn:microsoft.com/office/officeart/2005/8/layout/radial1"/>
    <dgm:cxn modelId="{1220DD4E-B440-4163-8891-D1E5A629F6F4}" type="presParOf" srcId="{C95E7FD3-2BD2-44BB-8D6C-A488252096E0}" destId="{13B7680E-D8A1-46B0-A2DC-63138242BEF0}" srcOrd="0" destOrd="0" presId="urn:microsoft.com/office/officeart/2005/8/layout/radial1"/>
    <dgm:cxn modelId="{15DE6538-6E1C-4F1A-86A2-8CDF4887758D}" type="presParOf" srcId="{B6336DBC-1A13-428D-B5BE-84C6E76DF998}" destId="{CE6493EA-217B-465E-9295-E6B50F9C388E}" srcOrd="8" destOrd="0" presId="urn:microsoft.com/office/officeart/2005/8/layout/radial1"/>
  </dgm:cxnLst>
  <dgm:bg/>
  <dgm:whole/>
  <dgm:extLst>
    <a:ext uri="http://schemas.microsoft.com/office/drawing/2008/diagram">
      <dsp:dataModelExt xmlns:dsp="http://schemas.microsoft.com/office/drawing/2008/diagram" relId="rId3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CB6CCC1-301B-432D-B0F6-738C5E263309}" type="doc">
      <dgm:prSet loTypeId="urn:microsoft.com/office/officeart/2005/8/layout/chevron2" loCatId="list" qsTypeId="urn:microsoft.com/office/officeart/2005/8/quickstyle/simple1" qsCatId="simple" csTypeId="urn:microsoft.com/office/officeart/2005/8/colors/accent1_2" csCatId="accent1" phldr="1"/>
      <dgm:spPr/>
      <dgm:t>
        <a:bodyPr/>
        <a:lstStyle/>
        <a:p>
          <a:endParaRPr lang="es-ES"/>
        </a:p>
      </dgm:t>
    </dgm:pt>
    <dgm:pt modelId="{0035923F-CFCE-4BD5-B37A-40E7FE77AC90}">
      <dgm:prSet phldrT="[Texto]" custT="1"/>
      <dgm:spPr>
        <a:ln>
          <a:solidFill>
            <a:schemeClr val="accent1">
              <a:hueOff val="0"/>
              <a:satOff val="0"/>
              <a:lumOff val="0"/>
            </a:schemeClr>
          </a:solidFill>
        </a:ln>
      </dgm:spPr>
      <dgm:t>
        <a:bodyPr/>
        <a:lstStyle/>
        <a:p>
          <a:endParaRPr lang="es-CO" sz="1050" b="1" dirty="0" smtClean="0">
            <a:solidFill>
              <a:schemeClr val="bg1"/>
            </a:solidFill>
          </a:endParaRPr>
        </a:p>
        <a:p>
          <a:r>
            <a:rPr lang="es-CO" sz="1050" b="1" dirty="0" smtClean="0">
              <a:solidFill>
                <a:sysClr val="windowText" lastClr="000000"/>
              </a:solidFill>
            </a:rPr>
            <a:t>Organización y alistamiento</a:t>
          </a:r>
          <a:endParaRPr lang="es-ES" sz="1050" b="1" dirty="0">
            <a:solidFill>
              <a:sysClr val="windowText" lastClr="000000"/>
            </a:solidFill>
          </a:endParaRPr>
        </a:p>
      </dgm:t>
    </dgm:pt>
    <dgm:pt modelId="{5254E1C3-2804-4AA8-8E3C-3863B5D49B67}" type="parTrans" cxnId="{9EBE3740-5720-4C22-99F6-4EF0E3BBC34D}">
      <dgm:prSet/>
      <dgm:spPr/>
      <dgm:t>
        <a:bodyPr/>
        <a:lstStyle/>
        <a:p>
          <a:endParaRPr lang="es-ES"/>
        </a:p>
      </dgm:t>
    </dgm:pt>
    <dgm:pt modelId="{2C21BC37-1347-4B62-AE97-B203EC6698B0}" type="sibTrans" cxnId="{9EBE3740-5720-4C22-99F6-4EF0E3BBC34D}">
      <dgm:prSet/>
      <dgm:spPr/>
      <dgm:t>
        <a:bodyPr/>
        <a:lstStyle/>
        <a:p>
          <a:endParaRPr lang="es-ES"/>
        </a:p>
      </dgm:t>
    </dgm:pt>
    <dgm:pt modelId="{8EDB41A8-422F-421E-9EA7-11A0DD5925C0}">
      <dgm:prSet phldrT="[Texto]" custT="1"/>
      <dgm:spPr/>
      <dgm:t>
        <a:bodyPr/>
        <a:lstStyle/>
        <a:p>
          <a:r>
            <a:rPr lang="es-CO" sz="1200" dirty="0" smtClean="0"/>
            <a:t>Implementación modelo</a:t>
          </a:r>
          <a:endParaRPr lang="es-ES" sz="1200" dirty="0"/>
        </a:p>
      </dgm:t>
    </dgm:pt>
    <dgm:pt modelId="{03DCF980-4D4C-4D1B-9731-D71B2577B3FA}" type="parTrans" cxnId="{83196BB3-1DBC-4D7C-8C98-9298D67B40C7}">
      <dgm:prSet/>
      <dgm:spPr/>
      <dgm:t>
        <a:bodyPr/>
        <a:lstStyle/>
        <a:p>
          <a:endParaRPr lang="es-ES"/>
        </a:p>
      </dgm:t>
    </dgm:pt>
    <dgm:pt modelId="{C5C914AA-3796-41F2-81F4-E8410FFFEC7C}" type="sibTrans" cxnId="{83196BB3-1DBC-4D7C-8C98-9298D67B40C7}">
      <dgm:prSet/>
      <dgm:spPr/>
      <dgm:t>
        <a:bodyPr/>
        <a:lstStyle/>
        <a:p>
          <a:endParaRPr lang="es-ES"/>
        </a:p>
      </dgm:t>
    </dgm:pt>
    <dgm:pt modelId="{96EA7382-AFFF-4538-939F-A03F77431EF4}">
      <dgm:prSet phldrT="[Texto]" custT="1"/>
      <dgm:spPr/>
      <dgm:t>
        <a:bodyPr/>
        <a:lstStyle/>
        <a:p>
          <a:endParaRPr lang="es-CO" sz="1050" b="1" dirty="0" smtClean="0"/>
        </a:p>
        <a:p>
          <a:r>
            <a:rPr lang="es-CO" sz="1050" b="1" dirty="0" smtClean="0">
              <a:solidFill>
                <a:sysClr val="windowText" lastClr="000000"/>
              </a:solidFill>
            </a:rPr>
            <a:t>Sensibilización a la Comunidad</a:t>
          </a:r>
          <a:endParaRPr lang="es-ES" sz="1050" b="1" dirty="0">
            <a:solidFill>
              <a:sysClr val="windowText" lastClr="000000"/>
            </a:solidFill>
          </a:endParaRPr>
        </a:p>
      </dgm:t>
    </dgm:pt>
    <dgm:pt modelId="{A829DA1C-7DC5-4A1E-B9F7-EDDF3E53DE97}" type="parTrans" cxnId="{F25B8FF8-B878-4811-9F8A-CA480EE987AB}">
      <dgm:prSet/>
      <dgm:spPr/>
      <dgm:t>
        <a:bodyPr/>
        <a:lstStyle/>
        <a:p>
          <a:endParaRPr lang="es-ES"/>
        </a:p>
      </dgm:t>
    </dgm:pt>
    <dgm:pt modelId="{A4BDA48F-0734-4B34-B53B-ECA7002B7214}" type="sibTrans" cxnId="{F25B8FF8-B878-4811-9F8A-CA480EE987AB}">
      <dgm:prSet/>
      <dgm:spPr/>
      <dgm:t>
        <a:bodyPr/>
        <a:lstStyle/>
        <a:p>
          <a:endParaRPr lang="es-ES"/>
        </a:p>
      </dgm:t>
    </dgm:pt>
    <dgm:pt modelId="{8AA11764-6215-42E1-8AC8-877EA122600A}">
      <dgm:prSet phldrT="[Texto]" custT="1"/>
      <dgm:spPr/>
      <dgm:t>
        <a:bodyPr/>
        <a:lstStyle/>
        <a:p>
          <a:r>
            <a:rPr lang="es-CO" sz="1200" dirty="0" smtClean="0"/>
            <a:t>Diseño estrategias </a:t>
          </a:r>
          <a:endParaRPr lang="es-ES" sz="1200" dirty="0"/>
        </a:p>
      </dgm:t>
    </dgm:pt>
    <dgm:pt modelId="{BDDA33A3-7363-4DBB-AE31-CD8385EAC50F}" type="parTrans" cxnId="{96BA23D7-27DE-4317-A826-8A32FE09CC0F}">
      <dgm:prSet/>
      <dgm:spPr/>
      <dgm:t>
        <a:bodyPr/>
        <a:lstStyle/>
        <a:p>
          <a:endParaRPr lang="es-ES"/>
        </a:p>
      </dgm:t>
    </dgm:pt>
    <dgm:pt modelId="{FBF5819C-309A-4067-A0EE-D59B80D384CC}" type="sibTrans" cxnId="{96BA23D7-27DE-4317-A826-8A32FE09CC0F}">
      <dgm:prSet/>
      <dgm:spPr/>
      <dgm:t>
        <a:bodyPr/>
        <a:lstStyle/>
        <a:p>
          <a:endParaRPr lang="es-ES"/>
        </a:p>
      </dgm:t>
    </dgm:pt>
    <dgm:pt modelId="{0F2884EB-E1CE-40D5-8AF2-F9F8542733E6}">
      <dgm:prSet phldrT="[Texto]" custT="1"/>
      <dgm:spPr/>
      <dgm:t>
        <a:bodyPr/>
        <a:lstStyle/>
        <a:p>
          <a:r>
            <a:rPr lang="es-CO" sz="1200" dirty="0" smtClean="0"/>
            <a:t>Difusión</a:t>
          </a:r>
          <a:endParaRPr lang="es-ES" sz="1200" dirty="0"/>
        </a:p>
      </dgm:t>
    </dgm:pt>
    <dgm:pt modelId="{30A27166-8798-4B5F-9EDA-F94E985CD674}" type="parTrans" cxnId="{BA77D39C-2A12-4474-9CA7-D6BFFFBC6E4E}">
      <dgm:prSet/>
      <dgm:spPr/>
      <dgm:t>
        <a:bodyPr/>
        <a:lstStyle/>
        <a:p>
          <a:endParaRPr lang="es-ES"/>
        </a:p>
      </dgm:t>
    </dgm:pt>
    <dgm:pt modelId="{3876B291-A698-455F-A01A-C2F56F37F660}" type="sibTrans" cxnId="{BA77D39C-2A12-4474-9CA7-D6BFFFBC6E4E}">
      <dgm:prSet/>
      <dgm:spPr/>
      <dgm:t>
        <a:bodyPr/>
        <a:lstStyle/>
        <a:p>
          <a:endParaRPr lang="es-ES"/>
        </a:p>
      </dgm:t>
    </dgm:pt>
    <dgm:pt modelId="{EED4DF2C-3847-48F5-989C-02BFBA3D6D4D}">
      <dgm:prSet phldrT="[Texto]" custT="1"/>
      <dgm:spPr/>
      <dgm:t>
        <a:bodyPr/>
        <a:lstStyle/>
        <a:p>
          <a:endParaRPr lang="es-CO" sz="1050" b="1" dirty="0" smtClean="0"/>
        </a:p>
        <a:p>
          <a:r>
            <a:rPr lang="es-CO" sz="1050" b="1" dirty="0" smtClean="0">
              <a:solidFill>
                <a:sysClr val="windowText" lastClr="000000"/>
              </a:solidFill>
            </a:rPr>
            <a:t>Autoevaluación</a:t>
          </a:r>
          <a:endParaRPr lang="es-ES" sz="1050" b="1" dirty="0">
            <a:solidFill>
              <a:sysClr val="windowText" lastClr="000000"/>
            </a:solidFill>
          </a:endParaRPr>
        </a:p>
      </dgm:t>
    </dgm:pt>
    <dgm:pt modelId="{CCC357EC-2B17-4B89-B915-B88651FD83EB}" type="parTrans" cxnId="{32BC463C-9EC2-489E-8067-3A3168183805}">
      <dgm:prSet/>
      <dgm:spPr/>
      <dgm:t>
        <a:bodyPr/>
        <a:lstStyle/>
        <a:p>
          <a:endParaRPr lang="es-ES"/>
        </a:p>
      </dgm:t>
    </dgm:pt>
    <dgm:pt modelId="{E6FB5C9D-AD43-4488-BEDE-27D92852021A}" type="sibTrans" cxnId="{32BC463C-9EC2-489E-8067-3A3168183805}">
      <dgm:prSet/>
      <dgm:spPr/>
      <dgm:t>
        <a:bodyPr/>
        <a:lstStyle/>
        <a:p>
          <a:endParaRPr lang="es-ES"/>
        </a:p>
      </dgm:t>
    </dgm:pt>
    <dgm:pt modelId="{7672F7C5-C2AB-49DE-9475-7B1B21EDA55A}">
      <dgm:prSet phldrT="[Texto]" custT="1"/>
      <dgm:spPr/>
      <dgm:t>
        <a:bodyPr/>
        <a:lstStyle/>
        <a:p>
          <a:r>
            <a:rPr lang="es-CO" sz="1200" dirty="0" smtClean="0"/>
            <a:t>Ponderación</a:t>
          </a:r>
          <a:endParaRPr lang="es-ES" sz="1200" dirty="0"/>
        </a:p>
      </dgm:t>
    </dgm:pt>
    <dgm:pt modelId="{5FE68F26-432D-46E3-9C40-DA06E2D13225}" type="parTrans" cxnId="{A462ACD7-8D29-491B-A23E-3CC2062DE480}">
      <dgm:prSet/>
      <dgm:spPr/>
      <dgm:t>
        <a:bodyPr/>
        <a:lstStyle/>
        <a:p>
          <a:endParaRPr lang="es-ES"/>
        </a:p>
      </dgm:t>
    </dgm:pt>
    <dgm:pt modelId="{6024B0D3-2C9D-41B6-8034-CC4A7B3CD73F}" type="sibTrans" cxnId="{A462ACD7-8D29-491B-A23E-3CC2062DE480}">
      <dgm:prSet/>
      <dgm:spPr/>
      <dgm:t>
        <a:bodyPr/>
        <a:lstStyle/>
        <a:p>
          <a:endParaRPr lang="es-ES"/>
        </a:p>
      </dgm:t>
    </dgm:pt>
    <dgm:pt modelId="{FFB1B386-093F-4A96-B962-468469290A79}">
      <dgm:prSet phldrT="[Texto]" custT="1"/>
      <dgm:spPr/>
      <dgm:t>
        <a:bodyPr/>
        <a:lstStyle/>
        <a:p>
          <a:r>
            <a:rPr lang="es-CO" sz="1200" dirty="0" smtClean="0"/>
            <a:t>Recolección Información</a:t>
          </a:r>
          <a:endParaRPr lang="es-ES" sz="1200" dirty="0"/>
        </a:p>
      </dgm:t>
    </dgm:pt>
    <dgm:pt modelId="{05D7F4B1-47D8-43BA-8181-06BC4C39F4C2}" type="parTrans" cxnId="{9D844607-CA26-437E-AD91-82013340E39A}">
      <dgm:prSet/>
      <dgm:spPr/>
      <dgm:t>
        <a:bodyPr/>
        <a:lstStyle/>
        <a:p>
          <a:endParaRPr lang="es-ES"/>
        </a:p>
      </dgm:t>
    </dgm:pt>
    <dgm:pt modelId="{2E257E9A-A18F-4C10-991F-B45CD0DE25E8}" type="sibTrans" cxnId="{9D844607-CA26-437E-AD91-82013340E39A}">
      <dgm:prSet/>
      <dgm:spPr/>
      <dgm:t>
        <a:bodyPr/>
        <a:lstStyle/>
        <a:p>
          <a:endParaRPr lang="es-ES"/>
        </a:p>
      </dgm:t>
    </dgm:pt>
    <dgm:pt modelId="{EC45563F-D510-4DE5-A7C1-B32C6F58EA06}">
      <dgm:prSet phldrT="[Texto]" custT="1"/>
      <dgm:spPr/>
      <dgm:t>
        <a:bodyPr/>
        <a:lstStyle/>
        <a:p>
          <a:r>
            <a:rPr lang="es-CO" sz="1200" dirty="0" smtClean="0"/>
            <a:t>Calificación</a:t>
          </a:r>
          <a:endParaRPr lang="es-ES" sz="1200" dirty="0"/>
        </a:p>
      </dgm:t>
    </dgm:pt>
    <dgm:pt modelId="{C1AB48DC-CD5A-4712-BB04-492E297CF3E9}" type="parTrans" cxnId="{FCECC21E-51F2-4BE6-902E-D54D6EE3C6EF}">
      <dgm:prSet/>
      <dgm:spPr/>
      <dgm:t>
        <a:bodyPr/>
        <a:lstStyle/>
        <a:p>
          <a:endParaRPr lang="es-ES"/>
        </a:p>
      </dgm:t>
    </dgm:pt>
    <dgm:pt modelId="{B7729FD3-BE0C-489B-94D4-CA16AC4FC979}" type="sibTrans" cxnId="{FCECC21E-51F2-4BE6-902E-D54D6EE3C6EF}">
      <dgm:prSet/>
      <dgm:spPr/>
      <dgm:t>
        <a:bodyPr/>
        <a:lstStyle/>
        <a:p>
          <a:endParaRPr lang="es-ES"/>
        </a:p>
      </dgm:t>
    </dgm:pt>
    <dgm:pt modelId="{A6E2A6D4-2F6B-45A0-BE7D-730536545950}">
      <dgm:prSet phldrT="[Texto]" custT="1"/>
      <dgm:spPr/>
      <dgm:t>
        <a:bodyPr/>
        <a:lstStyle/>
        <a:p>
          <a:r>
            <a:rPr lang="es-CO" sz="1200" dirty="0" smtClean="0"/>
            <a:t>Evaluación Plan Mejoramiento anterior</a:t>
          </a:r>
          <a:endParaRPr lang="es-ES" sz="1200" dirty="0"/>
        </a:p>
      </dgm:t>
    </dgm:pt>
    <dgm:pt modelId="{6BF46FC6-5DBF-444D-8E97-2E0F69FEE72A}" type="parTrans" cxnId="{03D9778F-3CA4-4E8C-8585-4B8E1B036024}">
      <dgm:prSet/>
      <dgm:spPr/>
      <dgm:t>
        <a:bodyPr/>
        <a:lstStyle/>
        <a:p>
          <a:endParaRPr lang="es-ES"/>
        </a:p>
      </dgm:t>
    </dgm:pt>
    <dgm:pt modelId="{B449A02A-970C-4274-9C5F-218346D56290}" type="sibTrans" cxnId="{03D9778F-3CA4-4E8C-8585-4B8E1B036024}">
      <dgm:prSet/>
      <dgm:spPr/>
      <dgm:t>
        <a:bodyPr/>
        <a:lstStyle/>
        <a:p>
          <a:endParaRPr lang="es-ES"/>
        </a:p>
      </dgm:t>
    </dgm:pt>
    <dgm:pt modelId="{D738AF53-D6F8-4063-9400-7B31AFD154FD}">
      <dgm:prSet phldrT="[Texto]" custT="1"/>
      <dgm:spPr/>
      <dgm:t>
        <a:bodyPr/>
        <a:lstStyle/>
        <a:p>
          <a:r>
            <a:rPr lang="es-CO" sz="1200" dirty="0" smtClean="0"/>
            <a:t>Formulación nuevo Plan Mejoramiento</a:t>
          </a:r>
          <a:endParaRPr lang="es-ES" sz="1200" dirty="0"/>
        </a:p>
      </dgm:t>
    </dgm:pt>
    <dgm:pt modelId="{E48961AC-24CA-4A27-A5CC-52247DDDE2E0}" type="parTrans" cxnId="{69C07C37-B3D3-4663-AD70-9B4F311ED0BD}">
      <dgm:prSet/>
      <dgm:spPr/>
      <dgm:t>
        <a:bodyPr/>
        <a:lstStyle/>
        <a:p>
          <a:endParaRPr lang="es-ES"/>
        </a:p>
      </dgm:t>
    </dgm:pt>
    <dgm:pt modelId="{140E62D6-E835-41E7-9942-8910DA1A0E7F}" type="sibTrans" cxnId="{69C07C37-B3D3-4663-AD70-9B4F311ED0BD}">
      <dgm:prSet/>
      <dgm:spPr/>
      <dgm:t>
        <a:bodyPr/>
        <a:lstStyle/>
        <a:p>
          <a:endParaRPr lang="es-ES"/>
        </a:p>
      </dgm:t>
    </dgm:pt>
    <dgm:pt modelId="{D8DBAD70-32F0-43DE-91A2-1DB97F0F9D61}">
      <dgm:prSet phldrT="[Texto]" custT="1"/>
      <dgm:spPr/>
      <dgm:t>
        <a:bodyPr/>
        <a:lstStyle/>
        <a:p>
          <a:r>
            <a:rPr lang="es-CO" sz="1200" dirty="0" smtClean="0"/>
            <a:t>Elaboración Informe</a:t>
          </a:r>
          <a:endParaRPr lang="es-ES" sz="1200" dirty="0"/>
        </a:p>
      </dgm:t>
    </dgm:pt>
    <dgm:pt modelId="{EF227B9E-3C0A-4108-83D0-47A58DE6EAFB}" type="parTrans" cxnId="{1962FAFE-173F-4F8A-BAAC-48A565F7589D}">
      <dgm:prSet/>
      <dgm:spPr/>
      <dgm:t>
        <a:bodyPr/>
        <a:lstStyle/>
        <a:p>
          <a:endParaRPr lang="es-ES"/>
        </a:p>
      </dgm:t>
    </dgm:pt>
    <dgm:pt modelId="{547745F7-87F0-4B3B-B04A-EB6892BCAB2F}" type="sibTrans" cxnId="{1962FAFE-173F-4F8A-BAAC-48A565F7589D}">
      <dgm:prSet/>
      <dgm:spPr/>
      <dgm:t>
        <a:bodyPr/>
        <a:lstStyle/>
        <a:p>
          <a:endParaRPr lang="es-ES"/>
        </a:p>
      </dgm:t>
    </dgm:pt>
    <dgm:pt modelId="{5DD68825-D97E-42EA-9119-14D9D0088C11}">
      <dgm:prSet phldrT="[Texto]" custT="1"/>
      <dgm:spPr/>
      <dgm:t>
        <a:bodyPr/>
        <a:lstStyle/>
        <a:p>
          <a:endParaRPr lang="es-CO" sz="1050" b="1" dirty="0" smtClean="0">
            <a:solidFill>
              <a:sysClr val="windowText" lastClr="000000"/>
            </a:solidFill>
          </a:endParaRPr>
        </a:p>
        <a:p>
          <a:r>
            <a:rPr lang="es-CO" sz="1050" b="1" dirty="0" smtClean="0">
              <a:solidFill>
                <a:sysClr val="windowText" lastClr="000000"/>
              </a:solidFill>
            </a:rPr>
            <a:t>Difusión Resultados y Visita Pares</a:t>
          </a:r>
          <a:endParaRPr lang="es-ES" sz="1050" b="1" dirty="0">
            <a:solidFill>
              <a:sysClr val="windowText" lastClr="000000"/>
            </a:solidFill>
          </a:endParaRPr>
        </a:p>
      </dgm:t>
    </dgm:pt>
    <dgm:pt modelId="{A3B149D6-E74C-4BAC-8845-2A8DF38E77AE}" type="parTrans" cxnId="{87CC4C70-1E30-4AB4-8CD8-130E63251E68}">
      <dgm:prSet/>
      <dgm:spPr/>
      <dgm:t>
        <a:bodyPr/>
        <a:lstStyle/>
        <a:p>
          <a:endParaRPr lang="es-ES"/>
        </a:p>
      </dgm:t>
    </dgm:pt>
    <dgm:pt modelId="{ABF3D84C-914B-4C56-932D-A44774FE7A18}" type="sibTrans" cxnId="{87CC4C70-1E30-4AB4-8CD8-130E63251E68}">
      <dgm:prSet/>
      <dgm:spPr/>
      <dgm:t>
        <a:bodyPr/>
        <a:lstStyle/>
        <a:p>
          <a:endParaRPr lang="es-ES"/>
        </a:p>
      </dgm:t>
    </dgm:pt>
    <dgm:pt modelId="{FB3C2625-C78B-4E88-B83F-BD79FCDE7E9B}">
      <dgm:prSet phldrT="[Texto]" custT="1"/>
      <dgm:spPr/>
      <dgm:t>
        <a:bodyPr/>
        <a:lstStyle/>
        <a:p>
          <a:r>
            <a:rPr lang="es-CO" sz="1200" dirty="0" smtClean="0"/>
            <a:t>Socialización resultados</a:t>
          </a:r>
          <a:endParaRPr lang="es-ES" sz="1200" dirty="0"/>
        </a:p>
      </dgm:t>
    </dgm:pt>
    <dgm:pt modelId="{19C6E913-02FD-4A57-A9E2-6C0DF1A2F73E}" type="parTrans" cxnId="{DAB57094-FECF-4AE7-8CAA-BD99C846984E}">
      <dgm:prSet/>
      <dgm:spPr/>
      <dgm:t>
        <a:bodyPr/>
        <a:lstStyle/>
        <a:p>
          <a:endParaRPr lang="es-ES"/>
        </a:p>
      </dgm:t>
    </dgm:pt>
    <dgm:pt modelId="{618443DE-E49F-415D-9250-11726F05FE7C}" type="sibTrans" cxnId="{DAB57094-FECF-4AE7-8CAA-BD99C846984E}">
      <dgm:prSet/>
      <dgm:spPr/>
      <dgm:t>
        <a:bodyPr/>
        <a:lstStyle/>
        <a:p>
          <a:endParaRPr lang="es-ES"/>
        </a:p>
      </dgm:t>
    </dgm:pt>
    <dgm:pt modelId="{BBA8DE9A-97FE-4748-B9D4-BF3FF84E2446}">
      <dgm:prSet phldrT="[Texto]" custT="1"/>
      <dgm:spPr/>
      <dgm:t>
        <a:bodyPr/>
        <a:lstStyle/>
        <a:p>
          <a:r>
            <a:rPr lang="es-CO" sz="1200" dirty="0" smtClean="0"/>
            <a:t>Atención visita pares</a:t>
          </a:r>
          <a:endParaRPr lang="es-ES" sz="1200" dirty="0"/>
        </a:p>
      </dgm:t>
    </dgm:pt>
    <dgm:pt modelId="{E640E186-6F29-446E-A704-56877055A472}" type="parTrans" cxnId="{2B07E671-464E-47F8-A80C-85EF81BF7333}">
      <dgm:prSet/>
      <dgm:spPr/>
      <dgm:t>
        <a:bodyPr/>
        <a:lstStyle/>
        <a:p>
          <a:endParaRPr lang="es-ES"/>
        </a:p>
      </dgm:t>
    </dgm:pt>
    <dgm:pt modelId="{25EBB373-07C8-4458-84CE-6EC4F6CC6211}" type="sibTrans" cxnId="{2B07E671-464E-47F8-A80C-85EF81BF7333}">
      <dgm:prSet/>
      <dgm:spPr/>
      <dgm:t>
        <a:bodyPr/>
        <a:lstStyle/>
        <a:p>
          <a:endParaRPr lang="es-ES"/>
        </a:p>
      </dgm:t>
    </dgm:pt>
    <dgm:pt modelId="{963AC2F1-2FF5-45F3-BD2D-B04DCBDB3F0C}">
      <dgm:prSet phldrT="[Texto]" custT="1"/>
      <dgm:spPr/>
      <dgm:t>
        <a:bodyPr/>
        <a:lstStyle/>
        <a:p>
          <a:r>
            <a:rPr lang="es-CO" sz="1200" dirty="0" smtClean="0"/>
            <a:t>Análisis del concepto pares</a:t>
          </a:r>
          <a:endParaRPr lang="es-ES" sz="1200" dirty="0"/>
        </a:p>
      </dgm:t>
    </dgm:pt>
    <dgm:pt modelId="{0EDEFA62-D4CF-4365-AD85-880992A04E72}" type="parTrans" cxnId="{9525F2BB-5134-4412-9018-C25E41CE8F51}">
      <dgm:prSet/>
      <dgm:spPr/>
      <dgm:t>
        <a:bodyPr/>
        <a:lstStyle/>
        <a:p>
          <a:endParaRPr lang="es-ES"/>
        </a:p>
      </dgm:t>
    </dgm:pt>
    <dgm:pt modelId="{B9EB40DC-B900-430E-AB6D-1AF624FFD817}" type="sibTrans" cxnId="{9525F2BB-5134-4412-9018-C25E41CE8F51}">
      <dgm:prSet/>
      <dgm:spPr/>
      <dgm:t>
        <a:bodyPr/>
        <a:lstStyle/>
        <a:p>
          <a:endParaRPr lang="es-ES"/>
        </a:p>
      </dgm:t>
    </dgm:pt>
    <dgm:pt modelId="{7A343F6D-80C3-4C5F-95B8-ADF6AFC0AE13}">
      <dgm:prSet phldrT="[Texto]" custT="1"/>
      <dgm:spPr/>
      <dgm:t>
        <a:bodyPr/>
        <a:lstStyle/>
        <a:p>
          <a:r>
            <a:rPr lang="es-CO" sz="1200" dirty="0" smtClean="0"/>
            <a:t>Conformación Comités</a:t>
          </a:r>
          <a:endParaRPr lang="es-ES" sz="1200" dirty="0"/>
        </a:p>
      </dgm:t>
    </dgm:pt>
    <dgm:pt modelId="{6DDF6061-B34B-4169-BDE8-0370DA18DF53}" type="parTrans" cxnId="{A75E5A94-2931-41CC-8709-4351ED6F272A}">
      <dgm:prSet/>
      <dgm:spPr/>
      <dgm:t>
        <a:bodyPr/>
        <a:lstStyle/>
        <a:p>
          <a:endParaRPr lang="es-CO"/>
        </a:p>
      </dgm:t>
    </dgm:pt>
    <dgm:pt modelId="{E267CA7E-479B-4906-8AD3-27374F6740D8}" type="sibTrans" cxnId="{A75E5A94-2931-41CC-8709-4351ED6F272A}">
      <dgm:prSet/>
      <dgm:spPr/>
      <dgm:t>
        <a:bodyPr/>
        <a:lstStyle/>
        <a:p>
          <a:endParaRPr lang="es-CO"/>
        </a:p>
      </dgm:t>
    </dgm:pt>
    <dgm:pt modelId="{77314348-B23A-4712-9BDD-78E2FF1D54EA}" type="pres">
      <dgm:prSet presAssocID="{7CB6CCC1-301B-432D-B0F6-738C5E263309}" presName="linearFlow" presStyleCnt="0">
        <dgm:presLayoutVars>
          <dgm:dir/>
          <dgm:animLvl val="lvl"/>
          <dgm:resizeHandles val="exact"/>
        </dgm:presLayoutVars>
      </dgm:prSet>
      <dgm:spPr/>
      <dgm:t>
        <a:bodyPr/>
        <a:lstStyle/>
        <a:p>
          <a:endParaRPr lang="es-ES"/>
        </a:p>
      </dgm:t>
    </dgm:pt>
    <dgm:pt modelId="{FC64AE0A-35A1-44B0-A982-2E9D1B0D50C3}" type="pres">
      <dgm:prSet presAssocID="{0035923F-CFCE-4BD5-B37A-40E7FE77AC90}" presName="composite" presStyleCnt="0"/>
      <dgm:spPr/>
    </dgm:pt>
    <dgm:pt modelId="{72F855F5-8591-4925-B456-F07A662FBF12}" type="pres">
      <dgm:prSet presAssocID="{0035923F-CFCE-4BD5-B37A-40E7FE77AC90}" presName="parentText" presStyleLbl="alignNode1" presStyleIdx="0" presStyleCnt="4" custScaleX="242212">
        <dgm:presLayoutVars>
          <dgm:chMax val="1"/>
          <dgm:bulletEnabled val="1"/>
        </dgm:presLayoutVars>
      </dgm:prSet>
      <dgm:spPr/>
      <dgm:t>
        <a:bodyPr/>
        <a:lstStyle/>
        <a:p>
          <a:endParaRPr lang="es-ES"/>
        </a:p>
      </dgm:t>
    </dgm:pt>
    <dgm:pt modelId="{D01EADB0-AEAB-45EC-9F10-DAC8F749940F}" type="pres">
      <dgm:prSet presAssocID="{0035923F-CFCE-4BD5-B37A-40E7FE77AC90}" presName="descendantText" presStyleLbl="alignAcc1" presStyleIdx="0" presStyleCnt="4" custScaleX="72764" custScaleY="108950" custLinFactNeighborX="2436">
        <dgm:presLayoutVars>
          <dgm:bulletEnabled val="1"/>
        </dgm:presLayoutVars>
      </dgm:prSet>
      <dgm:spPr/>
      <dgm:t>
        <a:bodyPr/>
        <a:lstStyle/>
        <a:p>
          <a:endParaRPr lang="es-ES"/>
        </a:p>
      </dgm:t>
    </dgm:pt>
    <dgm:pt modelId="{235D6054-2E88-4326-AC4E-0A489FD9A20A}" type="pres">
      <dgm:prSet presAssocID="{2C21BC37-1347-4B62-AE97-B203EC6698B0}" presName="sp" presStyleCnt="0"/>
      <dgm:spPr/>
    </dgm:pt>
    <dgm:pt modelId="{5834FF33-8EB9-4153-8040-7FF3F2A1D65B}" type="pres">
      <dgm:prSet presAssocID="{96EA7382-AFFF-4538-939F-A03F77431EF4}" presName="composite" presStyleCnt="0"/>
      <dgm:spPr/>
    </dgm:pt>
    <dgm:pt modelId="{E551636A-0D60-44D9-8CD3-6437DBE0F757}" type="pres">
      <dgm:prSet presAssocID="{96EA7382-AFFF-4538-939F-A03F77431EF4}" presName="parentText" presStyleLbl="alignNode1" presStyleIdx="1" presStyleCnt="4" custScaleX="230412" custLinFactNeighborX="0" custLinFactNeighborY="6962">
        <dgm:presLayoutVars>
          <dgm:chMax val="1"/>
          <dgm:bulletEnabled val="1"/>
        </dgm:presLayoutVars>
      </dgm:prSet>
      <dgm:spPr/>
      <dgm:t>
        <a:bodyPr/>
        <a:lstStyle/>
        <a:p>
          <a:endParaRPr lang="es-ES"/>
        </a:p>
      </dgm:t>
    </dgm:pt>
    <dgm:pt modelId="{64D42A68-8F43-489F-8068-EB16AC07DE29}" type="pres">
      <dgm:prSet presAssocID="{96EA7382-AFFF-4538-939F-A03F77431EF4}" presName="descendantText" presStyleLbl="alignAcc1" presStyleIdx="1" presStyleCnt="4" custScaleX="71583" custScaleY="93695" custLinFactNeighborX="3858" custLinFactNeighborY="-12424">
        <dgm:presLayoutVars>
          <dgm:bulletEnabled val="1"/>
        </dgm:presLayoutVars>
      </dgm:prSet>
      <dgm:spPr/>
      <dgm:t>
        <a:bodyPr/>
        <a:lstStyle/>
        <a:p>
          <a:endParaRPr lang="es-ES"/>
        </a:p>
      </dgm:t>
    </dgm:pt>
    <dgm:pt modelId="{492E5FC7-CD03-474A-B735-0C02D4776E39}" type="pres">
      <dgm:prSet presAssocID="{A4BDA48F-0734-4B34-B53B-ECA7002B7214}" presName="sp" presStyleCnt="0"/>
      <dgm:spPr/>
    </dgm:pt>
    <dgm:pt modelId="{360B876D-2FD3-4943-8A35-4893BD72BE10}" type="pres">
      <dgm:prSet presAssocID="{EED4DF2C-3847-48F5-989C-02BFBA3D6D4D}" presName="composite" presStyleCnt="0"/>
      <dgm:spPr/>
    </dgm:pt>
    <dgm:pt modelId="{08C8C36C-C79B-49A1-8F29-49F23623A5F7}" type="pres">
      <dgm:prSet presAssocID="{EED4DF2C-3847-48F5-989C-02BFBA3D6D4D}" presName="parentText" presStyleLbl="alignNode1" presStyleIdx="2" presStyleCnt="4" custScaleX="235380">
        <dgm:presLayoutVars>
          <dgm:chMax val="1"/>
          <dgm:bulletEnabled val="1"/>
        </dgm:presLayoutVars>
      </dgm:prSet>
      <dgm:spPr/>
      <dgm:t>
        <a:bodyPr/>
        <a:lstStyle/>
        <a:p>
          <a:endParaRPr lang="es-ES"/>
        </a:p>
      </dgm:t>
    </dgm:pt>
    <dgm:pt modelId="{B2566F23-9ABB-4507-AED1-CE6DF2345F5F}" type="pres">
      <dgm:prSet presAssocID="{EED4DF2C-3847-48F5-989C-02BFBA3D6D4D}" presName="descendantText" presStyleLbl="alignAcc1" presStyleIdx="2" presStyleCnt="4" custScaleX="70883" custScaleY="210715" custLinFactNeighborX="4022" custLinFactNeighborY="-13526">
        <dgm:presLayoutVars>
          <dgm:bulletEnabled val="1"/>
        </dgm:presLayoutVars>
      </dgm:prSet>
      <dgm:spPr/>
      <dgm:t>
        <a:bodyPr/>
        <a:lstStyle/>
        <a:p>
          <a:endParaRPr lang="es-ES"/>
        </a:p>
      </dgm:t>
    </dgm:pt>
    <dgm:pt modelId="{8C6B2FCE-B5E8-4BA8-B582-A7E06D4FDA9B}" type="pres">
      <dgm:prSet presAssocID="{E6FB5C9D-AD43-4488-BEDE-27D92852021A}" presName="sp" presStyleCnt="0"/>
      <dgm:spPr/>
    </dgm:pt>
    <dgm:pt modelId="{082ECB3C-4F92-4D59-8536-1A0A0C84A5CE}" type="pres">
      <dgm:prSet presAssocID="{5DD68825-D97E-42EA-9119-14D9D0088C11}" presName="composite" presStyleCnt="0"/>
      <dgm:spPr/>
    </dgm:pt>
    <dgm:pt modelId="{497A3A13-BAD7-46D2-91F2-BB5EF26BE440}" type="pres">
      <dgm:prSet presAssocID="{5DD68825-D97E-42EA-9119-14D9D0088C11}" presName="parentText" presStyleLbl="alignNode1" presStyleIdx="3" presStyleCnt="4" custScaleX="231205">
        <dgm:presLayoutVars>
          <dgm:chMax val="1"/>
          <dgm:bulletEnabled val="1"/>
        </dgm:presLayoutVars>
      </dgm:prSet>
      <dgm:spPr/>
      <dgm:t>
        <a:bodyPr/>
        <a:lstStyle/>
        <a:p>
          <a:endParaRPr lang="es-ES"/>
        </a:p>
      </dgm:t>
    </dgm:pt>
    <dgm:pt modelId="{201B3C05-23CE-4A23-ADC7-C4D27BAC49CE}" type="pres">
      <dgm:prSet presAssocID="{5DD68825-D97E-42EA-9119-14D9D0088C11}" presName="descendantText" presStyleLbl="alignAcc1" presStyleIdx="3" presStyleCnt="4" custScaleX="69536" custScaleY="139316" custLinFactNeighborX="5036" custLinFactNeighborY="25759">
        <dgm:presLayoutVars>
          <dgm:bulletEnabled val="1"/>
        </dgm:presLayoutVars>
      </dgm:prSet>
      <dgm:spPr/>
      <dgm:t>
        <a:bodyPr/>
        <a:lstStyle/>
        <a:p>
          <a:endParaRPr lang="es-ES"/>
        </a:p>
      </dgm:t>
    </dgm:pt>
  </dgm:ptLst>
  <dgm:cxnLst>
    <dgm:cxn modelId="{83196BB3-1DBC-4D7C-8C98-9298D67B40C7}" srcId="{0035923F-CFCE-4BD5-B37A-40E7FE77AC90}" destId="{8EDB41A8-422F-421E-9EA7-11A0DD5925C0}" srcOrd="0" destOrd="0" parTransId="{03DCF980-4D4C-4D1B-9731-D71B2577B3FA}" sibTransId="{C5C914AA-3796-41F2-81F4-E8410FFFEC7C}"/>
    <dgm:cxn modelId="{4ECB8E06-497D-420A-9536-68D2D3CDE75F}" type="presOf" srcId="{8EDB41A8-422F-421E-9EA7-11A0DD5925C0}" destId="{D01EADB0-AEAB-45EC-9F10-DAC8F749940F}" srcOrd="0" destOrd="0" presId="urn:microsoft.com/office/officeart/2005/8/layout/chevron2"/>
    <dgm:cxn modelId="{91FE8557-CC78-40F7-8837-7830B27FD932}" type="presOf" srcId="{BBA8DE9A-97FE-4748-B9D4-BF3FF84E2446}" destId="{201B3C05-23CE-4A23-ADC7-C4D27BAC49CE}" srcOrd="0" destOrd="1" presId="urn:microsoft.com/office/officeart/2005/8/layout/chevron2"/>
    <dgm:cxn modelId="{2B07E671-464E-47F8-A80C-85EF81BF7333}" srcId="{5DD68825-D97E-42EA-9119-14D9D0088C11}" destId="{BBA8DE9A-97FE-4748-B9D4-BF3FF84E2446}" srcOrd="1" destOrd="0" parTransId="{E640E186-6F29-446E-A704-56877055A472}" sibTransId="{25EBB373-07C8-4458-84CE-6EC4F6CC6211}"/>
    <dgm:cxn modelId="{A45D1F3B-E794-457F-95C8-F50D6F0EE1DC}" type="presOf" srcId="{7CB6CCC1-301B-432D-B0F6-738C5E263309}" destId="{77314348-B23A-4712-9BDD-78E2FF1D54EA}" srcOrd="0" destOrd="0" presId="urn:microsoft.com/office/officeart/2005/8/layout/chevron2"/>
    <dgm:cxn modelId="{47251266-0122-468C-94DD-00583CB900DF}" type="presOf" srcId="{FB3C2625-C78B-4E88-B83F-BD79FCDE7E9B}" destId="{201B3C05-23CE-4A23-ADC7-C4D27BAC49CE}" srcOrd="0" destOrd="0" presId="urn:microsoft.com/office/officeart/2005/8/layout/chevron2"/>
    <dgm:cxn modelId="{657F3D52-6EB6-4F72-9886-DC8B032D53EE}" type="presOf" srcId="{96EA7382-AFFF-4538-939F-A03F77431EF4}" destId="{E551636A-0D60-44D9-8CD3-6437DBE0F757}" srcOrd="0" destOrd="0" presId="urn:microsoft.com/office/officeart/2005/8/layout/chevron2"/>
    <dgm:cxn modelId="{B2D4941B-35A8-4AAE-B09C-1F810D3C466E}" type="presOf" srcId="{963AC2F1-2FF5-45F3-BD2D-B04DCBDB3F0C}" destId="{201B3C05-23CE-4A23-ADC7-C4D27BAC49CE}" srcOrd="0" destOrd="2" presId="urn:microsoft.com/office/officeart/2005/8/layout/chevron2"/>
    <dgm:cxn modelId="{4E686D2B-D83B-4002-B60B-6863346C02FA}" type="presOf" srcId="{5DD68825-D97E-42EA-9119-14D9D0088C11}" destId="{497A3A13-BAD7-46D2-91F2-BB5EF26BE440}" srcOrd="0" destOrd="0" presId="urn:microsoft.com/office/officeart/2005/8/layout/chevron2"/>
    <dgm:cxn modelId="{9525F2BB-5134-4412-9018-C25E41CE8F51}" srcId="{5DD68825-D97E-42EA-9119-14D9D0088C11}" destId="{963AC2F1-2FF5-45F3-BD2D-B04DCBDB3F0C}" srcOrd="2" destOrd="0" parTransId="{0EDEFA62-D4CF-4365-AD85-880992A04E72}" sibTransId="{B9EB40DC-B900-430E-AB6D-1AF624FFD817}"/>
    <dgm:cxn modelId="{9EBE3740-5720-4C22-99F6-4EF0E3BBC34D}" srcId="{7CB6CCC1-301B-432D-B0F6-738C5E263309}" destId="{0035923F-CFCE-4BD5-B37A-40E7FE77AC90}" srcOrd="0" destOrd="0" parTransId="{5254E1C3-2804-4AA8-8E3C-3863B5D49B67}" sibTransId="{2C21BC37-1347-4B62-AE97-B203EC6698B0}"/>
    <dgm:cxn modelId="{69C07C37-B3D3-4663-AD70-9B4F311ED0BD}" srcId="{EED4DF2C-3847-48F5-989C-02BFBA3D6D4D}" destId="{D738AF53-D6F8-4063-9400-7B31AFD154FD}" srcOrd="4" destOrd="0" parTransId="{E48961AC-24CA-4A27-A5CC-52247DDDE2E0}" sibTransId="{140E62D6-E835-41E7-9942-8910DA1A0E7F}"/>
    <dgm:cxn modelId="{DAB57094-FECF-4AE7-8CAA-BD99C846984E}" srcId="{5DD68825-D97E-42EA-9119-14D9D0088C11}" destId="{FB3C2625-C78B-4E88-B83F-BD79FCDE7E9B}" srcOrd="0" destOrd="0" parTransId="{19C6E913-02FD-4A57-A9E2-6C0DF1A2F73E}" sibTransId="{618443DE-E49F-415D-9250-11726F05FE7C}"/>
    <dgm:cxn modelId="{9D844607-CA26-437E-AD91-82013340E39A}" srcId="{EED4DF2C-3847-48F5-989C-02BFBA3D6D4D}" destId="{FFB1B386-093F-4A96-B962-468469290A79}" srcOrd="1" destOrd="0" parTransId="{05D7F4B1-47D8-43BA-8181-06BC4C39F4C2}" sibTransId="{2E257E9A-A18F-4C10-991F-B45CD0DE25E8}"/>
    <dgm:cxn modelId="{A230F363-C284-42A8-8953-74614BBA28C4}" type="presOf" srcId="{FFB1B386-093F-4A96-B962-468469290A79}" destId="{B2566F23-9ABB-4507-AED1-CE6DF2345F5F}" srcOrd="0" destOrd="1" presId="urn:microsoft.com/office/officeart/2005/8/layout/chevron2"/>
    <dgm:cxn modelId="{49DB5A4A-5BF1-4C76-9D13-04BADB40E0CF}" type="presOf" srcId="{A6E2A6D4-2F6B-45A0-BE7D-730536545950}" destId="{B2566F23-9ABB-4507-AED1-CE6DF2345F5F}" srcOrd="0" destOrd="3" presId="urn:microsoft.com/office/officeart/2005/8/layout/chevron2"/>
    <dgm:cxn modelId="{A75E5A94-2931-41CC-8709-4351ED6F272A}" srcId="{0035923F-CFCE-4BD5-B37A-40E7FE77AC90}" destId="{7A343F6D-80C3-4C5F-95B8-ADF6AFC0AE13}" srcOrd="1" destOrd="0" parTransId="{6DDF6061-B34B-4169-BDE8-0370DA18DF53}" sibTransId="{E267CA7E-479B-4906-8AD3-27374F6740D8}"/>
    <dgm:cxn modelId="{EC6BC4FD-9B3B-4256-9A2C-CBF2B531E1FF}" type="presOf" srcId="{0035923F-CFCE-4BD5-B37A-40E7FE77AC90}" destId="{72F855F5-8591-4925-B456-F07A662FBF12}" srcOrd="0" destOrd="0" presId="urn:microsoft.com/office/officeart/2005/8/layout/chevron2"/>
    <dgm:cxn modelId="{F25B8FF8-B878-4811-9F8A-CA480EE987AB}" srcId="{7CB6CCC1-301B-432D-B0F6-738C5E263309}" destId="{96EA7382-AFFF-4538-939F-A03F77431EF4}" srcOrd="1" destOrd="0" parTransId="{A829DA1C-7DC5-4A1E-B9F7-EDDF3E53DE97}" sibTransId="{A4BDA48F-0734-4B34-B53B-ECA7002B7214}"/>
    <dgm:cxn modelId="{96BA23D7-27DE-4317-A826-8A32FE09CC0F}" srcId="{96EA7382-AFFF-4538-939F-A03F77431EF4}" destId="{8AA11764-6215-42E1-8AC8-877EA122600A}" srcOrd="0" destOrd="0" parTransId="{BDDA33A3-7363-4DBB-AE31-CD8385EAC50F}" sibTransId="{FBF5819C-309A-4067-A0EE-D59B80D384CC}"/>
    <dgm:cxn modelId="{03D9778F-3CA4-4E8C-8585-4B8E1B036024}" srcId="{EED4DF2C-3847-48F5-989C-02BFBA3D6D4D}" destId="{A6E2A6D4-2F6B-45A0-BE7D-730536545950}" srcOrd="3" destOrd="0" parTransId="{6BF46FC6-5DBF-444D-8E97-2E0F69FEE72A}" sibTransId="{B449A02A-970C-4274-9C5F-218346D56290}"/>
    <dgm:cxn modelId="{BA77D39C-2A12-4474-9CA7-D6BFFFBC6E4E}" srcId="{96EA7382-AFFF-4538-939F-A03F77431EF4}" destId="{0F2884EB-E1CE-40D5-8AF2-F9F8542733E6}" srcOrd="1" destOrd="0" parTransId="{30A27166-8798-4B5F-9EDA-F94E985CD674}" sibTransId="{3876B291-A698-455F-A01A-C2F56F37F660}"/>
    <dgm:cxn modelId="{41318786-D0C0-4671-8759-46911B1725D4}" type="presOf" srcId="{7672F7C5-C2AB-49DE-9475-7B1B21EDA55A}" destId="{B2566F23-9ABB-4507-AED1-CE6DF2345F5F}" srcOrd="0" destOrd="0" presId="urn:microsoft.com/office/officeart/2005/8/layout/chevron2"/>
    <dgm:cxn modelId="{49490F69-BE57-4B5C-B3E5-6AEFB6AB177E}" type="presOf" srcId="{D8DBAD70-32F0-43DE-91A2-1DB97F0F9D61}" destId="{B2566F23-9ABB-4507-AED1-CE6DF2345F5F}" srcOrd="0" destOrd="5" presId="urn:microsoft.com/office/officeart/2005/8/layout/chevron2"/>
    <dgm:cxn modelId="{90950555-7FCA-46BF-A4E6-0D907AEBD10B}" type="presOf" srcId="{D738AF53-D6F8-4063-9400-7B31AFD154FD}" destId="{B2566F23-9ABB-4507-AED1-CE6DF2345F5F}" srcOrd="0" destOrd="4" presId="urn:microsoft.com/office/officeart/2005/8/layout/chevron2"/>
    <dgm:cxn modelId="{F88DBE83-AE2A-4045-8AD4-391F7B3E535E}" type="presOf" srcId="{7A343F6D-80C3-4C5F-95B8-ADF6AFC0AE13}" destId="{D01EADB0-AEAB-45EC-9F10-DAC8F749940F}" srcOrd="0" destOrd="1" presId="urn:microsoft.com/office/officeart/2005/8/layout/chevron2"/>
    <dgm:cxn modelId="{66D89282-67FB-401C-8305-18D1B0DED8C2}" type="presOf" srcId="{EC45563F-D510-4DE5-A7C1-B32C6F58EA06}" destId="{B2566F23-9ABB-4507-AED1-CE6DF2345F5F}" srcOrd="0" destOrd="2" presId="urn:microsoft.com/office/officeart/2005/8/layout/chevron2"/>
    <dgm:cxn modelId="{1962FAFE-173F-4F8A-BAAC-48A565F7589D}" srcId="{EED4DF2C-3847-48F5-989C-02BFBA3D6D4D}" destId="{D8DBAD70-32F0-43DE-91A2-1DB97F0F9D61}" srcOrd="5" destOrd="0" parTransId="{EF227B9E-3C0A-4108-83D0-47A58DE6EAFB}" sibTransId="{547745F7-87F0-4B3B-B04A-EB6892BCAB2F}"/>
    <dgm:cxn modelId="{FCECC21E-51F2-4BE6-902E-D54D6EE3C6EF}" srcId="{EED4DF2C-3847-48F5-989C-02BFBA3D6D4D}" destId="{EC45563F-D510-4DE5-A7C1-B32C6F58EA06}" srcOrd="2" destOrd="0" parTransId="{C1AB48DC-CD5A-4712-BB04-492E297CF3E9}" sibTransId="{B7729FD3-BE0C-489B-94D4-CA16AC4FC979}"/>
    <dgm:cxn modelId="{32BC463C-9EC2-489E-8067-3A3168183805}" srcId="{7CB6CCC1-301B-432D-B0F6-738C5E263309}" destId="{EED4DF2C-3847-48F5-989C-02BFBA3D6D4D}" srcOrd="2" destOrd="0" parTransId="{CCC357EC-2B17-4B89-B915-B88651FD83EB}" sibTransId="{E6FB5C9D-AD43-4488-BEDE-27D92852021A}"/>
    <dgm:cxn modelId="{6433A003-8188-40B5-B5AE-30032EAD32C5}" type="presOf" srcId="{EED4DF2C-3847-48F5-989C-02BFBA3D6D4D}" destId="{08C8C36C-C79B-49A1-8F29-49F23623A5F7}" srcOrd="0" destOrd="0" presId="urn:microsoft.com/office/officeart/2005/8/layout/chevron2"/>
    <dgm:cxn modelId="{A462ACD7-8D29-491B-A23E-3CC2062DE480}" srcId="{EED4DF2C-3847-48F5-989C-02BFBA3D6D4D}" destId="{7672F7C5-C2AB-49DE-9475-7B1B21EDA55A}" srcOrd="0" destOrd="0" parTransId="{5FE68F26-432D-46E3-9C40-DA06E2D13225}" sibTransId="{6024B0D3-2C9D-41B6-8034-CC4A7B3CD73F}"/>
    <dgm:cxn modelId="{328723C3-A15C-4534-969A-4C84B14B0972}" type="presOf" srcId="{0F2884EB-E1CE-40D5-8AF2-F9F8542733E6}" destId="{64D42A68-8F43-489F-8068-EB16AC07DE29}" srcOrd="0" destOrd="1" presId="urn:microsoft.com/office/officeart/2005/8/layout/chevron2"/>
    <dgm:cxn modelId="{F6EDD2A2-4C83-45A1-A189-3AB65CF0E041}" type="presOf" srcId="{8AA11764-6215-42E1-8AC8-877EA122600A}" destId="{64D42A68-8F43-489F-8068-EB16AC07DE29}" srcOrd="0" destOrd="0" presId="urn:microsoft.com/office/officeart/2005/8/layout/chevron2"/>
    <dgm:cxn modelId="{87CC4C70-1E30-4AB4-8CD8-130E63251E68}" srcId="{7CB6CCC1-301B-432D-B0F6-738C5E263309}" destId="{5DD68825-D97E-42EA-9119-14D9D0088C11}" srcOrd="3" destOrd="0" parTransId="{A3B149D6-E74C-4BAC-8845-2A8DF38E77AE}" sibTransId="{ABF3D84C-914B-4C56-932D-A44774FE7A18}"/>
    <dgm:cxn modelId="{6134E5A9-87CE-4BFB-A5D8-9F3E31822AF3}" type="presParOf" srcId="{77314348-B23A-4712-9BDD-78E2FF1D54EA}" destId="{FC64AE0A-35A1-44B0-A982-2E9D1B0D50C3}" srcOrd="0" destOrd="0" presId="urn:microsoft.com/office/officeart/2005/8/layout/chevron2"/>
    <dgm:cxn modelId="{718EC750-4A99-4773-BB88-91F4F12742C7}" type="presParOf" srcId="{FC64AE0A-35A1-44B0-A982-2E9D1B0D50C3}" destId="{72F855F5-8591-4925-B456-F07A662FBF12}" srcOrd="0" destOrd="0" presId="urn:microsoft.com/office/officeart/2005/8/layout/chevron2"/>
    <dgm:cxn modelId="{17C5C725-FF6A-4A23-BC14-1D4BAB4824E5}" type="presParOf" srcId="{FC64AE0A-35A1-44B0-A982-2E9D1B0D50C3}" destId="{D01EADB0-AEAB-45EC-9F10-DAC8F749940F}" srcOrd="1" destOrd="0" presId="urn:microsoft.com/office/officeart/2005/8/layout/chevron2"/>
    <dgm:cxn modelId="{B65C4F13-C923-47CF-B859-82DCF36CDAC5}" type="presParOf" srcId="{77314348-B23A-4712-9BDD-78E2FF1D54EA}" destId="{235D6054-2E88-4326-AC4E-0A489FD9A20A}" srcOrd="1" destOrd="0" presId="urn:microsoft.com/office/officeart/2005/8/layout/chevron2"/>
    <dgm:cxn modelId="{36192BC0-1109-49C1-ABF3-8A39714C5240}" type="presParOf" srcId="{77314348-B23A-4712-9BDD-78E2FF1D54EA}" destId="{5834FF33-8EB9-4153-8040-7FF3F2A1D65B}" srcOrd="2" destOrd="0" presId="urn:microsoft.com/office/officeart/2005/8/layout/chevron2"/>
    <dgm:cxn modelId="{94FFFE41-25DB-44EA-9676-AAE82B54B861}" type="presParOf" srcId="{5834FF33-8EB9-4153-8040-7FF3F2A1D65B}" destId="{E551636A-0D60-44D9-8CD3-6437DBE0F757}" srcOrd="0" destOrd="0" presId="urn:microsoft.com/office/officeart/2005/8/layout/chevron2"/>
    <dgm:cxn modelId="{30ED4FED-DDEA-48A6-A898-40C37C69E8F0}" type="presParOf" srcId="{5834FF33-8EB9-4153-8040-7FF3F2A1D65B}" destId="{64D42A68-8F43-489F-8068-EB16AC07DE29}" srcOrd="1" destOrd="0" presId="urn:microsoft.com/office/officeart/2005/8/layout/chevron2"/>
    <dgm:cxn modelId="{8F0704B8-B1BC-43DF-A3C3-3551F2C145C5}" type="presParOf" srcId="{77314348-B23A-4712-9BDD-78E2FF1D54EA}" destId="{492E5FC7-CD03-474A-B735-0C02D4776E39}" srcOrd="3" destOrd="0" presId="urn:microsoft.com/office/officeart/2005/8/layout/chevron2"/>
    <dgm:cxn modelId="{0D60E161-CF2A-482E-9B5A-0548BC74D4BE}" type="presParOf" srcId="{77314348-B23A-4712-9BDD-78E2FF1D54EA}" destId="{360B876D-2FD3-4943-8A35-4893BD72BE10}" srcOrd="4" destOrd="0" presId="urn:microsoft.com/office/officeart/2005/8/layout/chevron2"/>
    <dgm:cxn modelId="{AAEDCD59-26FC-45F5-B520-9BF9C4BFD95F}" type="presParOf" srcId="{360B876D-2FD3-4943-8A35-4893BD72BE10}" destId="{08C8C36C-C79B-49A1-8F29-49F23623A5F7}" srcOrd="0" destOrd="0" presId="urn:microsoft.com/office/officeart/2005/8/layout/chevron2"/>
    <dgm:cxn modelId="{194E405C-AB64-41A0-A165-3BC371416CE8}" type="presParOf" srcId="{360B876D-2FD3-4943-8A35-4893BD72BE10}" destId="{B2566F23-9ABB-4507-AED1-CE6DF2345F5F}" srcOrd="1" destOrd="0" presId="urn:microsoft.com/office/officeart/2005/8/layout/chevron2"/>
    <dgm:cxn modelId="{CA02AB47-E9B4-402D-B33E-98A62CB59630}" type="presParOf" srcId="{77314348-B23A-4712-9BDD-78E2FF1D54EA}" destId="{8C6B2FCE-B5E8-4BA8-B582-A7E06D4FDA9B}" srcOrd="5" destOrd="0" presId="urn:microsoft.com/office/officeart/2005/8/layout/chevron2"/>
    <dgm:cxn modelId="{817B0CC0-228F-43FB-8D48-1913175E1D8E}" type="presParOf" srcId="{77314348-B23A-4712-9BDD-78E2FF1D54EA}" destId="{082ECB3C-4F92-4D59-8536-1A0A0C84A5CE}" srcOrd="6" destOrd="0" presId="urn:microsoft.com/office/officeart/2005/8/layout/chevron2"/>
    <dgm:cxn modelId="{EEDBD3EE-2F79-49C1-99E7-0FEF4204FDDC}" type="presParOf" srcId="{082ECB3C-4F92-4D59-8536-1A0A0C84A5CE}" destId="{497A3A13-BAD7-46D2-91F2-BB5EF26BE440}" srcOrd="0" destOrd="0" presId="urn:microsoft.com/office/officeart/2005/8/layout/chevron2"/>
    <dgm:cxn modelId="{B1294A93-ABF8-4C43-9092-8FA640A85904}" type="presParOf" srcId="{082ECB3C-4F92-4D59-8536-1A0A0C84A5CE}" destId="{201B3C05-23CE-4A23-ADC7-C4D27BAC49CE}" srcOrd="1" destOrd="0" presId="urn:microsoft.com/office/officeart/2005/8/layout/chevron2"/>
  </dgm:cxnLst>
  <dgm:bg/>
  <dgm:whole/>
  <dgm:extLst>
    <a:ext uri="http://schemas.microsoft.com/office/drawing/2008/diagram">
      <dsp:dataModelExt xmlns:dsp="http://schemas.microsoft.com/office/drawing/2008/diagram" relId="rId54"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23CC70BF-1D31-4DCA-8FFA-7C66F053FC45}" type="doc">
      <dgm:prSet loTypeId="urn:microsoft.com/office/officeart/2005/8/layout/radial1" loCatId="cycle" qsTypeId="urn:microsoft.com/office/officeart/2005/8/quickstyle/3d3" qsCatId="3D" csTypeId="urn:microsoft.com/office/officeart/2005/8/colors/accent1_2" csCatId="accent1" phldr="1"/>
      <dgm:spPr/>
      <dgm:t>
        <a:bodyPr/>
        <a:lstStyle/>
        <a:p>
          <a:endParaRPr lang="es-CO"/>
        </a:p>
      </dgm:t>
    </dgm:pt>
    <dgm:pt modelId="{8943D5EC-0328-404F-B0F6-C38DD5AA1083}">
      <dgm:prSet phldrT="[Texto]" custT="1"/>
      <dgm:spPr/>
      <dgm:t>
        <a:bodyPr/>
        <a:lstStyle/>
        <a:p>
          <a:r>
            <a:rPr lang="es-CO" sz="1100" b="1"/>
            <a:t>Investigaciones, innovación y extensión</a:t>
          </a:r>
        </a:p>
      </dgm:t>
    </dgm:pt>
    <dgm:pt modelId="{DE4222A0-866C-4722-81D2-47F2A3A92CDC}" type="parTrans" cxnId="{58589B8A-EB3F-4705-BC17-6A8F47A92231}">
      <dgm:prSet/>
      <dgm:spPr/>
      <dgm:t>
        <a:bodyPr/>
        <a:lstStyle/>
        <a:p>
          <a:endParaRPr lang="es-CO"/>
        </a:p>
      </dgm:t>
    </dgm:pt>
    <dgm:pt modelId="{CB368499-7AFB-4342-BA01-7B011A59258D}" type="sibTrans" cxnId="{58589B8A-EB3F-4705-BC17-6A8F47A92231}">
      <dgm:prSet/>
      <dgm:spPr/>
      <dgm:t>
        <a:bodyPr/>
        <a:lstStyle/>
        <a:p>
          <a:endParaRPr lang="es-CO"/>
        </a:p>
      </dgm:t>
    </dgm:pt>
    <dgm:pt modelId="{DA2F1948-B8B0-481B-8DE5-062D0FC8B7A0}">
      <dgm:prSet phldrT="[Texto]" custT="1"/>
      <dgm:spPr/>
      <dgm:t>
        <a:bodyPr/>
        <a:lstStyle/>
        <a:p>
          <a:r>
            <a:rPr lang="es-CO" sz="1100"/>
            <a:t>Creación y transformación del conocimiento</a:t>
          </a:r>
        </a:p>
      </dgm:t>
    </dgm:pt>
    <dgm:pt modelId="{FD7B5179-EE18-4C4D-951D-629237C0AC22}" type="parTrans" cxnId="{1C6751EC-F48B-448F-AB15-6AD30E8474EF}">
      <dgm:prSet/>
      <dgm:spPr/>
      <dgm:t>
        <a:bodyPr/>
        <a:lstStyle/>
        <a:p>
          <a:endParaRPr lang="es-CO"/>
        </a:p>
      </dgm:t>
    </dgm:pt>
    <dgm:pt modelId="{CE38F2EC-DAC7-4BD7-A72B-DE2432133D80}" type="sibTrans" cxnId="{1C6751EC-F48B-448F-AB15-6AD30E8474EF}">
      <dgm:prSet/>
      <dgm:spPr/>
      <dgm:t>
        <a:bodyPr/>
        <a:lstStyle/>
        <a:p>
          <a:endParaRPr lang="es-CO"/>
        </a:p>
      </dgm:t>
    </dgm:pt>
    <dgm:pt modelId="{3528A384-215A-4288-A9E2-0A93A6AF0930}">
      <dgm:prSet phldrT="[Texto]" custT="1"/>
      <dgm:spPr/>
      <dgm:t>
        <a:bodyPr/>
        <a:lstStyle/>
        <a:p>
          <a:r>
            <a:rPr lang="es-CO" sz="1100"/>
            <a:t>Transferencia o aplicación del conocimiento</a:t>
          </a:r>
        </a:p>
      </dgm:t>
    </dgm:pt>
    <dgm:pt modelId="{2D05A414-A81E-42BB-90EC-8AE3D08AC45B}" type="parTrans" cxnId="{C0B59C7A-FD3B-4AC7-90FD-DED0E95388B3}">
      <dgm:prSet/>
      <dgm:spPr/>
      <dgm:t>
        <a:bodyPr/>
        <a:lstStyle/>
        <a:p>
          <a:endParaRPr lang="es-CO"/>
        </a:p>
      </dgm:t>
    </dgm:pt>
    <dgm:pt modelId="{AA2C7AAC-0E0E-4D59-B6BD-89F2BFDE342A}" type="sibTrans" cxnId="{C0B59C7A-FD3B-4AC7-90FD-DED0E95388B3}">
      <dgm:prSet/>
      <dgm:spPr/>
      <dgm:t>
        <a:bodyPr/>
        <a:lstStyle/>
        <a:p>
          <a:endParaRPr lang="es-CO"/>
        </a:p>
      </dgm:t>
    </dgm:pt>
    <dgm:pt modelId="{852DF5EA-A403-4F5A-A09B-60003E736CBB}">
      <dgm:prSet phldrT="[Texto]" custT="1"/>
      <dgm:spPr/>
      <dgm:t>
        <a:bodyPr/>
        <a:lstStyle/>
        <a:p>
          <a:r>
            <a:rPr lang="es-CO" sz="1100"/>
            <a:t>Generación de desarrollo social y cultural</a:t>
          </a:r>
        </a:p>
      </dgm:t>
    </dgm:pt>
    <dgm:pt modelId="{B47E1048-5D1E-478C-A19C-D5612987957B}" type="parTrans" cxnId="{B665BC8F-27A0-4269-AE44-7AA1E36B16C9}">
      <dgm:prSet/>
      <dgm:spPr/>
      <dgm:t>
        <a:bodyPr/>
        <a:lstStyle/>
        <a:p>
          <a:endParaRPr lang="es-CO"/>
        </a:p>
      </dgm:t>
    </dgm:pt>
    <dgm:pt modelId="{6E5B88D2-1A90-4E8B-9F8C-B9FF96B217CA}" type="sibTrans" cxnId="{B665BC8F-27A0-4269-AE44-7AA1E36B16C9}">
      <dgm:prSet/>
      <dgm:spPr/>
      <dgm:t>
        <a:bodyPr/>
        <a:lstStyle/>
        <a:p>
          <a:endParaRPr lang="es-CO"/>
        </a:p>
      </dgm:t>
    </dgm:pt>
    <dgm:pt modelId="{6A43E0ED-5FA5-42D1-8651-84B984144EC7}">
      <dgm:prSet phldrT="[Texto]" custT="1"/>
      <dgm:spPr/>
      <dgm:t>
        <a:bodyPr/>
        <a:lstStyle/>
        <a:p>
          <a:r>
            <a:rPr lang="es-CO" sz="1100"/>
            <a:t>Desarrollo institucional</a:t>
          </a:r>
        </a:p>
      </dgm:t>
    </dgm:pt>
    <dgm:pt modelId="{16417E58-9C35-43FC-81B2-5CCD5DF46D87}" type="parTrans" cxnId="{0777740D-D803-4B5B-9E9A-AC2C205059CB}">
      <dgm:prSet/>
      <dgm:spPr/>
      <dgm:t>
        <a:bodyPr/>
        <a:lstStyle/>
        <a:p>
          <a:endParaRPr lang="es-CO"/>
        </a:p>
      </dgm:t>
    </dgm:pt>
    <dgm:pt modelId="{25D7818E-1936-432D-B039-1796DD4EB87E}" type="sibTrans" cxnId="{0777740D-D803-4B5B-9E9A-AC2C205059CB}">
      <dgm:prSet/>
      <dgm:spPr/>
      <dgm:t>
        <a:bodyPr/>
        <a:lstStyle/>
        <a:p>
          <a:endParaRPr lang="es-CO"/>
        </a:p>
      </dgm:t>
    </dgm:pt>
    <dgm:pt modelId="{B6336DBC-1A13-428D-B5BE-84C6E76DF998}" type="pres">
      <dgm:prSet presAssocID="{23CC70BF-1D31-4DCA-8FFA-7C66F053FC45}" presName="cycle" presStyleCnt="0">
        <dgm:presLayoutVars>
          <dgm:chMax val="1"/>
          <dgm:dir/>
          <dgm:animLvl val="ctr"/>
          <dgm:resizeHandles val="exact"/>
        </dgm:presLayoutVars>
      </dgm:prSet>
      <dgm:spPr/>
      <dgm:t>
        <a:bodyPr/>
        <a:lstStyle/>
        <a:p>
          <a:endParaRPr lang="es-CO"/>
        </a:p>
      </dgm:t>
    </dgm:pt>
    <dgm:pt modelId="{A929FBA8-EECB-4D76-867C-5A838D7D3814}" type="pres">
      <dgm:prSet presAssocID="{8943D5EC-0328-404F-B0F6-C38DD5AA1083}" presName="centerShape" presStyleLbl="node0" presStyleIdx="0" presStyleCnt="1" custScaleX="166475"/>
      <dgm:spPr/>
      <dgm:t>
        <a:bodyPr/>
        <a:lstStyle/>
        <a:p>
          <a:endParaRPr lang="es-CO"/>
        </a:p>
      </dgm:t>
    </dgm:pt>
    <dgm:pt modelId="{F2491910-B651-4E44-ADC4-6E21E66ECEE7}" type="pres">
      <dgm:prSet presAssocID="{FD7B5179-EE18-4C4D-951D-629237C0AC22}" presName="Name9" presStyleLbl="parChTrans1D2" presStyleIdx="0" presStyleCnt="4"/>
      <dgm:spPr/>
      <dgm:t>
        <a:bodyPr/>
        <a:lstStyle/>
        <a:p>
          <a:endParaRPr lang="es-CO"/>
        </a:p>
      </dgm:t>
    </dgm:pt>
    <dgm:pt modelId="{76EFAA0E-1F76-4F5E-BBE0-7AAB8BCB7B4A}" type="pres">
      <dgm:prSet presAssocID="{FD7B5179-EE18-4C4D-951D-629237C0AC22}" presName="connTx" presStyleLbl="parChTrans1D2" presStyleIdx="0" presStyleCnt="4"/>
      <dgm:spPr/>
      <dgm:t>
        <a:bodyPr/>
        <a:lstStyle/>
        <a:p>
          <a:endParaRPr lang="es-CO"/>
        </a:p>
      </dgm:t>
    </dgm:pt>
    <dgm:pt modelId="{76A09AE8-24E4-454F-86D9-5D752D48490F}" type="pres">
      <dgm:prSet presAssocID="{DA2F1948-B8B0-481B-8DE5-062D0FC8B7A0}" presName="node" presStyleLbl="node1" presStyleIdx="0" presStyleCnt="4" custScaleX="156487">
        <dgm:presLayoutVars>
          <dgm:bulletEnabled val="1"/>
        </dgm:presLayoutVars>
      </dgm:prSet>
      <dgm:spPr/>
      <dgm:t>
        <a:bodyPr/>
        <a:lstStyle/>
        <a:p>
          <a:endParaRPr lang="es-CO"/>
        </a:p>
      </dgm:t>
    </dgm:pt>
    <dgm:pt modelId="{37C0A485-341B-4624-A15D-D1B6FC88CD86}" type="pres">
      <dgm:prSet presAssocID="{2D05A414-A81E-42BB-90EC-8AE3D08AC45B}" presName="Name9" presStyleLbl="parChTrans1D2" presStyleIdx="1" presStyleCnt="4"/>
      <dgm:spPr/>
      <dgm:t>
        <a:bodyPr/>
        <a:lstStyle/>
        <a:p>
          <a:endParaRPr lang="es-CO"/>
        </a:p>
      </dgm:t>
    </dgm:pt>
    <dgm:pt modelId="{C73C9A21-27B1-4F27-BBB4-332CC908DB15}" type="pres">
      <dgm:prSet presAssocID="{2D05A414-A81E-42BB-90EC-8AE3D08AC45B}" presName="connTx" presStyleLbl="parChTrans1D2" presStyleIdx="1" presStyleCnt="4"/>
      <dgm:spPr/>
      <dgm:t>
        <a:bodyPr/>
        <a:lstStyle/>
        <a:p>
          <a:endParaRPr lang="es-CO"/>
        </a:p>
      </dgm:t>
    </dgm:pt>
    <dgm:pt modelId="{4A884F8A-C797-4803-B4DA-E8F7287123C1}" type="pres">
      <dgm:prSet presAssocID="{3528A384-215A-4288-A9E2-0A93A6AF0930}" presName="node" presStyleLbl="node1" presStyleIdx="1" presStyleCnt="4" custScaleX="160770" custScaleY="101617" custRadScaleRad="143193" custRadScaleInc="1">
        <dgm:presLayoutVars>
          <dgm:bulletEnabled val="1"/>
        </dgm:presLayoutVars>
      </dgm:prSet>
      <dgm:spPr/>
      <dgm:t>
        <a:bodyPr/>
        <a:lstStyle/>
        <a:p>
          <a:endParaRPr lang="es-CO"/>
        </a:p>
      </dgm:t>
    </dgm:pt>
    <dgm:pt modelId="{E4EF0F16-7A04-43D8-B5D6-5BDDF7992D5B}" type="pres">
      <dgm:prSet presAssocID="{B47E1048-5D1E-478C-A19C-D5612987957B}" presName="Name9" presStyleLbl="parChTrans1D2" presStyleIdx="2" presStyleCnt="4"/>
      <dgm:spPr/>
      <dgm:t>
        <a:bodyPr/>
        <a:lstStyle/>
        <a:p>
          <a:endParaRPr lang="es-CO"/>
        </a:p>
      </dgm:t>
    </dgm:pt>
    <dgm:pt modelId="{8B58F0F5-2032-4479-952C-6DA9EF785929}" type="pres">
      <dgm:prSet presAssocID="{B47E1048-5D1E-478C-A19C-D5612987957B}" presName="connTx" presStyleLbl="parChTrans1D2" presStyleIdx="2" presStyleCnt="4"/>
      <dgm:spPr/>
      <dgm:t>
        <a:bodyPr/>
        <a:lstStyle/>
        <a:p>
          <a:endParaRPr lang="es-CO"/>
        </a:p>
      </dgm:t>
    </dgm:pt>
    <dgm:pt modelId="{2282DD0D-F361-4562-B25E-CC466A3A55EC}" type="pres">
      <dgm:prSet presAssocID="{852DF5EA-A403-4F5A-A09B-60003E736CBB}" presName="node" presStyleLbl="node1" presStyleIdx="2" presStyleCnt="4" custScaleX="171621">
        <dgm:presLayoutVars>
          <dgm:bulletEnabled val="1"/>
        </dgm:presLayoutVars>
      </dgm:prSet>
      <dgm:spPr/>
      <dgm:t>
        <a:bodyPr/>
        <a:lstStyle/>
        <a:p>
          <a:endParaRPr lang="es-CO"/>
        </a:p>
      </dgm:t>
    </dgm:pt>
    <dgm:pt modelId="{C95E7FD3-2BD2-44BB-8D6C-A488252096E0}" type="pres">
      <dgm:prSet presAssocID="{16417E58-9C35-43FC-81B2-5CCD5DF46D87}" presName="Name9" presStyleLbl="parChTrans1D2" presStyleIdx="3" presStyleCnt="4"/>
      <dgm:spPr/>
      <dgm:t>
        <a:bodyPr/>
        <a:lstStyle/>
        <a:p>
          <a:endParaRPr lang="es-CO"/>
        </a:p>
      </dgm:t>
    </dgm:pt>
    <dgm:pt modelId="{13B7680E-D8A1-46B0-A2DC-63138242BEF0}" type="pres">
      <dgm:prSet presAssocID="{16417E58-9C35-43FC-81B2-5CCD5DF46D87}" presName="connTx" presStyleLbl="parChTrans1D2" presStyleIdx="3" presStyleCnt="4"/>
      <dgm:spPr/>
      <dgm:t>
        <a:bodyPr/>
        <a:lstStyle/>
        <a:p>
          <a:endParaRPr lang="es-CO"/>
        </a:p>
      </dgm:t>
    </dgm:pt>
    <dgm:pt modelId="{CE6493EA-217B-465E-9295-E6B50F9C388E}" type="pres">
      <dgm:prSet presAssocID="{6A43E0ED-5FA5-42D1-8651-84B984144EC7}" presName="node" presStyleLbl="node1" presStyleIdx="3" presStyleCnt="4" custScaleX="158089" custScaleY="108102" custRadScaleRad="149010" custRadScaleInc="-710">
        <dgm:presLayoutVars>
          <dgm:bulletEnabled val="1"/>
        </dgm:presLayoutVars>
      </dgm:prSet>
      <dgm:spPr/>
      <dgm:t>
        <a:bodyPr/>
        <a:lstStyle/>
        <a:p>
          <a:endParaRPr lang="es-CO"/>
        </a:p>
      </dgm:t>
    </dgm:pt>
  </dgm:ptLst>
  <dgm:cxnLst>
    <dgm:cxn modelId="{1C6751EC-F48B-448F-AB15-6AD30E8474EF}" srcId="{8943D5EC-0328-404F-B0F6-C38DD5AA1083}" destId="{DA2F1948-B8B0-481B-8DE5-062D0FC8B7A0}" srcOrd="0" destOrd="0" parTransId="{FD7B5179-EE18-4C4D-951D-629237C0AC22}" sibTransId="{CE38F2EC-DAC7-4BD7-A72B-DE2432133D80}"/>
    <dgm:cxn modelId="{B665BC8F-27A0-4269-AE44-7AA1E36B16C9}" srcId="{8943D5EC-0328-404F-B0F6-C38DD5AA1083}" destId="{852DF5EA-A403-4F5A-A09B-60003E736CBB}" srcOrd="2" destOrd="0" parTransId="{B47E1048-5D1E-478C-A19C-D5612987957B}" sibTransId="{6E5B88D2-1A90-4E8B-9F8C-B9FF96B217CA}"/>
    <dgm:cxn modelId="{7FDB4E00-4F2C-4358-8B66-565754232927}" type="presOf" srcId="{FD7B5179-EE18-4C4D-951D-629237C0AC22}" destId="{F2491910-B651-4E44-ADC4-6E21E66ECEE7}" srcOrd="0" destOrd="0" presId="urn:microsoft.com/office/officeart/2005/8/layout/radial1"/>
    <dgm:cxn modelId="{11D809F5-A4C2-495F-8487-6B59B53C0A75}" type="presOf" srcId="{B47E1048-5D1E-478C-A19C-D5612987957B}" destId="{E4EF0F16-7A04-43D8-B5D6-5BDDF7992D5B}" srcOrd="0" destOrd="0" presId="urn:microsoft.com/office/officeart/2005/8/layout/radial1"/>
    <dgm:cxn modelId="{FE761E55-9BC7-4F22-99A6-521D366D3D0C}" type="presOf" srcId="{DA2F1948-B8B0-481B-8DE5-062D0FC8B7A0}" destId="{76A09AE8-24E4-454F-86D9-5D752D48490F}" srcOrd="0" destOrd="0" presId="urn:microsoft.com/office/officeart/2005/8/layout/radial1"/>
    <dgm:cxn modelId="{14013594-D561-411B-AD94-2C5CA51896AF}" type="presOf" srcId="{23CC70BF-1D31-4DCA-8FFA-7C66F053FC45}" destId="{B6336DBC-1A13-428D-B5BE-84C6E76DF998}" srcOrd="0" destOrd="0" presId="urn:microsoft.com/office/officeart/2005/8/layout/radial1"/>
    <dgm:cxn modelId="{6FED9E3E-FF6A-4AA5-B216-3570929BB41D}" type="presOf" srcId="{B47E1048-5D1E-478C-A19C-D5612987957B}" destId="{8B58F0F5-2032-4479-952C-6DA9EF785929}" srcOrd="1" destOrd="0" presId="urn:microsoft.com/office/officeart/2005/8/layout/radial1"/>
    <dgm:cxn modelId="{70440B99-9097-4B72-B199-710C8073C785}" type="presOf" srcId="{2D05A414-A81E-42BB-90EC-8AE3D08AC45B}" destId="{37C0A485-341B-4624-A15D-D1B6FC88CD86}" srcOrd="0" destOrd="0" presId="urn:microsoft.com/office/officeart/2005/8/layout/radial1"/>
    <dgm:cxn modelId="{2CB07422-EE24-4F66-9ED1-A0746FABCCF4}" type="presOf" srcId="{2D05A414-A81E-42BB-90EC-8AE3D08AC45B}" destId="{C73C9A21-27B1-4F27-BBB4-332CC908DB15}" srcOrd="1" destOrd="0" presId="urn:microsoft.com/office/officeart/2005/8/layout/radial1"/>
    <dgm:cxn modelId="{CAC95BA0-6F93-4D1E-BF80-2608797201F8}" type="presOf" srcId="{16417E58-9C35-43FC-81B2-5CCD5DF46D87}" destId="{C95E7FD3-2BD2-44BB-8D6C-A488252096E0}" srcOrd="0" destOrd="0" presId="urn:microsoft.com/office/officeart/2005/8/layout/radial1"/>
    <dgm:cxn modelId="{0777740D-D803-4B5B-9E9A-AC2C205059CB}" srcId="{8943D5EC-0328-404F-B0F6-C38DD5AA1083}" destId="{6A43E0ED-5FA5-42D1-8651-84B984144EC7}" srcOrd="3" destOrd="0" parTransId="{16417E58-9C35-43FC-81B2-5CCD5DF46D87}" sibTransId="{25D7818E-1936-432D-B039-1796DD4EB87E}"/>
    <dgm:cxn modelId="{C0B59C7A-FD3B-4AC7-90FD-DED0E95388B3}" srcId="{8943D5EC-0328-404F-B0F6-C38DD5AA1083}" destId="{3528A384-215A-4288-A9E2-0A93A6AF0930}" srcOrd="1" destOrd="0" parTransId="{2D05A414-A81E-42BB-90EC-8AE3D08AC45B}" sibTransId="{AA2C7AAC-0E0E-4D59-B6BD-89F2BFDE342A}"/>
    <dgm:cxn modelId="{2E408CCF-8C0D-4C06-9FCE-AA879C986FFF}" type="presOf" srcId="{8943D5EC-0328-404F-B0F6-C38DD5AA1083}" destId="{A929FBA8-EECB-4D76-867C-5A838D7D3814}" srcOrd="0" destOrd="0" presId="urn:microsoft.com/office/officeart/2005/8/layout/radial1"/>
    <dgm:cxn modelId="{80D73C3B-2333-475C-8B9B-E6251022EA68}" type="presOf" srcId="{3528A384-215A-4288-A9E2-0A93A6AF0930}" destId="{4A884F8A-C797-4803-B4DA-E8F7287123C1}" srcOrd="0" destOrd="0" presId="urn:microsoft.com/office/officeart/2005/8/layout/radial1"/>
    <dgm:cxn modelId="{58589B8A-EB3F-4705-BC17-6A8F47A92231}" srcId="{23CC70BF-1D31-4DCA-8FFA-7C66F053FC45}" destId="{8943D5EC-0328-404F-B0F6-C38DD5AA1083}" srcOrd="0" destOrd="0" parTransId="{DE4222A0-866C-4722-81D2-47F2A3A92CDC}" sibTransId="{CB368499-7AFB-4342-BA01-7B011A59258D}"/>
    <dgm:cxn modelId="{C2C1391B-A8AC-472D-8925-8DA6DB96C2C4}" type="presOf" srcId="{852DF5EA-A403-4F5A-A09B-60003E736CBB}" destId="{2282DD0D-F361-4562-B25E-CC466A3A55EC}" srcOrd="0" destOrd="0" presId="urn:microsoft.com/office/officeart/2005/8/layout/radial1"/>
    <dgm:cxn modelId="{0C4BD888-1F7B-472D-B498-B7679EE9F120}" type="presOf" srcId="{16417E58-9C35-43FC-81B2-5CCD5DF46D87}" destId="{13B7680E-D8A1-46B0-A2DC-63138242BEF0}" srcOrd="1" destOrd="0" presId="urn:microsoft.com/office/officeart/2005/8/layout/radial1"/>
    <dgm:cxn modelId="{5437754F-7B84-4D8A-912E-9D726A22244B}" type="presOf" srcId="{FD7B5179-EE18-4C4D-951D-629237C0AC22}" destId="{76EFAA0E-1F76-4F5E-BBE0-7AAB8BCB7B4A}" srcOrd="1" destOrd="0" presId="urn:microsoft.com/office/officeart/2005/8/layout/radial1"/>
    <dgm:cxn modelId="{44A12EA2-3E71-481B-A6D0-78A6A57FCB95}" type="presOf" srcId="{6A43E0ED-5FA5-42D1-8651-84B984144EC7}" destId="{CE6493EA-217B-465E-9295-E6B50F9C388E}" srcOrd="0" destOrd="0" presId="urn:microsoft.com/office/officeart/2005/8/layout/radial1"/>
    <dgm:cxn modelId="{0BB6CF02-7E2C-4623-81C6-F26F96FBC770}" type="presParOf" srcId="{B6336DBC-1A13-428D-B5BE-84C6E76DF998}" destId="{A929FBA8-EECB-4D76-867C-5A838D7D3814}" srcOrd="0" destOrd="0" presId="urn:microsoft.com/office/officeart/2005/8/layout/radial1"/>
    <dgm:cxn modelId="{923816B9-DFF7-47F3-99B5-A4A7A50F13FB}" type="presParOf" srcId="{B6336DBC-1A13-428D-B5BE-84C6E76DF998}" destId="{F2491910-B651-4E44-ADC4-6E21E66ECEE7}" srcOrd="1" destOrd="0" presId="urn:microsoft.com/office/officeart/2005/8/layout/radial1"/>
    <dgm:cxn modelId="{4D4AA193-B7BF-404D-8308-05F6747BBD68}" type="presParOf" srcId="{F2491910-B651-4E44-ADC4-6E21E66ECEE7}" destId="{76EFAA0E-1F76-4F5E-BBE0-7AAB8BCB7B4A}" srcOrd="0" destOrd="0" presId="urn:microsoft.com/office/officeart/2005/8/layout/radial1"/>
    <dgm:cxn modelId="{1FB4213D-58A0-43F6-B78F-C2BBB67AEC4D}" type="presParOf" srcId="{B6336DBC-1A13-428D-B5BE-84C6E76DF998}" destId="{76A09AE8-24E4-454F-86D9-5D752D48490F}" srcOrd="2" destOrd="0" presId="urn:microsoft.com/office/officeart/2005/8/layout/radial1"/>
    <dgm:cxn modelId="{1C7CAB6D-C3FB-49FD-9040-921B1E6C9D9A}" type="presParOf" srcId="{B6336DBC-1A13-428D-B5BE-84C6E76DF998}" destId="{37C0A485-341B-4624-A15D-D1B6FC88CD86}" srcOrd="3" destOrd="0" presId="urn:microsoft.com/office/officeart/2005/8/layout/radial1"/>
    <dgm:cxn modelId="{6A164966-F802-4F30-986C-2F01103C3BE4}" type="presParOf" srcId="{37C0A485-341B-4624-A15D-D1B6FC88CD86}" destId="{C73C9A21-27B1-4F27-BBB4-332CC908DB15}" srcOrd="0" destOrd="0" presId="urn:microsoft.com/office/officeart/2005/8/layout/radial1"/>
    <dgm:cxn modelId="{4E6F01E4-ABF4-4B38-99F7-D20D6ECBCC5E}" type="presParOf" srcId="{B6336DBC-1A13-428D-B5BE-84C6E76DF998}" destId="{4A884F8A-C797-4803-B4DA-E8F7287123C1}" srcOrd="4" destOrd="0" presId="urn:microsoft.com/office/officeart/2005/8/layout/radial1"/>
    <dgm:cxn modelId="{E36E7899-4986-4F5F-9EBB-6B72C7033603}" type="presParOf" srcId="{B6336DBC-1A13-428D-B5BE-84C6E76DF998}" destId="{E4EF0F16-7A04-43D8-B5D6-5BDDF7992D5B}" srcOrd="5" destOrd="0" presId="urn:microsoft.com/office/officeart/2005/8/layout/radial1"/>
    <dgm:cxn modelId="{21F531B8-6168-4C05-A17F-24FB57E7E493}" type="presParOf" srcId="{E4EF0F16-7A04-43D8-B5D6-5BDDF7992D5B}" destId="{8B58F0F5-2032-4479-952C-6DA9EF785929}" srcOrd="0" destOrd="0" presId="urn:microsoft.com/office/officeart/2005/8/layout/radial1"/>
    <dgm:cxn modelId="{52EB6089-D8AC-4324-B76B-BA32060E5C66}" type="presParOf" srcId="{B6336DBC-1A13-428D-B5BE-84C6E76DF998}" destId="{2282DD0D-F361-4562-B25E-CC466A3A55EC}" srcOrd="6" destOrd="0" presId="urn:microsoft.com/office/officeart/2005/8/layout/radial1"/>
    <dgm:cxn modelId="{FF672E36-4BD0-4C08-986A-10DD29F7611A}" type="presParOf" srcId="{B6336DBC-1A13-428D-B5BE-84C6E76DF998}" destId="{C95E7FD3-2BD2-44BB-8D6C-A488252096E0}" srcOrd="7" destOrd="0" presId="urn:microsoft.com/office/officeart/2005/8/layout/radial1"/>
    <dgm:cxn modelId="{B8A3F3E5-149D-449D-A82C-ECB67E8AE5D2}" type="presParOf" srcId="{C95E7FD3-2BD2-44BB-8D6C-A488252096E0}" destId="{13B7680E-D8A1-46B0-A2DC-63138242BEF0}" srcOrd="0" destOrd="0" presId="urn:microsoft.com/office/officeart/2005/8/layout/radial1"/>
    <dgm:cxn modelId="{8D9B09D8-706F-46FB-A51B-9CB65A842143}" type="presParOf" srcId="{B6336DBC-1A13-428D-B5BE-84C6E76DF998}" destId="{CE6493EA-217B-465E-9295-E6B50F9C388E}" srcOrd="8" destOrd="0" presId="urn:microsoft.com/office/officeart/2005/8/layout/radial1"/>
  </dgm:cxnLst>
  <dgm:bg/>
  <dgm:whole/>
  <dgm:extLst>
    <a:ext uri="http://schemas.microsoft.com/office/drawing/2008/diagram">
      <dsp:dataModelExt xmlns:dsp="http://schemas.microsoft.com/office/drawing/2008/diagram" relId="rId7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929FBA8-EECB-4D76-867C-5A838D7D3814}">
      <dsp:nvSpPr>
        <dsp:cNvPr id="0" name=""/>
        <dsp:cNvSpPr/>
      </dsp:nvSpPr>
      <dsp:spPr>
        <a:xfrm>
          <a:off x="2285093" y="1123198"/>
          <a:ext cx="1401092" cy="841623"/>
        </a:xfrm>
        <a:prstGeom prst="ellipse">
          <a:avLst/>
        </a:prstGeom>
        <a:solidFill>
          <a:schemeClr val="accent1">
            <a:hueOff val="0"/>
            <a:satOff val="0"/>
            <a:lumOff val="0"/>
            <a:alphaOff val="0"/>
          </a:scheme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s-CO" sz="1100" b="1" kern="1200"/>
            <a:t>GESTIÓN AMBIENTAL UNIVERSITARIA</a:t>
          </a:r>
        </a:p>
      </dsp:txBody>
      <dsp:txXfrm>
        <a:off x="2490278" y="1246451"/>
        <a:ext cx="990722" cy="595117"/>
      </dsp:txXfrm>
    </dsp:sp>
    <dsp:sp modelId="{F2491910-B651-4E44-ADC4-6E21E66ECEE7}">
      <dsp:nvSpPr>
        <dsp:cNvPr id="0" name=""/>
        <dsp:cNvSpPr/>
      </dsp:nvSpPr>
      <dsp:spPr>
        <a:xfrm rot="16228298">
          <a:off x="2864726" y="985175"/>
          <a:ext cx="250819" cy="25245"/>
        </a:xfrm>
        <a:custGeom>
          <a:avLst/>
          <a:gdLst/>
          <a:ahLst/>
          <a:cxnLst/>
          <a:rect l="0" t="0" r="0" b="0"/>
          <a:pathLst>
            <a:path>
              <a:moveTo>
                <a:pt x="0" y="12622"/>
              </a:moveTo>
              <a:lnTo>
                <a:pt x="250819" y="12622"/>
              </a:lnTo>
            </a:path>
          </a:pathLst>
        </a:custGeom>
        <a:noFill/>
        <a:ln w="25400" cap="flat" cmpd="sng" algn="ctr">
          <a:solidFill>
            <a:schemeClr val="accent1">
              <a:shade val="60000"/>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s-CO" sz="500" kern="1200"/>
        </a:p>
      </dsp:txBody>
      <dsp:txXfrm>
        <a:off x="2983865" y="991527"/>
        <a:ext cx="12540" cy="12540"/>
      </dsp:txXfrm>
    </dsp:sp>
    <dsp:sp modelId="{76A09AE8-24E4-454F-86D9-5D752D48490F}">
      <dsp:nvSpPr>
        <dsp:cNvPr id="0" name=""/>
        <dsp:cNvSpPr/>
      </dsp:nvSpPr>
      <dsp:spPr>
        <a:xfrm>
          <a:off x="2265193" y="6156"/>
          <a:ext cx="1459080" cy="866241"/>
        </a:xfrm>
        <a:prstGeom prst="ellipse">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s-CO" sz="1100" kern="1200">
              <a:solidFill>
                <a:schemeClr val="bg1"/>
              </a:solidFill>
            </a:rPr>
            <a:t>Totalidad d</a:t>
          </a:r>
          <a:r>
            <a:rPr lang="es-CO" sz="1100" kern="1200"/>
            <a:t>e los Bosques en conservación ambiental</a:t>
          </a:r>
        </a:p>
      </dsp:txBody>
      <dsp:txXfrm>
        <a:off x="2478870" y="133014"/>
        <a:ext cx="1031726" cy="612525"/>
      </dsp:txXfrm>
    </dsp:sp>
    <dsp:sp modelId="{37C0A485-341B-4624-A15D-D1B6FC88CD86}">
      <dsp:nvSpPr>
        <dsp:cNvPr id="0" name=""/>
        <dsp:cNvSpPr/>
      </dsp:nvSpPr>
      <dsp:spPr>
        <a:xfrm rot="21580215">
          <a:off x="3686152" y="1526778"/>
          <a:ext cx="200950" cy="25245"/>
        </a:xfrm>
        <a:custGeom>
          <a:avLst/>
          <a:gdLst/>
          <a:ahLst/>
          <a:cxnLst/>
          <a:rect l="0" t="0" r="0" b="0"/>
          <a:pathLst>
            <a:path>
              <a:moveTo>
                <a:pt x="0" y="12622"/>
              </a:moveTo>
              <a:lnTo>
                <a:pt x="200950" y="12622"/>
              </a:lnTo>
            </a:path>
          </a:pathLst>
        </a:custGeom>
        <a:noFill/>
        <a:ln w="25400" cap="flat" cmpd="sng" algn="ctr">
          <a:solidFill>
            <a:schemeClr val="accent1">
              <a:shade val="60000"/>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s-CO" sz="500" kern="1200"/>
        </a:p>
      </dsp:txBody>
      <dsp:txXfrm>
        <a:off x="3781604" y="1534377"/>
        <a:ext cx="10047" cy="10047"/>
      </dsp:txXfrm>
    </dsp:sp>
    <dsp:sp modelId="{4A884F8A-C797-4803-B4DA-E8F7287123C1}">
      <dsp:nvSpPr>
        <dsp:cNvPr id="0" name=""/>
        <dsp:cNvSpPr/>
      </dsp:nvSpPr>
      <dsp:spPr>
        <a:xfrm>
          <a:off x="3887074" y="1107312"/>
          <a:ext cx="1353078" cy="855232"/>
        </a:xfrm>
        <a:prstGeom prst="ellipse">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s-CO" sz="900" kern="1200"/>
            <a:t>402 especies  </a:t>
          </a:r>
          <a:r>
            <a:rPr lang="es-CO" sz="900" kern="1200">
              <a:solidFill>
                <a:schemeClr val="bg1"/>
              </a:solidFill>
            </a:rPr>
            <a:t>de valor ecologico y/o en via de extición </a:t>
          </a:r>
          <a:r>
            <a:rPr lang="es-CO" sz="900" kern="1200"/>
            <a:t>en conservación</a:t>
          </a:r>
        </a:p>
      </dsp:txBody>
      <dsp:txXfrm>
        <a:off x="4085228" y="1232558"/>
        <a:ext cx="956770" cy="604740"/>
      </dsp:txXfrm>
    </dsp:sp>
    <dsp:sp modelId="{E4EF0F16-7A04-43D8-B5D6-5BDDF7992D5B}">
      <dsp:nvSpPr>
        <dsp:cNvPr id="0" name=""/>
        <dsp:cNvSpPr/>
      </dsp:nvSpPr>
      <dsp:spPr>
        <a:xfrm rot="5371229">
          <a:off x="2867716" y="2074660"/>
          <a:ext cx="244941" cy="25245"/>
        </a:xfrm>
        <a:custGeom>
          <a:avLst/>
          <a:gdLst/>
          <a:ahLst/>
          <a:cxnLst/>
          <a:rect l="0" t="0" r="0" b="0"/>
          <a:pathLst>
            <a:path>
              <a:moveTo>
                <a:pt x="0" y="12622"/>
              </a:moveTo>
              <a:lnTo>
                <a:pt x="244941" y="12622"/>
              </a:lnTo>
            </a:path>
          </a:pathLst>
        </a:custGeom>
        <a:noFill/>
        <a:ln w="25400" cap="flat" cmpd="sng" algn="ctr">
          <a:solidFill>
            <a:schemeClr val="accent1">
              <a:shade val="60000"/>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s-CO" sz="500" kern="1200"/>
        </a:p>
      </dsp:txBody>
      <dsp:txXfrm>
        <a:off x="2984063" y="2081159"/>
        <a:ext cx="12247" cy="12247"/>
      </dsp:txXfrm>
    </dsp:sp>
    <dsp:sp modelId="{2282DD0D-F361-4562-B25E-CC466A3A55EC}">
      <dsp:nvSpPr>
        <dsp:cNvPr id="0" name=""/>
        <dsp:cNvSpPr/>
      </dsp:nvSpPr>
      <dsp:spPr>
        <a:xfrm>
          <a:off x="2272532" y="2209744"/>
          <a:ext cx="1444402" cy="841623"/>
        </a:xfrm>
        <a:prstGeom prst="ellipse">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s-CO" sz="1000" kern="1200"/>
            <a:t>Docentes (planta, transitorios y catedráticos) capacitados y sensibilizados</a:t>
          </a:r>
        </a:p>
      </dsp:txBody>
      <dsp:txXfrm>
        <a:off x="2484060" y="2332997"/>
        <a:ext cx="1021346" cy="595117"/>
      </dsp:txXfrm>
    </dsp:sp>
    <dsp:sp modelId="{C95E7FD3-2BD2-44BB-8D6C-A488252096E0}">
      <dsp:nvSpPr>
        <dsp:cNvPr id="0" name=""/>
        <dsp:cNvSpPr/>
      </dsp:nvSpPr>
      <dsp:spPr>
        <a:xfrm rot="10799979">
          <a:off x="2027404" y="1531393"/>
          <a:ext cx="257689" cy="25245"/>
        </a:xfrm>
        <a:custGeom>
          <a:avLst/>
          <a:gdLst/>
          <a:ahLst/>
          <a:cxnLst/>
          <a:rect l="0" t="0" r="0" b="0"/>
          <a:pathLst>
            <a:path>
              <a:moveTo>
                <a:pt x="0" y="12622"/>
              </a:moveTo>
              <a:lnTo>
                <a:pt x="257689" y="12622"/>
              </a:lnTo>
            </a:path>
          </a:pathLst>
        </a:custGeom>
        <a:noFill/>
        <a:ln w="25400" cap="flat" cmpd="sng" algn="ctr">
          <a:solidFill>
            <a:schemeClr val="accent1">
              <a:shade val="60000"/>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s-CO" sz="500" kern="1200"/>
        </a:p>
      </dsp:txBody>
      <dsp:txXfrm rot="10800000">
        <a:off x="2149806" y="1537573"/>
        <a:ext cx="12884" cy="12884"/>
      </dsp:txXfrm>
    </dsp:sp>
    <dsp:sp modelId="{CE6493EA-217B-465E-9295-E6B50F9C388E}">
      <dsp:nvSpPr>
        <dsp:cNvPr id="0" name=""/>
        <dsp:cNvSpPr/>
      </dsp:nvSpPr>
      <dsp:spPr>
        <a:xfrm>
          <a:off x="696889" y="1089114"/>
          <a:ext cx="1330514" cy="909811"/>
        </a:xfrm>
        <a:prstGeom prst="ellipse">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s-CO" sz="1000" kern="1200"/>
            <a:t>Aprovechamiento de 10.607kg de materia reciclado </a:t>
          </a:r>
        </a:p>
      </dsp:txBody>
      <dsp:txXfrm>
        <a:off x="891738" y="1222353"/>
        <a:ext cx="940816" cy="643333"/>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2F855F5-8591-4925-B456-F07A662FBF12}">
      <dsp:nvSpPr>
        <dsp:cNvPr id="0" name=""/>
        <dsp:cNvSpPr/>
      </dsp:nvSpPr>
      <dsp:spPr>
        <a:xfrm rot="5400000">
          <a:off x="819052" y="-228145"/>
          <a:ext cx="889025" cy="1507328"/>
        </a:xfrm>
        <a:prstGeom prst="chevron">
          <a:avLst/>
        </a:prstGeom>
        <a:solidFill>
          <a:schemeClr val="accent1">
            <a:hueOff val="0"/>
            <a:satOff val="0"/>
            <a:lumOff val="0"/>
            <a:alphaOff val="0"/>
          </a:schemeClr>
        </a:solidFill>
        <a:ln w="25400" cap="flat" cmpd="sng" algn="ctr">
          <a:solidFill>
            <a:schemeClr val="accent1">
              <a:hueOff val="0"/>
              <a:satOff val="0"/>
              <a:lum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endParaRPr lang="es-CO" sz="1050" b="1" kern="1200" dirty="0" smtClean="0">
            <a:solidFill>
              <a:schemeClr val="bg1"/>
            </a:solidFill>
          </a:endParaRPr>
        </a:p>
        <a:p>
          <a:pPr lvl="0" algn="ctr" defTabSz="466725">
            <a:lnSpc>
              <a:spcPct val="90000"/>
            </a:lnSpc>
            <a:spcBef>
              <a:spcPct val="0"/>
            </a:spcBef>
            <a:spcAft>
              <a:spcPct val="35000"/>
            </a:spcAft>
          </a:pPr>
          <a:r>
            <a:rPr lang="es-CO" sz="1050" b="1" kern="1200" dirty="0" smtClean="0">
              <a:solidFill>
                <a:sysClr val="windowText" lastClr="000000"/>
              </a:solidFill>
            </a:rPr>
            <a:t>Organización y alistamiento</a:t>
          </a:r>
          <a:endParaRPr lang="es-ES" sz="1050" b="1" kern="1200" dirty="0">
            <a:solidFill>
              <a:sysClr val="windowText" lastClr="000000"/>
            </a:solidFill>
          </a:endParaRPr>
        </a:p>
      </dsp:txBody>
      <dsp:txXfrm rot="-5400000">
        <a:off x="509901" y="81006"/>
        <a:ext cx="1507328" cy="889025"/>
      </dsp:txXfrm>
    </dsp:sp>
    <dsp:sp modelId="{D01EADB0-AEAB-45EC-9F10-DAC8F749940F}">
      <dsp:nvSpPr>
        <dsp:cNvPr id="0" name=""/>
        <dsp:cNvSpPr/>
      </dsp:nvSpPr>
      <dsp:spPr>
        <a:xfrm rot="5400000">
          <a:off x="3401048" y="-1115607"/>
          <a:ext cx="629916" cy="2971398"/>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85344" tIns="7620" rIns="7620" bIns="7620" numCol="1" spcCol="1270" anchor="ctr" anchorCtr="0">
          <a:noAutofit/>
        </a:bodyPr>
        <a:lstStyle/>
        <a:p>
          <a:pPr marL="114300" lvl="1" indent="-114300" algn="l" defTabSz="533400">
            <a:lnSpc>
              <a:spcPct val="90000"/>
            </a:lnSpc>
            <a:spcBef>
              <a:spcPct val="0"/>
            </a:spcBef>
            <a:spcAft>
              <a:spcPct val="15000"/>
            </a:spcAft>
            <a:buChar char="••"/>
          </a:pPr>
          <a:r>
            <a:rPr lang="es-CO" sz="1200" kern="1200" dirty="0" smtClean="0"/>
            <a:t>Implementación modelo</a:t>
          </a:r>
          <a:endParaRPr lang="es-ES" sz="1200" kern="1200" dirty="0"/>
        </a:p>
        <a:p>
          <a:pPr marL="114300" lvl="1" indent="-114300" algn="l" defTabSz="533400">
            <a:lnSpc>
              <a:spcPct val="90000"/>
            </a:lnSpc>
            <a:spcBef>
              <a:spcPct val="0"/>
            </a:spcBef>
            <a:spcAft>
              <a:spcPct val="15000"/>
            </a:spcAft>
            <a:buChar char="••"/>
          </a:pPr>
          <a:r>
            <a:rPr lang="es-CO" sz="1200" kern="1200" dirty="0" smtClean="0"/>
            <a:t>Conformación Comités</a:t>
          </a:r>
          <a:endParaRPr lang="es-ES" sz="1200" kern="1200" dirty="0"/>
        </a:p>
      </dsp:txBody>
      <dsp:txXfrm rot="-5400000">
        <a:off x="2230307" y="85884"/>
        <a:ext cx="2940648" cy="568416"/>
      </dsp:txXfrm>
    </dsp:sp>
    <dsp:sp modelId="{E551636A-0D60-44D9-8CD3-6437DBE0F757}">
      <dsp:nvSpPr>
        <dsp:cNvPr id="0" name=""/>
        <dsp:cNvSpPr/>
      </dsp:nvSpPr>
      <dsp:spPr>
        <a:xfrm rot="5400000">
          <a:off x="782335" y="632626"/>
          <a:ext cx="889025" cy="1433895"/>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endParaRPr lang="es-CO" sz="1050" b="1" kern="1200" dirty="0" smtClean="0"/>
        </a:p>
        <a:p>
          <a:pPr lvl="0" algn="ctr" defTabSz="466725">
            <a:lnSpc>
              <a:spcPct val="90000"/>
            </a:lnSpc>
            <a:spcBef>
              <a:spcPct val="0"/>
            </a:spcBef>
            <a:spcAft>
              <a:spcPct val="35000"/>
            </a:spcAft>
          </a:pPr>
          <a:r>
            <a:rPr lang="es-CO" sz="1050" b="1" kern="1200" dirty="0" smtClean="0">
              <a:solidFill>
                <a:sysClr val="windowText" lastClr="000000"/>
              </a:solidFill>
            </a:rPr>
            <a:t>Sensibilización a la Comunidad</a:t>
          </a:r>
          <a:endParaRPr lang="es-ES" sz="1050" b="1" kern="1200" dirty="0">
            <a:solidFill>
              <a:sysClr val="windowText" lastClr="000000"/>
            </a:solidFill>
          </a:endParaRPr>
        </a:p>
      </dsp:txBody>
      <dsp:txXfrm rot="-5400000">
        <a:off x="509900" y="905061"/>
        <a:ext cx="1433895" cy="889025"/>
      </dsp:txXfrm>
    </dsp:sp>
    <dsp:sp modelId="{64D42A68-8F43-489F-8068-EB16AC07DE29}">
      <dsp:nvSpPr>
        <dsp:cNvPr id="0" name=""/>
        <dsp:cNvSpPr/>
      </dsp:nvSpPr>
      <dsp:spPr>
        <a:xfrm rot="5400000">
          <a:off x="3430945" y="-377556"/>
          <a:ext cx="541432" cy="2875726"/>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85344" tIns="7620" rIns="7620" bIns="7620" numCol="1" spcCol="1270" anchor="ctr" anchorCtr="0">
          <a:noAutofit/>
        </a:bodyPr>
        <a:lstStyle/>
        <a:p>
          <a:pPr marL="114300" lvl="1" indent="-114300" algn="l" defTabSz="533400">
            <a:lnSpc>
              <a:spcPct val="90000"/>
            </a:lnSpc>
            <a:spcBef>
              <a:spcPct val="0"/>
            </a:spcBef>
            <a:spcAft>
              <a:spcPct val="15000"/>
            </a:spcAft>
            <a:buChar char="••"/>
          </a:pPr>
          <a:r>
            <a:rPr lang="es-CO" sz="1200" kern="1200" dirty="0" smtClean="0"/>
            <a:t>Diseño estrategias </a:t>
          </a:r>
          <a:endParaRPr lang="es-ES" sz="1200" kern="1200" dirty="0"/>
        </a:p>
        <a:p>
          <a:pPr marL="114300" lvl="1" indent="-114300" algn="l" defTabSz="533400">
            <a:lnSpc>
              <a:spcPct val="90000"/>
            </a:lnSpc>
            <a:spcBef>
              <a:spcPct val="0"/>
            </a:spcBef>
            <a:spcAft>
              <a:spcPct val="15000"/>
            </a:spcAft>
            <a:buChar char="••"/>
          </a:pPr>
          <a:r>
            <a:rPr lang="es-CO" sz="1200" kern="1200" dirty="0" smtClean="0"/>
            <a:t>Difusión</a:t>
          </a:r>
          <a:endParaRPr lang="es-ES" sz="1200" kern="1200" dirty="0"/>
        </a:p>
      </dsp:txBody>
      <dsp:txXfrm rot="-5400000">
        <a:off x="2263799" y="816021"/>
        <a:ext cx="2849295" cy="488570"/>
      </dsp:txXfrm>
    </dsp:sp>
    <dsp:sp modelId="{08C8C36C-C79B-49A1-8F29-49F23623A5F7}">
      <dsp:nvSpPr>
        <dsp:cNvPr id="0" name=""/>
        <dsp:cNvSpPr/>
      </dsp:nvSpPr>
      <dsp:spPr>
        <a:xfrm rot="5400000">
          <a:off x="797794" y="1637327"/>
          <a:ext cx="889025" cy="1464812"/>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endParaRPr lang="es-CO" sz="1050" b="1" kern="1200" dirty="0" smtClean="0"/>
        </a:p>
        <a:p>
          <a:pPr lvl="0" algn="ctr" defTabSz="466725">
            <a:lnSpc>
              <a:spcPct val="90000"/>
            </a:lnSpc>
            <a:spcBef>
              <a:spcPct val="0"/>
            </a:spcBef>
            <a:spcAft>
              <a:spcPct val="35000"/>
            </a:spcAft>
          </a:pPr>
          <a:r>
            <a:rPr lang="es-CO" sz="1050" b="1" kern="1200" dirty="0" smtClean="0">
              <a:solidFill>
                <a:sysClr val="windowText" lastClr="000000"/>
              </a:solidFill>
            </a:rPr>
            <a:t>Autoevaluación</a:t>
          </a:r>
          <a:endParaRPr lang="es-ES" sz="1050" b="1" kern="1200" dirty="0">
            <a:solidFill>
              <a:sysClr val="windowText" lastClr="000000"/>
            </a:solidFill>
          </a:endParaRPr>
        </a:p>
      </dsp:txBody>
      <dsp:txXfrm rot="-5400000">
        <a:off x="509901" y="1925220"/>
        <a:ext cx="1464812" cy="889025"/>
      </dsp:txXfrm>
    </dsp:sp>
    <dsp:sp modelId="{B2566F23-9ABB-4507-AED1-CE6DF2345F5F}">
      <dsp:nvSpPr>
        <dsp:cNvPr id="0" name=""/>
        <dsp:cNvSpPr/>
      </dsp:nvSpPr>
      <dsp:spPr>
        <a:xfrm rot="5400000">
          <a:off x="3093660" y="726112"/>
          <a:ext cx="1217651" cy="2819758"/>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85344" tIns="7620" rIns="7620" bIns="7620" numCol="1" spcCol="1270" anchor="ctr" anchorCtr="0">
          <a:noAutofit/>
        </a:bodyPr>
        <a:lstStyle/>
        <a:p>
          <a:pPr marL="114300" lvl="1" indent="-114300" algn="l" defTabSz="533400">
            <a:lnSpc>
              <a:spcPct val="90000"/>
            </a:lnSpc>
            <a:spcBef>
              <a:spcPct val="0"/>
            </a:spcBef>
            <a:spcAft>
              <a:spcPct val="15000"/>
            </a:spcAft>
            <a:buChar char="••"/>
          </a:pPr>
          <a:r>
            <a:rPr lang="es-CO" sz="1200" kern="1200" dirty="0" smtClean="0"/>
            <a:t>Ponderación</a:t>
          </a:r>
          <a:endParaRPr lang="es-ES" sz="1200" kern="1200" dirty="0"/>
        </a:p>
        <a:p>
          <a:pPr marL="114300" lvl="1" indent="-114300" algn="l" defTabSz="533400">
            <a:lnSpc>
              <a:spcPct val="90000"/>
            </a:lnSpc>
            <a:spcBef>
              <a:spcPct val="0"/>
            </a:spcBef>
            <a:spcAft>
              <a:spcPct val="15000"/>
            </a:spcAft>
            <a:buChar char="••"/>
          </a:pPr>
          <a:r>
            <a:rPr lang="es-CO" sz="1200" kern="1200" dirty="0" smtClean="0"/>
            <a:t>Recolección Información</a:t>
          </a:r>
          <a:endParaRPr lang="es-ES" sz="1200" kern="1200" dirty="0"/>
        </a:p>
        <a:p>
          <a:pPr marL="114300" lvl="1" indent="-114300" algn="l" defTabSz="533400">
            <a:lnSpc>
              <a:spcPct val="90000"/>
            </a:lnSpc>
            <a:spcBef>
              <a:spcPct val="0"/>
            </a:spcBef>
            <a:spcAft>
              <a:spcPct val="15000"/>
            </a:spcAft>
            <a:buChar char="••"/>
          </a:pPr>
          <a:r>
            <a:rPr lang="es-CO" sz="1200" kern="1200" dirty="0" smtClean="0"/>
            <a:t>Calificación</a:t>
          </a:r>
          <a:endParaRPr lang="es-ES" sz="1200" kern="1200" dirty="0"/>
        </a:p>
        <a:p>
          <a:pPr marL="114300" lvl="1" indent="-114300" algn="l" defTabSz="533400">
            <a:lnSpc>
              <a:spcPct val="90000"/>
            </a:lnSpc>
            <a:spcBef>
              <a:spcPct val="0"/>
            </a:spcBef>
            <a:spcAft>
              <a:spcPct val="15000"/>
            </a:spcAft>
            <a:buChar char="••"/>
          </a:pPr>
          <a:r>
            <a:rPr lang="es-CO" sz="1200" kern="1200" dirty="0" smtClean="0"/>
            <a:t>Evaluación Plan Mejoramiento anterior</a:t>
          </a:r>
          <a:endParaRPr lang="es-ES" sz="1200" kern="1200" dirty="0"/>
        </a:p>
        <a:p>
          <a:pPr marL="114300" lvl="1" indent="-114300" algn="l" defTabSz="533400">
            <a:lnSpc>
              <a:spcPct val="90000"/>
            </a:lnSpc>
            <a:spcBef>
              <a:spcPct val="0"/>
            </a:spcBef>
            <a:spcAft>
              <a:spcPct val="15000"/>
            </a:spcAft>
            <a:buChar char="••"/>
          </a:pPr>
          <a:r>
            <a:rPr lang="es-CO" sz="1200" kern="1200" dirty="0" smtClean="0"/>
            <a:t>Formulación nuevo Plan Mejoramiento</a:t>
          </a:r>
          <a:endParaRPr lang="es-ES" sz="1200" kern="1200" dirty="0"/>
        </a:p>
        <a:p>
          <a:pPr marL="114300" lvl="1" indent="-114300" algn="l" defTabSz="533400">
            <a:lnSpc>
              <a:spcPct val="90000"/>
            </a:lnSpc>
            <a:spcBef>
              <a:spcPct val="0"/>
            </a:spcBef>
            <a:spcAft>
              <a:spcPct val="15000"/>
            </a:spcAft>
            <a:buChar char="••"/>
          </a:pPr>
          <a:r>
            <a:rPr lang="es-CO" sz="1200" kern="1200" dirty="0" smtClean="0"/>
            <a:t>Elaboración Informe</a:t>
          </a:r>
          <a:endParaRPr lang="es-ES" sz="1200" kern="1200" dirty="0"/>
        </a:p>
      </dsp:txBody>
      <dsp:txXfrm rot="-5400000">
        <a:off x="2292607" y="1586607"/>
        <a:ext cx="2760317" cy="1098769"/>
      </dsp:txXfrm>
    </dsp:sp>
    <dsp:sp modelId="{497A3A13-BAD7-46D2-91F2-BB5EF26BE440}">
      <dsp:nvSpPr>
        <dsp:cNvPr id="0" name=""/>
        <dsp:cNvSpPr/>
      </dsp:nvSpPr>
      <dsp:spPr>
        <a:xfrm rot="5400000">
          <a:off x="784803" y="2534810"/>
          <a:ext cx="889025" cy="1438830"/>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endParaRPr lang="es-CO" sz="1050" b="1" kern="1200" dirty="0" smtClean="0">
            <a:solidFill>
              <a:sysClr val="windowText" lastClr="000000"/>
            </a:solidFill>
          </a:endParaRPr>
        </a:p>
        <a:p>
          <a:pPr lvl="0" algn="ctr" defTabSz="466725">
            <a:lnSpc>
              <a:spcPct val="90000"/>
            </a:lnSpc>
            <a:spcBef>
              <a:spcPct val="0"/>
            </a:spcBef>
            <a:spcAft>
              <a:spcPct val="35000"/>
            </a:spcAft>
          </a:pPr>
          <a:r>
            <a:rPr lang="es-CO" sz="1050" b="1" kern="1200" dirty="0" smtClean="0">
              <a:solidFill>
                <a:sysClr val="windowText" lastClr="000000"/>
              </a:solidFill>
            </a:rPr>
            <a:t>Difusión Resultados y Visita Pares</a:t>
          </a:r>
          <a:endParaRPr lang="es-ES" sz="1050" b="1" kern="1200" dirty="0">
            <a:solidFill>
              <a:sysClr val="windowText" lastClr="000000"/>
            </a:solidFill>
          </a:endParaRPr>
        </a:p>
      </dsp:txBody>
      <dsp:txXfrm rot="-5400000">
        <a:off x="509901" y="2809712"/>
        <a:ext cx="1438830" cy="889025"/>
      </dsp:txXfrm>
    </dsp:sp>
    <dsp:sp modelId="{201B3C05-23CE-4A23-ADC7-C4D27BAC49CE}">
      <dsp:nvSpPr>
        <dsp:cNvPr id="0" name=""/>
        <dsp:cNvSpPr/>
      </dsp:nvSpPr>
      <dsp:spPr>
        <a:xfrm rot="5400000">
          <a:off x="3285697" y="1890694"/>
          <a:ext cx="805060" cy="2713608"/>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85344" tIns="7620" rIns="7620" bIns="7620" numCol="1" spcCol="1270" anchor="ctr" anchorCtr="0">
          <a:noAutofit/>
        </a:bodyPr>
        <a:lstStyle/>
        <a:p>
          <a:pPr marL="114300" lvl="1" indent="-114300" algn="l" defTabSz="533400">
            <a:lnSpc>
              <a:spcPct val="90000"/>
            </a:lnSpc>
            <a:spcBef>
              <a:spcPct val="0"/>
            </a:spcBef>
            <a:spcAft>
              <a:spcPct val="15000"/>
            </a:spcAft>
            <a:buChar char="••"/>
          </a:pPr>
          <a:r>
            <a:rPr lang="es-CO" sz="1200" kern="1200" dirty="0" smtClean="0"/>
            <a:t>Socialización resultados</a:t>
          </a:r>
          <a:endParaRPr lang="es-ES" sz="1200" kern="1200" dirty="0"/>
        </a:p>
        <a:p>
          <a:pPr marL="114300" lvl="1" indent="-114300" algn="l" defTabSz="533400">
            <a:lnSpc>
              <a:spcPct val="90000"/>
            </a:lnSpc>
            <a:spcBef>
              <a:spcPct val="0"/>
            </a:spcBef>
            <a:spcAft>
              <a:spcPct val="15000"/>
            </a:spcAft>
            <a:buChar char="••"/>
          </a:pPr>
          <a:r>
            <a:rPr lang="es-CO" sz="1200" kern="1200" dirty="0" smtClean="0"/>
            <a:t>Atención visita pares</a:t>
          </a:r>
          <a:endParaRPr lang="es-ES" sz="1200" kern="1200" dirty="0"/>
        </a:p>
        <a:p>
          <a:pPr marL="114300" lvl="1" indent="-114300" algn="l" defTabSz="533400">
            <a:lnSpc>
              <a:spcPct val="90000"/>
            </a:lnSpc>
            <a:spcBef>
              <a:spcPct val="0"/>
            </a:spcBef>
            <a:spcAft>
              <a:spcPct val="15000"/>
            </a:spcAft>
            <a:buChar char="••"/>
          </a:pPr>
          <a:r>
            <a:rPr lang="es-CO" sz="1200" kern="1200" dirty="0" smtClean="0"/>
            <a:t>Análisis del concepto pares</a:t>
          </a:r>
          <a:endParaRPr lang="es-ES" sz="1200" kern="1200" dirty="0"/>
        </a:p>
      </dsp:txBody>
      <dsp:txXfrm rot="-5400000">
        <a:off x="2331423" y="2884268"/>
        <a:ext cx="2674308" cy="726460"/>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929FBA8-EECB-4D76-867C-5A838D7D3814}">
      <dsp:nvSpPr>
        <dsp:cNvPr id="0" name=""/>
        <dsp:cNvSpPr/>
      </dsp:nvSpPr>
      <dsp:spPr>
        <a:xfrm>
          <a:off x="2003872" y="1159640"/>
          <a:ext cx="1466843" cy="881119"/>
        </a:xfrm>
        <a:prstGeom prst="ellipse">
          <a:avLst/>
        </a:prstGeom>
        <a:solidFill>
          <a:schemeClr val="accent1">
            <a:hueOff val="0"/>
            <a:satOff val="0"/>
            <a:lumOff val="0"/>
            <a:alphaOff val="0"/>
          </a:scheme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s-CO" sz="1100" b="1" kern="1200"/>
            <a:t>Investigaciones, innovación y extensión</a:t>
          </a:r>
        </a:p>
      </dsp:txBody>
      <dsp:txXfrm>
        <a:off x="2218686" y="1288677"/>
        <a:ext cx="1037215" cy="623045"/>
      </dsp:txXfrm>
    </dsp:sp>
    <dsp:sp modelId="{F2491910-B651-4E44-ADC4-6E21E66ECEE7}">
      <dsp:nvSpPr>
        <dsp:cNvPr id="0" name=""/>
        <dsp:cNvSpPr/>
      </dsp:nvSpPr>
      <dsp:spPr>
        <a:xfrm rot="16200000">
          <a:off x="2604500" y="1012392"/>
          <a:ext cx="265587" cy="28908"/>
        </a:xfrm>
        <a:custGeom>
          <a:avLst/>
          <a:gdLst/>
          <a:ahLst/>
          <a:cxnLst/>
          <a:rect l="0" t="0" r="0" b="0"/>
          <a:pathLst>
            <a:path>
              <a:moveTo>
                <a:pt x="0" y="14454"/>
              </a:moveTo>
              <a:lnTo>
                <a:pt x="265587" y="14454"/>
              </a:lnTo>
            </a:path>
          </a:pathLst>
        </a:custGeom>
        <a:noFill/>
        <a:ln w="25400" cap="flat" cmpd="sng" algn="ctr">
          <a:solidFill>
            <a:schemeClr val="accent1">
              <a:shade val="60000"/>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s-CO" sz="500" kern="1200"/>
        </a:p>
      </dsp:txBody>
      <dsp:txXfrm>
        <a:off x="2730654" y="1020206"/>
        <a:ext cx="13279" cy="13279"/>
      </dsp:txXfrm>
    </dsp:sp>
    <dsp:sp modelId="{76A09AE8-24E4-454F-86D9-5D752D48490F}">
      <dsp:nvSpPr>
        <dsp:cNvPr id="0" name=""/>
        <dsp:cNvSpPr/>
      </dsp:nvSpPr>
      <dsp:spPr>
        <a:xfrm>
          <a:off x="2047875" y="12932"/>
          <a:ext cx="1378837" cy="881119"/>
        </a:xfrm>
        <a:prstGeom prst="ellipse">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s-CO" sz="1100" kern="1200"/>
            <a:t>Creación y transformación del conocimiento</a:t>
          </a:r>
        </a:p>
      </dsp:txBody>
      <dsp:txXfrm>
        <a:off x="2249801" y="141969"/>
        <a:ext cx="974985" cy="623045"/>
      </dsp:txXfrm>
    </dsp:sp>
    <dsp:sp modelId="{37C0A485-341B-4624-A15D-D1B6FC88CD86}">
      <dsp:nvSpPr>
        <dsp:cNvPr id="0" name=""/>
        <dsp:cNvSpPr/>
      </dsp:nvSpPr>
      <dsp:spPr>
        <a:xfrm rot="27">
          <a:off x="3470716" y="1585752"/>
          <a:ext cx="200294" cy="28908"/>
        </a:xfrm>
        <a:custGeom>
          <a:avLst/>
          <a:gdLst/>
          <a:ahLst/>
          <a:cxnLst/>
          <a:rect l="0" t="0" r="0" b="0"/>
          <a:pathLst>
            <a:path>
              <a:moveTo>
                <a:pt x="0" y="14454"/>
              </a:moveTo>
              <a:lnTo>
                <a:pt x="200294" y="14454"/>
              </a:lnTo>
            </a:path>
          </a:pathLst>
        </a:custGeom>
        <a:noFill/>
        <a:ln w="25400" cap="flat" cmpd="sng" algn="ctr">
          <a:solidFill>
            <a:schemeClr val="accent1">
              <a:shade val="60000"/>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s-CO" sz="500" kern="1200"/>
        </a:p>
      </dsp:txBody>
      <dsp:txXfrm>
        <a:off x="3565856" y="1595199"/>
        <a:ext cx="10014" cy="10014"/>
      </dsp:txXfrm>
    </dsp:sp>
    <dsp:sp modelId="{4A884F8A-C797-4803-B4DA-E8F7287123C1}">
      <dsp:nvSpPr>
        <dsp:cNvPr id="0" name=""/>
        <dsp:cNvSpPr/>
      </dsp:nvSpPr>
      <dsp:spPr>
        <a:xfrm>
          <a:off x="3671010" y="1152529"/>
          <a:ext cx="1416575" cy="895367"/>
        </a:xfrm>
        <a:prstGeom prst="ellipse">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s-CO" sz="1100" kern="1200"/>
            <a:t>Transferencia o aplicación del conocimiento</a:t>
          </a:r>
        </a:p>
      </dsp:txBody>
      <dsp:txXfrm>
        <a:off x="3878463" y="1283652"/>
        <a:ext cx="1001669" cy="633121"/>
      </dsp:txXfrm>
    </dsp:sp>
    <dsp:sp modelId="{E4EF0F16-7A04-43D8-B5D6-5BDDF7992D5B}">
      <dsp:nvSpPr>
        <dsp:cNvPr id="0" name=""/>
        <dsp:cNvSpPr/>
      </dsp:nvSpPr>
      <dsp:spPr>
        <a:xfrm rot="5400000">
          <a:off x="2604500" y="2159099"/>
          <a:ext cx="265587" cy="28908"/>
        </a:xfrm>
        <a:custGeom>
          <a:avLst/>
          <a:gdLst/>
          <a:ahLst/>
          <a:cxnLst/>
          <a:rect l="0" t="0" r="0" b="0"/>
          <a:pathLst>
            <a:path>
              <a:moveTo>
                <a:pt x="0" y="14454"/>
              </a:moveTo>
              <a:lnTo>
                <a:pt x="265587" y="14454"/>
              </a:lnTo>
            </a:path>
          </a:pathLst>
        </a:custGeom>
        <a:noFill/>
        <a:ln w="25400" cap="flat" cmpd="sng" algn="ctr">
          <a:solidFill>
            <a:schemeClr val="accent1">
              <a:shade val="60000"/>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s-CO" sz="500" kern="1200"/>
        </a:p>
      </dsp:txBody>
      <dsp:txXfrm>
        <a:off x="2730654" y="2166913"/>
        <a:ext cx="13279" cy="13279"/>
      </dsp:txXfrm>
    </dsp:sp>
    <dsp:sp modelId="{2282DD0D-F361-4562-B25E-CC466A3A55EC}">
      <dsp:nvSpPr>
        <dsp:cNvPr id="0" name=""/>
        <dsp:cNvSpPr/>
      </dsp:nvSpPr>
      <dsp:spPr>
        <a:xfrm>
          <a:off x="1981201" y="2306347"/>
          <a:ext cx="1512186" cy="881119"/>
        </a:xfrm>
        <a:prstGeom prst="ellipse">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s-CO" sz="1100" kern="1200"/>
            <a:t>Generación de desarrollo social y cultural</a:t>
          </a:r>
        </a:p>
      </dsp:txBody>
      <dsp:txXfrm>
        <a:off x="2202656" y="2435384"/>
        <a:ext cx="1069276" cy="623045"/>
      </dsp:txXfrm>
    </dsp:sp>
    <dsp:sp modelId="{C95E7FD3-2BD2-44BB-8D6C-A488252096E0}">
      <dsp:nvSpPr>
        <dsp:cNvPr id="0" name=""/>
        <dsp:cNvSpPr/>
      </dsp:nvSpPr>
      <dsp:spPr>
        <a:xfrm rot="10780830">
          <a:off x="1725063" y="1590613"/>
          <a:ext cx="278842" cy="28908"/>
        </a:xfrm>
        <a:custGeom>
          <a:avLst/>
          <a:gdLst/>
          <a:ahLst/>
          <a:cxnLst/>
          <a:rect l="0" t="0" r="0" b="0"/>
          <a:pathLst>
            <a:path>
              <a:moveTo>
                <a:pt x="0" y="14454"/>
              </a:moveTo>
              <a:lnTo>
                <a:pt x="278842" y="14454"/>
              </a:lnTo>
            </a:path>
          </a:pathLst>
        </a:custGeom>
        <a:noFill/>
        <a:ln w="25400" cap="flat" cmpd="sng" algn="ctr">
          <a:solidFill>
            <a:schemeClr val="accent1">
              <a:shade val="60000"/>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s-CO" sz="500" kern="1200"/>
        </a:p>
      </dsp:txBody>
      <dsp:txXfrm rot="10800000">
        <a:off x="1857513" y="1598096"/>
        <a:ext cx="13942" cy="13942"/>
      </dsp:txXfrm>
    </dsp:sp>
    <dsp:sp modelId="{CE6493EA-217B-465E-9295-E6B50F9C388E}">
      <dsp:nvSpPr>
        <dsp:cNvPr id="0" name=""/>
        <dsp:cNvSpPr/>
      </dsp:nvSpPr>
      <dsp:spPr>
        <a:xfrm>
          <a:off x="332135" y="1133474"/>
          <a:ext cx="1392952" cy="952507"/>
        </a:xfrm>
        <a:prstGeom prst="ellipse">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s-CO" sz="1100" kern="1200"/>
            <a:t>Desarrollo institucional</a:t>
          </a:r>
        </a:p>
      </dsp:txBody>
      <dsp:txXfrm>
        <a:off x="536128" y="1272965"/>
        <a:ext cx="984966" cy="673525"/>
      </dsp:txXfrm>
    </dsp:sp>
  </dsp:spTree>
</dsp:drawing>
</file>

<file path=word/diagrams/layout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13356B0-CE89-4965-AAC2-E10D63AA22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941</TotalTime>
  <Pages>183</Pages>
  <Words>51320</Words>
  <Characters>282265</Characters>
  <Application>Microsoft Office Word</Application>
  <DocSecurity>0</DocSecurity>
  <Lines>2352</Lines>
  <Paragraphs>665</Paragraphs>
  <ScaleCrop>false</ScaleCrop>
  <HeadingPairs>
    <vt:vector size="2" baseType="variant">
      <vt:variant>
        <vt:lpstr>Título</vt:lpstr>
      </vt:variant>
      <vt:variant>
        <vt:i4>1</vt:i4>
      </vt:variant>
    </vt:vector>
  </HeadingPairs>
  <TitlesOfParts>
    <vt:vector size="1" baseType="lpstr">
      <vt:lpstr/>
    </vt:vector>
  </TitlesOfParts>
  <Company>Universidad Tecnológica de Pereira</Company>
  <LinksUpToDate>false</LinksUpToDate>
  <CharactersWithSpaces>332920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Edicion882</dc:creator>
  <cp:lastModifiedBy>Usuario UTP</cp:lastModifiedBy>
  <cp:revision>88</cp:revision>
  <cp:lastPrinted>2013-01-31T21:21:00Z</cp:lastPrinted>
  <dcterms:created xsi:type="dcterms:W3CDTF">2013-03-13T16:29:00Z</dcterms:created>
  <dcterms:modified xsi:type="dcterms:W3CDTF">2013-04-30T20:54:00Z</dcterms:modified>
</cp:coreProperties>
</file>