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C2438A" w:rsidRDefault="00F34B5B" w:rsidP="00046870">
      <w:pPr>
        <w:shd w:val="clear" w:color="auto" w:fill="FFFFFF"/>
        <w:spacing w:before="100" w:beforeAutospacing="1" w:after="100" w:afterAutospacing="1" w:line="240" w:lineRule="auto"/>
        <w:jc w:val="center"/>
        <w:rPr>
          <w:rFonts w:asciiTheme="minorHAnsi" w:eastAsia="Times New Roman" w:hAnsiTheme="minorHAnsi" w:cs="Arial"/>
          <w:b/>
        </w:rPr>
      </w:pPr>
      <w:r w:rsidRPr="00C2438A">
        <w:rPr>
          <w:rFonts w:asciiTheme="minorHAnsi" w:eastAsia="Times New Roman" w:hAnsiTheme="minorHAnsi" w:cs="Arial"/>
          <w:b/>
        </w:rPr>
        <w:t>ACLARACIÓN DE DUDAS</w:t>
      </w:r>
    </w:p>
    <w:p w:rsidR="00A15306" w:rsidRPr="00C2438A" w:rsidRDefault="00090D87" w:rsidP="00046870">
      <w:pPr>
        <w:shd w:val="clear" w:color="auto" w:fill="FFFFFF"/>
        <w:spacing w:line="240" w:lineRule="auto"/>
        <w:jc w:val="both"/>
        <w:rPr>
          <w:rFonts w:asciiTheme="minorHAnsi" w:hAnsiTheme="minorHAnsi" w:cs="Arial"/>
          <w:color w:val="222222"/>
        </w:rPr>
      </w:pPr>
      <w:r w:rsidRPr="00C2438A">
        <w:rPr>
          <w:rFonts w:asciiTheme="minorHAnsi" w:hAnsiTheme="minorHAnsi" w:cs="Arial"/>
          <w:color w:val="222222"/>
        </w:rPr>
        <w:t>1</w:t>
      </w:r>
      <w:r w:rsidR="00170535" w:rsidRPr="00C2438A">
        <w:rPr>
          <w:rFonts w:asciiTheme="minorHAnsi" w:hAnsiTheme="minorHAnsi" w:cs="Arial"/>
          <w:color w:val="222222"/>
        </w:rPr>
        <w:t xml:space="preserve"> </w:t>
      </w:r>
      <w:r w:rsidRPr="00C2438A">
        <w:rPr>
          <w:rFonts w:asciiTheme="minorHAnsi" w:hAnsiTheme="minorHAnsi" w:cs="Arial"/>
          <w:color w:val="222222"/>
        </w:rPr>
        <w:t>.</w:t>
      </w:r>
      <w:r w:rsidR="00A15306" w:rsidRPr="00C2438A">
        <w:rPr>
          <w:rFonts w:asciiTheme="minorHAnsi" w:hAnsiTheme="minorHAnsi" w:cs="Arial"/>
          <w:color w:val="222222"/>
        </w:rPr>
        <w:t xml:space="preserve">En el anexo 2 se especifica licencias TLP de Adobe. Quisiéramos saber si podemos ofrecer las licencias en el esquema de licenciamiento CLP perpetuo académico que le conviene </w:t>
      </w:r>
      <w:r w:rsidR="00B76BE9" w:rsidRPr="00C2438A">
        <w:rPr>
          <w:rFonts w:asciiTheme="minorHAnsi" w:hAnsiTheme="minorHAnsi" w:cs="Arial"/>
          <w:color w:val="222222"/>
        </w:rPr>
        <w:t>más</w:t>
      </w:r>
      <w:r w:rsidR="00721E1C">
        <w:rPr>
          <w:rFonts w:asciiTheme="minorHAnsi" w:hAnsiTheme="minorHAnsi" w:cs="Arial"/>
          <w:color w:val="222222"/>
        </w:rPr>
        <w:t xml:space="preserve"> a la universidad. (</w:t>
      </w:r>
      <w:r w:rsidR="00A15306" w:rsidRPr="00C2438A">
        <w:rPr>
          <w:rFonts w:asciiTheme="minorHAnsi" w:hAnsiTheme="minorHAnsi" w:cs="Arial"/>
          <w:color w:val="222222"/>
        </w:rPr>
        <w:t>El licenciamiento CLP es igual al TLP, y solo difiere en precios)</w:t>
      </w:r>
      <w:r w:rsidR="00721E1C">
        <w:rPr>
          <w:rFonts w:asciiTheme="minorHAnsi" w:hAnsiTheme="minorHAnsi" w:cs="Arial"/>
          <w:color w:val="222222"/>
        </w:rPr>
        <w:t>.</w:t>
      </w:r>
    </w:p>
    <w:p w:rsidR="00A15306" w:rsidRPr="00C2438A" w:rsidRDefault="00090D87" w:rsidP="00046870">
      <w:pPr>
        <w:shd w:val="clear" w:color="auto" w:fill="FFFFFF"/>
        <w:spacing w:after="0" w:line="240" w:lineRule="auto"/>
        <w:jc w:val="both"/>
        <w:rPr>
          <w:rFonts w:asciiTheme="minorHAnsi" w:eastAsia="Times New Roman" w:hAnsiTheme="minorHAnsi" w:cs="Arial"/>
          <w:b/>
          <w:color w:val="222222"/>
        </w:rPr>
      </w:pPr>
      <w:r w:rsidRPr="00C2438A">
        <w:rPr>
          <w:rFonts w:asciiTheme="minorHAnsi" w:eastAsia="Times New Roman" w:hAnsiTheme="minorHAnsi" w:cs="Arial"/>
          <w:b/>
          <w:color w:val="222222"/>
        </w:rPr>
        <w:t>RESPUESTA</w:t>
      </w:r>
      <w:proofErr w:type="gramStart"/>
      <w:r w:rsidRPr="00C2438A">
        <w:rPr>
          <w:rFonts w:asciiTheme="minorHAnsi" w:eastAsia="Times New Roman" w:hAnsiTheme="minorHAnsi" w:cs="Arial"/>
          <w:b/>
          <w:color w:val="222222"/>
        </w:rPr>
        <w:t xml:space="preserve">: </w:t>
      </w:r>
      <w:r w:rsidR="00E23E40" w:rsidRPr="00C2438A">
        <w:rPr>
          <w:rFonts w:asciiTheme="minorHAnsi" w:eastAsia="Times New Roman" w:hAnsiTheme="minorHAnsi" w:cs="Arial"/>
          <w:b/>
          <w:color w:val="222222"/>
        </w:rPr>
        <w:t xml:space="preserve"> </w:t>
      </w:r>
      <w:r w:rsidR="00E23E40" w:rsidRPr="00C2438A">
        <w:rPr>
          <w:rFonts w:asciiTheme="minorHAnsi" w:hAnsiTheme="minorHAnsi" w:cs="Arial"/>
          <w:color w:val="222222"/>
          <w:shd w:val="clear" w:color="auto" w:fill="FFFFFF"/>
        </w:rPr>
        <w:t>Se</w:t>
      </w:r>
      <w:proofErr w:type="gramEnd"/>
      <w:r w:rsidR="00E23E40" w:rsidRPr="00C2438A">
        <w:rPr>
          <w:rFonts w:asciiTheme="minorHAnsi" w:hAnsiTheme="minorHAnsi" w:cs="Arial"/>
          <w:color w:val="222222"/>
          <w:shd w:val="clear" w:color="auto" w:fill="FFFFFF"/>
        </w:rPr>
        <w:t xml:space="preserve"> acepta licencia CLP solo si las licencias permanecen en poder de la UTP luego de terminado el contrato, de lo contrario solo se aceptan licencias TLP.  El número del acuerdo CLP actualmente vigente con Adobe es 4400311861.</w:t>
      </w:r>
    </w:p>
    <w:p w:rsidR="00A15306" w:rsidRPr="00C2438A" w:rsidRDefault="00A15306" w:rsidP="00046870">
      <w:pPr>
        <w:shd w:val="clear" w:color="auto" w:fill="FFFFFF"/>
        <w:spacing w:after="0" w:line="240" w:lineRule="auto"/>
        <w:jc w:val="both"/>
        <w:rPr>
          <w:rFonts w:asciiTheme="minorHAnsi" w:eastAsia="Times New Roman" w:hAnsiTheme="minorHAnsi" w:cs="Arial"/>
          <w:color w:val="222222"/>
        </w:rPr>
      </w:pPr>
    </w:p>
    <w:p w:rsidR="00A15306" w:rsidRPr="00C2438A" w:rsidRDefault="00A15306" w:rsidP="00046870">
      <w:pPr>
        <w:shd w:val="clear" w:color="auto" w:fill="FFFFFF"/>
        <w:spacing w:after="0" w:line="240" w:lineRule="auto"/>
        <w:jc w:val="both"/>
        <w:rPr>
          <w:rFonts w:asciiTheme="minorHAnsi" w:eastAsia="Times New Roman" w:hAnsiTheme="minorHAnsi" w:cs="Arial"/>
          <w:color w:val="222222"/>
        </w:rPr>
      </w:pPr>
    </w:p>
    <w:p w:rsidR="00A15306" w:rsidRPr="00C2438A" w:rsidRDefault="00090D87" w:rsidP="00046870">
      <w:pPr>
        <w:shd w:val="clear" w:color="auto" w:fill="FFFFFF"/>
        <w:spacing w:after="0" w:line="240" w:lineRule="auto"/>
        <w:jc w:val="both"/>
        <w:rPr>
          <w:rFonts w:asciiTheme="minorHAnsi" w:eastAsia="Times New Roman" w:hAnsiTheme="minorHAnsi" w:cs="Arial"/>
          <w:color w:val="222222"/>
        </w:rPr>
      </w:pPr>
      <w:r w:rsidRPr="00C2438A">
        <w:rPr>
          <w:rFonts w:asciiTheme="minorHAnsi" w:eastAsia="Times New Roman" w:hAnsiTheme="minorHAnsi" w:cs="Arial"/>
          <w:color w:val="222222"/>
        </w:rPr>
        <w:t>2.</w:t>
      </w:r>
      <w:r w:rsidR="00170535" w:rsidRPr="00C2438A">
        <w:rPr>
          <w:rFonts w:asciiTheme="minorHAnsi" w:eastAsia="Times New Roman" w:hAnsiTheme="minorHAnsi" w:cs="Arial"/>
          <w:color w:val="222222"/>
        </w:rPr>
        <w:t xml:space="preserve"> </w:t>
      </w:r>
      <w:r w:rsidR="00A15306" w:rsidRPr="00C2438A">
        <w:rPr>
          <w:rFonts w:asciiTheme="minorHAnsi" w:eastAsia="Times New Roman" w:hAnsiTheme="minorHAnsi" w:cs="Arial"/>
          <w:color w:val="222222"/>
        </w:rPr>
        <w:t xml:space="preserve">Solicitamos ampliar la descripción de la necesidad de licenciamiento de </w:t>
      </w:r>
      <w:proofErr w:type="spellStart"/>
      <w:r w:rsidR="00A15306" w:rsidRPr="00C2438A">
        <w:rPr>
          <w:rFonts w:asciiTheme="minorHAnsi" w:eastAsia="Times New Roman" w:hAnsiTheme="minorHAnsi" w:cs="Arial"/>
          <w:color w:val="222222"/>
        </w:rPr>
        <w:t>Dash</w:t>
      </w:r>
      <w:proofErr w:type="spellEnd"/>
      <w:r w:rsidR="00A15306" w:rsidRPr="00C2438A">
        <w:rPr>
          <w:rFonts w:asciiTheme="minorHAnsi" w:eastAsia="Times New Roman" w:hAnsiTheme="minorHAnsi" w:cs="Arial"/>
          <w:color w:val="222222"/>
        </w:rPr>
        <w:t xml:space="preserve"> Pro, es un licenciam</w:t>
      </w:r>
      <w:r w:rsidR="00B76BE9" w:rsidRPr="00C2438A">
        <w:rPr>
          <w:rFonts w:asciiTheme="minorHAnsi" w:eastAsia="Times New Roman" w:hAnsiTheme="minorHAnsi" w:cs="Arial"/>
          <w:color w:val="222222"/>
        </w:rPr>
        <w:t>iento nuevo, o es una ampliació</w:t>
      </w:r>
      <w:r w:rsidR="00A15306" w:rsidRPr="00C2438A">
        <w:rPr>
          <w:rFonts w:asciiTheme="minorHAnsi" w:eastAsia="Times New Roman" w:hAnsiTheme="minorHAnsi" w:cs="Arial"/>
          <w:color w:val="222222"/>
        </w:rPr>
        <w:t>n de uno ya existente. En caso de ser una ampliación requeríamos el número de la licencia para poder cotizar.</w:t>
      </w:r>
    </w:p>
    <w:p w:rsidR="00046870" w:rsidRDefault="00046870" w:rsidP="00046870">
      <w:pPr>
        <w:tabs>
          <w:tab w:val="left" w:pos="720"/>
        </w:tabs>
        <w:spacing w:line="240" w:lineRule="auto"/>
        <w:jc w:val="both"/>
        <w:rPr>
          <w:rFonts w:asciiTheme="minorHAnsi" w:hAnsiTheme="minorHAnsi" w:cs="Arial"/>
          <w:b/>
        </w:rPr>
      </w:pPr>
    </w:p>
    <w:p w:rsidR="00090D87" w:rsidRPr="00C2438A" w:rsidRDefault="00090D87" w:rsidP="00046870">
      <w:pPr>
        <w:tabs>
          <w:tab w:val="left" w:pos="720"/>
        </w:tabs>
        <w:spacing w:line="240" w:lineRule="auto"/>
        <w:jc w:val="both"/>
        <w:rPr>
          <w:rFonts w:asciiTheme="minorHAnsi" w:hAnsiTheme="minorHAnsi" w:cs="Arial"/>
          <w:b/>
        </w:rPr>
      </w:pPr>
      <w:r w:rsidRPr="00C2438A">
        <w:rPr>
          <w:rFonts w:asciiTheme="minorHAnsi" w:hAnsiTheme="minorHAnsi" w:cs="Arial"/>
          <w:b/>
        </w:rPr>
        <w:t>RESPUESTA:</w:t>
      </w:r>
      <w:r w:rsidR="00E23E40" w:rsidRPr="00C2438A">
        <w:rPr>
          <w:rFonts w:asciiTheme="minorHAnsi" w:hAnsiTheme="minorHAnsi" w:cs="Arial"/>
          <w:b/>
        </w:rPr>
        <w:t xml:space="preserve"> </w:t>
      </w:r>
      <w:proofErr w:type="spellStart"/>
      <w:r w:rsidR="00E23E40" w:rsidRPr="00C2438A">
        <w:rPr>
          <w:rFonts w:asciiTheme="minorHAnsi" w:hAnsiTheme="minorHAnsi" w:cs="Arial"/>
          <w:color w:val="222222"/>
          <w:shd w:val="clear" w:color="auto" w:fill="FFFFFF"/>
        </w:rPr>
        <w:t>Dash</w:t>
      </w:r>
      <w:proofErr w:type="spellEnd"/>
      <w:r w:rsidR="00E23E40" w:rsidRPr="00C2438A">
        <w:rPr>
          <w:rFonts w:asciiTheme="minorHAnsi" w:hAnsiTheme="minorHAnsi" w:cs="Arial"/>
          <w:color w:val="222222"/>
          <w:shd w:val="clear" w:color="auto" w:fill="FFFFFF"/>
        </w:rPr>
        <w:t xml:space="preserve"> Pro es licenciamiento nuevo.</w:t>
      </w:r>
    </w:p>
    <w:p w:rsidR="00090D87" w:rsidRPr="00C2438A" w:rsidRDefault="00090D87" w:rsidP="00046870">
      <w:pPr>
        <w:autoSpaceDE w:val="0"/>
        <w:autoSpaceDN w:val="0"/>
        <w:adjustRightInd w:val="0"/>
        <w:spacing w:after="0" w:line="240" w:lineRule="auto"/>
        <w:jc w:val="both"/>
        <w:rPr>
          <w:rFonts w:asciiTheme="minorHAnsi" w:hAnsiTheme="minorHAnsi" w:cs="Calibri"/>
          <w:color w:val="000000"/>
          <w:lang w:eastAsia="es-CO"/>
        </w:rPr>
      </w:pPr>
      <w:r w:rsidRPr="00C2438A">
        <w:rPr>
          <w:rFonts w:asciiTheme="minorHAnsi" w:hAnsiTheme="minorHAnsi" w:cs="Calibri"/>
          <w:color w:val="000000"/>
          <w:lang w:eastAsia="es-CO"/>
        </w:rPr>
        <w:t xml:space="preserve"> </w:t>
      </w:r>
    </w:p>
    <w:p w:rsidR="00090D87" w:rsidRPr="00C2438A" w:rsidRDefault="00170535" w:rsidP="00046870">
      <w:pPr>
        <w:autoSpaceDE w:val="0"/>
        <w:autoSpaceDN w:val="0"/>
        <w:adjustRightInd w:val="0"/>
        <w:spacing w:after="0" w:line="240" w:lineRule="auto"/>
        <w:jc w:val="both"/>
        <w:rPr>
          <w:rFonts w:asciiTheme="minorHAnsi" w:hAnsiTheme="minorHAnsi" w:cs="Calibri"/>
          <w:color w:val="000000"/>
          <w:lang w:eastAsia="es-CO"/>
        </w:rPr>
      </w:pPr>
      <w:r w:rsidRPr="00C2438A">
        <w:rPr>
          <w:rFonts w:asciiTheme="minorHAnsi" w:hAnsiTheme="minorHAnsi" w:cs="Calibri"/>
          <w:iCs/>
          <w:color w:val="000000"/>
          <w:lang w:eastAsia="es-CO"/>
        </w:rPr>
        <w:t xml:space="preserve">3. </w:t>
      </w:r>
      <w:r w:rsidR="00090D87" w:rsidRPr="00C2438A">
        <w:rPr>
          <w:rFonts w:asciiTheme="minorHAnsi" w:hAnsiTheme="minorHAnsi" w:cs="Calibri"/>
          <w:iCs/>
          <w:color w:val="000000"/>
          <w:lang w:eastAsia="es-CO"/>
        </w:rPr>
        <w:t xml:space="preserve">Para el punto 2 Evaluación Financiera. Paquete 2 se revisara el nivel de endeudamiento el cual es menor o igual al 50%, solicitamos muy amablemente cambiar este parámetro de evaluación y aumentar el indicador de endeudamiento a igual o menor al 65%, ya que a. </w:t>
      </w:r>
    </w:p>
    <w:p w:rsidR="00090D87" w:rsidRPr="00C2438A" w:rsidRDefault="00090D87" w:rsidP="00046870">
      <w:pPr>
        <w:autoSpaceDE w:val="0"/>
        <w:autoSpaceDN w:val="0"/>
        <w:adjustRightInd w:val="0"/>
        <w:spacing w:after="0" w:line="240" w:lineRule="auto"/>
        <w:jc w:val="both"/>
        <w:rPr>
          <w:rFonts w:asciiTheme="minorHAnsi" w:hAnsiTheme="minorHAnsi" w:cs="Calibri"/>
          <w:iCs/>
          <w:color w:val="000000"/>
          <w:lang w:eastAsia="es-CO"/>
        </w:rPr>
      </w:pPr>
      <w:r w:rsidRPr="00C2438A">
        <w:rPr>
          <w:rFonts w:asciiTheme="minorHAnsi" w:hAnsiTheme="minorHAnsi" w:cs="Calibri"/>
          <w:iCs/>
          <w:color w:val="000000"/>
          <w:lang w:eastAsia="es-CO"/>
        </w:rPr>
        <w:t xml:space="preserve">En nuestra solicitud anotamos que dadas las características de las negociaciones en bienes y servicios de Tecnología se asumen costos que se deben causar afectando el rubro de proveedores, en razón al desarrollo e implementación de proyectos, que en condiciones normales solo se facturan una vez se ha culminado la implementación del mismo y esto puedo tornar un ciclo de tiempo que puede en algunos casos ir hasta los 90 días, afectando de esta manera nuestros indicadores financieros. </w:t>
      </w:r>
    </w:p>
    <w:p w:rsidR="00090D87" w:rsidRPr="00C2438A" w:rsidRDefault="00090D87" w:rsidP="00170535">
      <w:pPr>
        <w:autoSpaceDE w:val="0"/>
        <w:autoSpaceDN w:val="0"/>
        <w:adjustRightInd w:val="0"/>
        <w:spacing w:after="0" w:line="240" w:lineRule="auto"/>
        <w:jc w:val="both"/>
        <w:rPr>
          <w:rFonts w:asciiTheme="minorHAnsi" w:hAnsiTheme="minorHAnsi" w:cs="Calibri"/>
          <w:color w:val="000000"/>
          <w:lang w:eastAsia="es-CO"/>
        </w:rPr>
      </w:pPr>
    </w:p>
    <w:p w:rsidR="00090D87" w:rsidRPr="00C2438A" w:rsidRDefault="00090D87" w:rsidP="00170535">
      <w:pPr>
        <w:autoSpaceDE w:val="0"/>
        <w:autoSpaceDN w:val="0"/>
        <w:adjustRightInd w:val="0"/>
        <w:spacing w:after="0" w:line="240" w:lineRule="auto"/>
        <w:jc w:val="both"/>
        <w:rPr>
          <w:rFonts w:asciiTheme="minorHAnsi" w:hAnsiTheme="minorHAnsi" w:cs="Calibri"/>
          <w:iCs/>
          <w:color w:val="000000"/>
          <w:lang w:eastAsia="es-CO"/>
        </w:rPr>
      </w:pPr>
      <w:r w:rsidRPr="00C2438A">
        <w:rPr>
          <w:rFonts w:asciiTheme="minorHAnsi" w:hAnsiTheme="minorHAnsi" w:cs="Calibri"/>
          <w:iCs/>
          <w:color w:val="000000"/>
          <w:lang w:eastAsia="es-CO"/>
        </w:rPr>
        <w:t xml:space="preserve">Otra razón por la cual solicitamos este cambio se basa en el hecho de que poseemos cupos de crédito con nuestros mayoristas y entidades financieras que nos permitirían ejecutar este contrato sin afectar el cumplimiento en la ejecución del mismo. </w:t>
      </w:r>
    </w:p>
    <w:p w:rsidR="00090D87" w:rsidRPr="00C2438A" w:rsidRDefault="00090D87" w:rsidP="00170535">
      <w:pPr>
        <w:autoSpaceDE w:val="0"/>
        <w:autoSpaceDN w:val="0"/>
        <w:adjustRightInd w:val="0"/>
        <w:spacing w:after="0" w:line="240" w:lineRule="auto"/>
        <w:jc w:val="both"/>
        <w:rPr>
          <w:rFonts w:asciiTheme="minorHAnsi" w:hAnsiTheme="minorHAnsi" w:cs="Calibri"/>
          <w:color w:val="000000"/>
          <w:lang w:eastAsia="es-CO"/>
        </w:rPr>
      </w:pPr>
    </w:p>
    <w:p w:rsidR="00090D87" w:rsidRPr="00C2438A" w:rsidRDefault="00090D87" w:rsidP="00170535">
      <w:pPr>
        <w:autoSpaceDE w:val="0"/>
        <w:autoSpaceDN w:val="0"/>
        <w:adjustRightInd w:val="0"/>
        <w:spacing w:after="0" w:line="240" w:lineRule="auto"/>
        <w:jc w:val="both"/>
        <w:rPr>
          <w:rFonts w:asciiTheme="minorHAnsi" w:hAnsiTheme="minorHAnsi" w:cs="Calibri"/>
          <w:iCs/>
          <w:color w:val="000000"/>
          <w:lang w:eastAsia="es-CO"/>
        </w:rPr>
      </w:pPr>
      <w:r w:rsidRPr="00C2438A">
        <w:rPr>
          <w:rFonts w:asciiTheme="minorHAnsi" w:hAnsiTheme="minorHAnsi" w:cs="Calibri"/>
          <w:iCs/>
          <w:color w:val="000000"/>
          <w:lang w:eastAsia="es-CO"/>
        </w:rPr>
        <w:t xml:space="preserve">Solicitamos que la Universidad Tecnológica de Pereira aumente indicador de endeudamiento en un valor menor o igual al 65%. </w:t>
      </w:r>
    </w:p>
    <w:p w:rsidR="00090D87" w:rsidRPr="00C2438A" w:rsidRDefault="00090D87" w:rsidP="00170535">
      <w:pPr>
        <w:autoSpaceDE w:val="0"/>
        <w:autoSpaceDN w:val="0"/>
        <w:adjustRightInd w:val="0"/>
        <w:spacing w:after="0" w:line="240" w:lineRule="auto"/>
        <w:jc w:val="both"/>
        <w:rPr>
          <w:rFonts w:asciiTheme="minorHAnsi" w:hAnsiTheme="minorHAnsi" w:cs="Calibri"/>
          <w:iCs/>
          <w:color w:val="000000"/>
          <w:lang w:eastAsia="es-CO"/>
        </w:rPr>
      </w:pPr>
    </w:p>
    <w:p w:rsidR="00090D87" w:rsidRPr="00C2438A" w:rsidRDefault="00090D87" w:rsidP="00170535">
      <w:pPr>
        <w:autoSpaceDE w:val="0"/>
        <w:autoSpaceDN w:val="0"/>
        <w:adjustRightInd w:val="0"/>
        <w:spacing w:after="0" w:line="240" w:lineRule="auto"/>
        <w:jc w:val="both"/>
        <w:rPr>
          <w:rFonts w:asciiTheme="minorHAnsi" w:hAnsiTheme="minorHAnsi" w:cs="Calibri"/>
          <w:b/>
          <w:i/>
          <w:iCs/>
          <w:lang w:eastAsia="es-CO"/>
        </w:rPr>
      </w:pPr>
      <w:r w:rsidRPr="00C2438A">
        <w:rPr>
          <w:rFonts w:asciiTheme="minorHAnsi" w:hAnsiTheme="minorHAnsi" w:cs="Calibri"/>
          <w:b/>
          <w:i/>
          <w:iCs/>
          <w:color w:val="000000"/>
          <w:lang w:eastAsia="es-CO"/>
        </w:rPr>
        <w:t>RESPUESTA</w:t>
      </w:r>
      <w:proofErr w:type="gramStart"/>
      <w:r w:rsidRPr="00C2438A">
        <w:rPr>
          <w:rFonts w:asciiTheme="minorHAnsi" w:hAnsiTheme="minorHAnsi" w:cs="Calibri"/>
          <w:b/>
          <w:i/>
          <w:iCs/>
          <w:color w:val="000000"/>
          <w:lang w:eastAsia="es-CO"/>
        </w:rPr>
        <w:t>:</w:t>
      </w:r>
      <w:r w:rsidR="00B64711" w:rsidRPr="00C2438A">
        <w:rPr>
          <w:rFonts w:asciiTheme="minorHAnsi" w:hAnsiTheme="minorHAnsi" w:cs="Calibri"/>
          <w:b/>
          <w:i/>
          <w:iCs/>
          <w:color w:val="000000"/>
          <w:lang w:eastAsia="es-CO"/>
        </w:rPr>
        <w:t xml:space="preserve">  </w:t>
      </w:r>
      <w:r w:rsidR="002C23FC" w:rsidRPr="00C2438A">
        <w:rPr>
          <w:rFonts w:asciiTheme="minorHAnsi" w:hAnsiTheme="minorHAnsi"/>
          <w:shd w:val="clear" w:color="auto" w:fill="FFFFFF"/>
        </w:rPr>
        <w:t>La</w:t>
      </w:r>
      <w:proofErr w:type="gramEnd"/>
      <w:r w:rsidR="002C23FC" w:rsidRPr="00C2438A">
        <w:rPr>
          <w:rFonts w:asciiTheme="minorHAnsi" w:hAnsiTheme="minorHAnsi"/>
          <w:shd w:val="clear" w:color="auto" w:fill="FFFFFF"/>
        </w:rPr>
        <w:t xml:space="preserve"> Universidad determina cuales son las exigencias para participar en los procesos de selección por licitación pública y no las cambia para una en particular, es de anotar que los oferentes deben cumplir con al menos 2 de los 4 indicadores exigidos en los pliegos de condiciones para continuar en el proceso licitatorio.</w:t>
      </w:r>
    </w:p>
    <w:p w:rsidR="00090D87" w:rsidRPr="00C2438A" w:rsidRDefault="00090D87" w:rsidP="00170535">
      <w:pPr>
        <w:autoSpaceDE w:val="0"/>
        <w:autoSpaceDN w:val="0"/>
        <w:adjustRightInd w:val="0"/>
        <w:spacing w:after="0" w:line="240" w:lineRule="auto"/>
        <w:jc w:val="both"/>
        <w:rPr>
          <w:rFonts w:asciiTheme="minorHAnsi" w:hAnsiTheme="minorHAnsi" w:cs="Calibri"/>
          <w:i/>
          <w:iCs/>
          <w:lang w:eastAsia="es-CO"/>
        </w:rPr>
      </w:pPr>
    </w:p>
    <w:p w:rsidR="00090D87" w:rsidRPr="00C2438A" w:rsidRDefault="00090D87" w:rsidP="00170535">
      <w:pPr>
        <w:autoSpaceDE w:val="0"/>
        <w:autoSpaceDN w:val="0"/>
        <w:adjustRightInd w:val="0"/>
        <w:spacing w:after="0" w:line="240" w:lineRule="auto"/>
        <w:jc w:val="both"/>
        <w:rPr>
          <w:rFonts w:asciiTheme="minorHAnsi" w:hAnsiTheme="minorHAnsi" w:cs="Calibri"/>
          <w:color w:val="000000"/>
          <w:lang w:eastAsia="es-CO"/>
        </w:rPr>
      </w:pPr>
    </w:p>
    <w:p w:rsidR="00090D87" w:rsidRPr="00C2438A" w:rsidRDefault="002C23FC" w:rsidP="00170535">
      <w:pPr>
        <w:autoSpaceDE w:val="0"/>
        <w:autoSpaceDN w:val="0"/>
        <w:adjustRightInd w:val="0"/>
        <w:spacing w:after="0" w:line="240" w:lineRule="auto"/>
        <w:jc w:val="both"/>
        <w:rPr>
          <w:rFonts w:asciiTheme="minorHAnsi" w:hAnsiTheme="minorHAnsi" w:cs="Calibri"/>
          <w:iCs/>
          <w:color w:val="000000"/>
          <w:lang w:eastAsia="es-CO"/>
        </w:rPr>
      </w:pPr>
      <w:r w:rsidRPr="00C2438A">
        <w:rPr>
          <w:rFonts w:asciiTheme="minorHAnsi" w:hAnsiTheme="minorHAnsi" w:cs="Calibri"/>
          <w:iCs/>
          <w:color w:val="000000"/>
          <w:lang w:eastAsia="es-CO"/>
        </w:rPr>
        <w:t>4</w:t>
      </w:r>
      <w:r w:rsidR="00090D87" w:rsidRPr="00C2438A">
        <w:rPr>
          <w:rFonts w:asciiTheme="minorHAnsi" w:hAnsiTheme="minorHAnsi" w:cs="Calibri"/>
          <w:iCs/>
          <w:color w:val="000000"/>
          <w:lang w:eastAsia="es-CO"/>
        </w:rPr>
        <w:t xml:space="preserve">. Para el punto 2 Evaluación Financiera. Paquete 2, en el capital de trabajo piden que sea igual a $ 20.000.000, si el valor es superior cabríamos dentro de este, sino es así solicitamos el favor de que sea cambiado por mayor o igual a este valor. </w:t>
      </w:r>
    </w:p>
    <w:p w:rsidR="00090D87" w:rsidRPr="00C2438A" w:rsidRDefault="00090D87" w:rsidP="00170535">
      <w:pPr>
        <w:autoSpaceDE w:val="0"/>
        <w:autoSpaceDN w:val="0"/>
        <w:adjustRightInd w:val="0"/>
        <w:spacing w:after="0" w:line="240" w:lineRule="auto"/>
        <w:jc w:val="both"/>
        <w:rPr>
          <w:rFonts w:asciiTheme="minorHAnsi" w:hAnsiTheme="minorHAnsi" w:cs="Calibri"/>
          <w:iCs/>
          <w:color w:val="000000"/>
          <w:lang w:eastAsia="es-CO"/>
        </w:rPr>
      </w:pPr>
    </w:p>
    <w:p w:rsidR="00090D87" w:rsidRPr="00C2438A" w:rsidRDefault="00090D87" w:rsidP="00170535">
      <w:pPr>
        <w:autoSpaceDE w:val="0"/>
        <w:autoSpaceDN w:val="0"/>
        <w:adjustRightInd w:val="0"/>
        <w:spacing w:after="0" w:line="240" w:lineRule="auto"/>
        <w:jc w:val="both"/>
        <w:rPr>
          <w:rFonts w:asciiTheme="minorHAnsi" w:hAnsiTheme="minorHAnsi" w:cs="Calibri"/>
          <w:i/>
          <w:iCs/>
          <w:color w:val="000000"/>
          <w:lang w:eastAsia="es-CO"/>
        </w:rPr>
      </w:pPr>
      <w:r w:rsidRPr="00C2438A">
        <w:rPr>
          <w:rFonts w:asciiTheme="minorHAnsi" w:hAnsiTheme="minorHAnsi" w:cs="Calibri"/>
          <w:b/>
          <w:i/>
          <w:iCs/>
          <w:color w:val="000000"/>
          <w:lang w:eastAsia="es-CO"/>
        </w:rPr>
        <w:t>RESPUESTA</w:t>
      </w:r>
      <w:proofErr w:type="gramStart"/>
      <w:r w:rsidRPr="00C2438A">
        <w:rPr>
          <w:rFonts w:asciiTheme="minorHAnsi" w:hAnsiTheme="minorHAnsi" w:cs="Calibri"/>
          <w:b/>
          <w:i/>
          <w:iCs/>
          <w:color w:val="000000"/>
          <w:lang w:eastAsia="es-CO"/>
        </w:rPr>
        <w:t>:</w:t>
      </w:r>
      <w:r w:rsidRPr="00C2438A">
        <w:rPr>
          <w:rFonts w:asciiTheme="minorHAnsi" w:hAnsiTheme="minorHAnsi" w:cs="Calibri"/>
          <w:i/>
          <w:iCs/>
          <w:color w:val="000000"/>
          <w:lang w:eastAsia="es-CO"/>
        </w:rPr>
        <w:t xml:space="preserve">  </w:t>
      </w:r>
      <w:r w:rsidR="002C23FC" w:rsidRPr="00C2438A">
        <w:rPr>
          <w:rFonts w:asciiTheme="minorHAnsi" w:hAnsiTheme="minorHAnsi" w:cs="Calibri"/>
          <w:i/>
          <w:iCs/>
          <w:color w:val="000000"/>
          <w:lang w:eastAsia="es-CO"/>
        </w:rPr>
        <w:t>El</w:t>
      </w:r>
      <w:proofErr w:type="gramEnd"/>
      <w:r w:rsidR="002C23FC" w:rsidRPr="00C2438A">
        <w:rPr>
          <w:rFonts w:asciiTheme="minorHAnsi" w:hAnsiTheme="minorHAnsi" w:cs="Calibri"/>
          <w:i/>
          <w:iCs/>
          <w:color w:val="000000"/>
          <w:lang w:eastAsia="es-CO"/>
        </w:rPr>
        <w:t xml:space="preserve"> valor del Capital de trabajo debe ser </w:t>
      </w:r>
      <w:r w:rsidR="00721E1C">
        <w:rPr>
          <w:rFonts w:asciiTheme="minorHAnsi" w:hAnsiTheme="minorHAnsi" w:cs="Calibri"/>
          <w:i/>
          <w:iCs/>
          <w:color w:val="000000"/>
          <w:lang w:eastAsia="es-CO"/>
        </w:rPr>
        <w:t>mayor o igual</w:t>
      </w:r>
      <w:r w:rsidR="002C23FC" w:rsidRPr="00C2438A">
        <w:rPr>
          <w:rFonts w:asciiTheme="minorHAnsi" w:hAnsiTheme="minorHAnsi" w:cs="Calibri"/>
          <w:i/>
          <w:iCs/>
          <w:color w:val="000000"/>
          <w:lang w:eastAsia="es-CO"/>
        </w:rPr>
        <w:t xml:space="preserve"> a $20.000.000.</w:t>
      </w:r>
    </w:p>
    <w:p w:rsidR="002C23FC" w:rsidRPr="00C2438A" w:rsidRDefault="002C23FC" w:rsidP="00170535">
      <w:pPr>
        <w:autoSpaceDE w:val="0"/>
        <w:autoSpaceDN w:val="0"/>
        <w:adjustRightInd w:val="0"/>
        <w:spacing w:after="0" w:line="240" w:lineRule="auto"/>
        <w:jc w:val="both"/>
        <w:rPr>
          <w:rFonts w:asciiTheme="minorHAnsi" w:hAnsiTheme="minorHAnsi" w:cs="Calibri"/>
          <w:i/>
          <w:iCs/>
          <w:color w:val="000000"/>
          <w:lang w:eastAsia="es-CO"/>
        </w:rPr>
      </w:pPr>
      <w:bookmarkStart w:id="0" w:name="_GoBack"/>
      <w:bookmarkEnd w:id="0"/>
    </w:p>
    <w:p w:rsidR="002C23FC" w:rsidRPr="00C2438A" w:rsidRDefault="002C23FC" w:rsidP="00170535">
      <w:pPr>
        <w:autoSpaceDE w:val="0"/>
        <w:autoSpaceDN w:val="0"/>
        <w:adjustRightInd w:val="0"/>
        <w:spacing w:after="0" w:line="240" w:lineRule="auto"/>
        <w:jc w:val="both"/>
        <w:rPr>
          <w:rFonts w:asciiTheme="minorHAnsi" w:hAnsiTheme="minorHAnsi" w:cs="Calibri"/>
          <w:i/>
          <w:iCs/>
          <w:color w:val="000000"/>
          <w:lang w:eastAsia="es-CO"/>
        </w:rPr>
      </w:pPr>
    </w:p>
    <w:p w:rsidR="002C23FC" w:rsidRPr="002C23FC" w:rsidRDefault="002C23FC" w:rsidP="002C23FC">
      <w:pPr>
        <w:shd w:val="clear" w:color="auto" w:fill="FFFFFF"/>
        <w:spacing w:after="0" w:line="240" w:lineRule="auto"/>
        <w:jc w:val="both"/>
        <w:rPr>
          <w:rFonts w:asciiTheme="minorHAnsi" w:eastAsia="Times New Roman" w:hAnsiTheme="minorHAnsi"/>
          <w:color w:val="222222"/>
        </w:rPr>
      </w:pPr>
      <w:r w:rsidRPr="00C2438A">
        <w:rPr>
          <w:rFonts w:asciiTheme="minorHAnsi" w:eastAsia="Times New Roman" w:hAnsiTheme="minorHAnsi"/>
          <w:color w:val="222222"/>
        </w:rPr>
        <w:t xml:space="preserve">5. </w:t>
      </w:r>
      <w:r w:rsidRPr="002C23FC">
        <w:rPr>
          <w:rFonts w:asciiTheme="minorHAnsi" w:eastAsia="Times New Roman" w:hAnsiTheme="minorHAnsi"/>
          <w:color w:val="222222"/>
        </w:rPr>
        <w:t>Con el fin de tener una mayor pluralidad y participación de oferentes solicitamos a la entidad incrementar el nivel de endeudamiento a menor o igual al 60%,   esto teniendo en cuenta la mayoría de las empresas que contratamos con entidades del estado se tiene un endeudamiento entre este rengo,  y también con lo establecido por el Decreto 734 de 2012, donde se estipula la capacidad financiera de los proponentes. Esto con el fin  que la entidad tenga una mayor seguridad de cumplimiento y experiencia por parte de los proponentes.</w:t>
      </w:r>
    </w:p>
    <w:p w:rsidR="002C23FC" w:rsidRPr="00C2438A" w:rsidRDefault="002C23FC" w:rsidP="002C23FC">
      <w:pPr>
        <w:autoSpaceDE w:val="0"/>
        <w:autoSpaceDN w:val="0"/>
        <w:adjustRightInd w:val="0"/>
        <w:spacing w:after="0" w:line="240" w:lineRule="auto"/>
        <w:jc w:val="both"/>
        <w:rPr>
          <w:rFonts w:asciiTheme="minorHAnsi" w:hAnsiTheme="minorHAnsi" w:cs="Calibri"/>
          <w:b/>
          <w:i/>
          <w:iCs/>
          <w:color w:val="000000"/>
          <w:lang w:eastAsia="es-CO"/>
        </w:rPr>
      </w:pPr>
    </w:p>
    <w:p w:rsidR="002C23FC" w:rsidRPr="00C2438A" w:rsidRDefault="002C23FC" w:rsidP="002C23FC">
      <w:pPr>
        <w:autoSpaceDE w:val="0"/>
        <w:autoSpaceDN w:val="0"/>
        <w:adjustRightInd w:val="0"/>
        <w:spacing w:after="0" w:line="240" w:lineRule="auto"/>
        <w:jc w:val="both"/>
        <w:rPr>
          <w:rFonts w:asciiTheme="minorHAnsi" w:hAnsiTheme="minorHAnsi" w:cs="Calibri"/>
          <w:b/>
          <w:i/>
          <w:iCs/>
          <w:lang w:eastAsia="es-CO"/>
        </w:rPr>
      </w:pPr>
      <w:r w:rsidRPr="00C2438A">
        <w:rPr>
          <w:rFonts w:asciiTheme="minorHAnsi" w:hAnsiTheme="minorHAnsi" w:cs="Calibri"/>
          <w:b/>
          <w:i/>
          <w:iCs/>
          <w:color w:val="000000"/>
          <w:lang w:eastAsia="es-CO"/>
        </w:rPr>
        <w:t>RESPUESTA</w:t>
      </w:r>
      <w:proofErr w:type="gramStart"/>
      <w:r w:rsidRPr="00C2438A">
        <w:rPr>
          <w:rFonts w:asciiTheme="minorHAnsi" w:hAnsiTheme="minorHAnsi" w:cs="Calibri"/>
          <w:b/>
          <w:i/>
          <w:iCs/>
          <w:color w:val="000000"/>
          <w:lang w:eastAsia="es-CO"/>
        </w:rPr>
        <w:t xml:space="preserve">:  </w:t>
      </w:r>
      <w:r w:rsidRPr="00C2438A">
        <w:rPr>
          <w:rFonts w:asciiTheme="minorHAnsi" w:hAnsiTheme="minorHAnsi"/>
          <w:shd w:val="clear" w:color="auto" w:fill="FFFFFF"/>
        </w:rPr>
        <w:t>La</w:t>
      </w:r>
      <w:proofErr w:type="gramEnd"/>
      <w:r w:rsidRPr="00C2438A">
        <w:rPr>
          <w:rFonts w:asciiTheme="minorHAnsi" w:hAnsiTheme="minorHAnsi"/>
          <w:shd w:val="clear" w:color="auto" w:fill="FFFFFF"/>
        </w:rPr>
        <w:t xml:space="preserve"> Universidad determina cuales son las exigencias para participar en los procesos de selección por licitación pública y no las cambia para una en particular, es de anotar que los oferentes deben cumplir con al menos 2 de los 4 indicadores exigidos en los pliegos de condiciones para continuar en el proceso licitatorio.</w:t>
      </w:r>
    </w:p>
    <w:p w:rsidR="002C23FC" w:rsidRPr="00C2438A" w:rsidRDefault="002C23FC" w:rsidP="002C23FC">
      <w:pPr>
        <w:shd w:val="clear" w:color="auto" w:fill="FFFFFF"/>
        <w:spacing w:before="100" w:beforeAutospacing="1" w:after="0" w:line="240" w:lineRule="auto"/>
        <w:rPr>
          <w:rFonts w:asciiTheme="minorHAnsi" w:hAnsiTheme="minorHAnsi" w:cs="Calibri"/>
          <w:color w:val="000000"/>
          <w:lang w:eastAsia="es-CO"/>
        </w:rPr>
      </w:pPr>
    </w:p>
    <w:p w:rsidR="00C2438A" w:rsidRPr="00C2438A" w:rsidRDefault="00C2438A" w:rsidP="00C2438A">
      <w:pPr>
        <w:jc w:val="both"/>
        <w:rPr>
          <w:rFonts w:asciiTheme="minorHAnsi" w:hAnsiTheme="minorHAnsi" w:cs="Arial"/>
          <w:b/>
        </w:rPr>
      </w:pPr>
      <w:r w:rsidRPr="00C2438A">
        <w:rPr>
          <w:rFonts w:asciiTheme="minorHAnsi" w:hAnsiTheme="minorHAnsi" w:cs="Arial"/>
          <w:b/>
        </w:rPr>
        <w:t>TENER EN CUENTA:</w:t>
      </w:r>
    </w:p>
    <w:p w:rsidR="00C2438A" w:rsidRPr="00C2438A" w:rsidRDefault="00C2438A" w:rsidP="00C2438A">
      <w:pPr>
        <w:pStyle w:val="Prrafodelista"/>
        <w:numPr>
          <w:ilvl w:val="0"/>
          <w:numId w:val="12"/>
        </w:numPr>
        <w:jc w:val="both"/>
        <w:rPr>
          <w:rFonts w:asciiTheme="minorHAnsi" w:hAnsiTheme="minorHAnsi" w:cs="Arial"/>
          <w:sz w:val="22"/>
          <w:szCs w:val="22"/>
        </w:rPr>
      </w:pPr>
      <w:r w:rsidRPr="00C2438A">
        <w:rPr>
          <w:rFonts w:asciiTheme="minorHAnsi" w:hAnsiTheme="minorHAnsi" w:cs="Arial"/>
          <w:sz w:val="22"/>
          <w:szCs w:val="22"/>
        </w:rPr>
        <w:t>Presupuesto oficial: Hasta Ciento sesenta y tres millones de pesos ($163.000.000)</w:t>
      </w:r>
      <w:r w:rsidRPr="00C2438A">
        <w:rPr>
          <w:rFonts w:asciiTheme="minorHAnsi" w:hAnsiTheme="minorHAnsi" w:cs="Arial"/>
          <w:sz w:val="22"/>
          <w:szCs w:val="22"/>
        </w:rPr>
        <w:t xml:space="preserve">. </w:t>
      </w:r>
    </w:p>
    <w:p w:rsidR="00C2438A" w:rsidRPr="00C2438A" w:rsidRDefault="00C2438A" w:rsidP="00C2438A">
      <w:pPr>
        <w:pStyle w:val="Prrafodelista"/>
        <w:jc w:val="both"/>
        <w:rPr>
          <w:rFonts w:asciiTheme="minorHAnsi" w:hAnsiTheme="minorHAnsi" w:cs="Arial"/>
          <w:sz w:val="22"/>
          <w:szCs w:val="22"/>
        </w:rPr>
      </w:pPr>
    </w:p>
    <w:p w:rsidR="00C2438A" w:rsidRPr="00C2438A" w:rsidRDefault="00C2438A" w:rsidP="00C2438A">
      <w:pPr>
        <w:pStyle w:val="Prrafodelista"/>
        <w:numPr>
          <w:ilvl w:val="0"/>
          <w:numId w:val="12"/>
        </w:numPr>
        <w:jc w:val="both"/>
        <w:rPr>
          <w:rFonts w:asciiTheme="minorHAnsi" w:hAnsiTheme="minorHAnsi" w:cs="Arial"/>
          <w:sz w:val="22"/>
          <w:szCs w:val="22"/>
        </w:rPr>
      </w:pPr>
      <w:r w:rsidRPr="00C2438A">
        <w:rPr>
          <w:rFonts w:asciiTheme="minorHAnsi" w:hAnsiTheme="minorHAnsi" w:cs="Arial"/>
          <w:sz w:val="22"/>
          <w:szCs w:val="22"/>
        </w:rPr>
        <w:t>Adjuntar l</w:t>
      </w:r>
      <w:r w:rsidRPr="00C2438A">
        <w:rPr>
          <w:rFonts w:asciiTheme="minorHAnsi" w:hAnsiTheme="minorHAnsi" w:cs="Arial"/>
          <w:bCs/>
          <w:iCs/>
          <w:sz w:val="22"/>
          <w:szCs w:val="22"/>
        </w:rPr>
        <w:t>a oferta impresa según el  Anexo 2, con el valor unitario en dólares IVA incluido. (</w:t>
      </w:r>
      <w:r w:rsidRPr="00C2438A">
        <w:rPr>
          <w:rFonts w:asciiTheme="minorHAnsi" w:hAnsiTheme="minorHAnsi" w:cs="Arial"/>
          <w:b/>
          <w:sz w:val="22"/>
          <w:szCs w:val="22"/>
        </w:rPr>
        <w:t>Insubsanable su presentación),</w:t>
      </w:r>
      <w:r w:rsidRPr="00C2438A">
        <w:rPr>
          <w:rFonts w:asciiTheme="minorHAnsi" w:hAnsiTheme="minorHAnsi" w:cs="Arial"/>
          <w:sz w:val="22"/>
          <w:szCs w:val="22"/>
        </w:rPr>
        <w:t xml:space="preserve"> </w:t>
      </w:r>
      <w:r w:rsidRPr="00C2438A">
        <w:rPr>
          <w:rFonts w:asciiTheme="minorHAnsi" w:hAnsiTheme="minorHAnsi" w:cs="Arial"/>
          <w:bCs/>
          <w:iCs/>
          <w:sz w:val="22"/>
          <w:szCs w:val="22"/>
        </w:rPr>
        <w:t xml:space="preserve"> esta misma información en medio digital USB en Excel 2007 (</w:t>
      </w:r>
      <w:r w:rsidRPr="00C2438A">
        <w:rPr>
          <w:rFonts w:asciiTheme="minorHAnsi" w:hAnsiTheme="minorHAnsi" w:cs="Arial"/>
          <w:b/>
          <w:bCs/>
          <w:iCs/>
          <w:sz w:val="22"/>
          <w:szCs w:val="22"/>
        </w:rPr>
        <w:t>Su</w:t>
      </w:r>
      <w:r w:rsidRPr="00C2438A">
        <w:rPr>
          <w:rFonts w:asciiTheme="minorHAnsi" w:hAnsiTheme="minorHAnsi" w:cs="Arial"/>
          <w:b/>
          <w:sz w:val="22"/>
          <w:szCs w:val="22"/>
        </w:rPr>
        <w:t>bsanable su presentación</w:t>
      </w:r>
      <w:r w:rsidRPr="00C2438A">
        <w:rPr>
          <w:rFonts w:asciiTheme="minorHAnsi" w:hAnsiTheme="minorHAnsi" w:cs="Arial"/>
          <w:sz w:val="22"/>
          <w:szCs w:val="22"/>
        </w:rPr>
        <w:t>).</w:t>
      </w:r>
    </w:p>
    <w:p w:rsidR="00C2438A" w:rsidRPr="00C2438A" w:rsidRDefault="00C2438A" w:rsidP="00C2438A">
      <w:pPr>
        <w:pStyle w:val="Prrafodelista"/>
        <w:rPr>
          <w:rFonts w:asciiTheme="minorHAnsi" w:hAnsiTheme="minorHAnsi" w:cs="Arial"/>
          <w:sz w:val="22"/>
          <w:szCs w:val="22"/>
        </w:rPr>
      </w:pPr>
    </w:p>
    <w:p w:rsidR="00F34B5B" w:rsidRPr="00C2438A" w:rsidRDefault="00F34B5B" w:rsidP="00C2438A">
      <w:pPr>
        <w:pStyle w:val="Prrafodelista"/>
        <w:numPr>
          <w:ilvl w:val="0"/>
          <w:numId w:val="12"/>
        </w:numPr>
        <w:spacing w:line="240" w:lineRule="auto"/>
        <w:jc w:val="both"/>
        <w:rPr>
          <w:rFonts w:asciiTheme="minorHAnsi" w:hAnsiTheme="minorHAnsi" w:cs="Arial"/>
          <w:sz w:val="22"/>
          <w:szCs w:val="22"/>
        </w:rPr>
      </w:pPr>
      <w:r w:rsidRPr="00C2438A">
        <w:rPr>
          <w:rFonts w:asciiTheme="minorHAnsi" w:hAnsiTheme="minorHAnsi" w:cs="Arial"/>
          <w:sz w:val="22"/>
          <w:szCs w:val="22"/>
        </w:rPr>
        <w:t>Se recomienda a los participantes, ser muy cuidadosos con la presentación de todos los documentos exigidos y demás condiciones del pliego.</w:t>
      </w:r>
    </w:p>
    <w:p w:rsidR="00C2438A" w:rsidRPr="00C2438A" w:rsidRDefault="00C2438A" w:rsidP="00C2438A">
      <w:pPr>
        <w:pStyle w:val="Prrafodelista"/>
        <w:rPr>
          <w:rFonts w:asciiTheme="minorHAnsi" w:hAnsiTheme="minorHAnsi" w:cs="Arial"/>
          <w:sz w:val="22"/>
          <w:szCs w:val="22"/>
        </w:rPr>
      </w:pPr>
    </w:p>
    <w:p w:rsidR="00F34B5B" w:rsidRPr="00C2438A" w:rsidRDefault="00F34B5B" w:rsidP="00C2438A">
      <w:pPr>
        <w:pStyle w:val="Prrafodelista"/>
        <w:numPr>
          <w:ilvl w:val="0"/>
          <w:numId w:val="12"/>
        </w:numPr>
        <w:spacing w:line="240" w:lineRule="auto"/>
        <w:jc w:val="both"/>
        <w:rPr>
          <w:rFonts w:asciiTheme="minorHAnsi" w:hAnsiTheme="minorHAnsi" w:cs="Arial"/>
          <w:sz w:val="22"/>
          <w:szCs w:val="22"/>
        </w:rPr>
      </w:pPr>
      <w:r w:rsidRPr="00C2438A">
        <w:rPr>
          <w:rFonts w:asciiTheme="minorHAnsi" w:hAnsiTheme="minorHAnsi" w:cs="Arial"/>
          <w:sz w:val="22"/>
          <w:szCs w:val="22"/>
        </w:rPr>
        <w:t xml:space="preserve">Deben ser puntuales con el cronograma propuesto. </w:t>
      </w:r>
    </w:p>
    <w:p w:rsidR="00C2438A" w:rsidRPr="00C2438A" w:rsidRDefault="00C2438A" w:rsidP="00C2438A">
      <w:pPr>
        <w:pStyle w:val="Prrafodelista"/>
        <w:rPr>
          <w:rFonts w:asciiTheme="minorHAnsi" w:hAnsiTheme="minorHAnsi" w:cs="Arial"/>
          <w:sz w:val="22"/>
          <w:szCs w:val="22"/>
        </w:rPr>
      </w:pPr>
    </w:p>
    <w:p w:rsidR="00F34B5B" w:rsidRPr="00C2438A" w:rsidRDefault="00F34B5B" w:rsidP="00C2438A">
      <w:pPr>
        <w:pStyle w:val="Prrafodelista"/>
        <w:numPr>
          <w:ilvl w:val="0"/>
          <w:numId w:val="12"/>
        </w:numPr>
        <w:spacing w:line="240" w:lineRule="auto"/>
        <w:jc w:val="both"/>
        <w:rPr>
          <w:rFonts w:asciiTheme="minorHAnsi" w:hAnsiTheme="minorHAnsi" w:cs="Arial"/>
          <w:sz w:val="22"/>
          <w:szCs w:val="22"/>
        </w:rPr>
      </w:pPr>
      <w:r w:rsidRPr="00C2438A">
        <w:rPr>
          <w:rFonts w:asciiTheme="minorHAnsi" w:hAnsiTheme="minorHAnsi" w:cs="Arial"/>
          <w:sz w:val="22"/>
          <w:szCs w:val="22"/>
        </w:rPr>
        <w:t xml:space="preserve">Se recomienda leer detenidamente el contenido total del Pliego de Condiciones, incluida la Minuta del Contrato, cuyas cláusulas son de estricto cumplimiento,  así como el contenido de las </w:t>
      </w:r>
      <w:r w:rsidRPr="00C2438A">
        <w:rPr>
          <w:rFonts w:asciiTheme="minorHAnsi" w:hAnsiTheme="minorHAnsi" w:cs="Arial"/>
          <w:b/>
          <w:sz w:val="22"/>
          <w:szCs w:val="22"/>
        </w:rPr>
        <w:t>ADENDAS.</w:t>
      </w:r>
      <w:r w:rsidRPr="00C2438A">
        <w:rPr>
          <w:rFonts w:asciiTheme="minorHAnsi" w:hAnsiTheme="minorHAnsi" w:cs="Arial"/>
          <w:sz w:val="22"/>
          <w:szCs w:val="22"/>
        </w:rPr>
        <w:t xml:space="preserve"> </w:t>
      </w:r>
    </w:p>
    <w:p w:rsidR="00C2438A" w:rsidRPr="00C2438A" w:rsidRDefault="00C2438A" w:rsidP="00C2438A">
      <w:pPr>
        <w:pStyle w:val="Prrafodelista"/>
        <w:rPr>
          <w:rFonts w:asciiTheme="minorHAnsi" w:hAnsiTheme="minorHAnsi" w:cs="Arial"/>
          <w:sz w:val="22"/>
          <w:szCs w:val="22"/>
        </w:rPr>
      </w:pPr>
    </w:p>
    <w:p w:rsidR="000038AB" w:rsidRPr="00C2438A" w:rsidRDefault="00F34B5B" w:rsidP="00C2438A">
      <w:pPr>
        <w:pStyle w:val="Prrafodelista"/>
        <w:numPr>
          <w:ilvl w:val="0"/>
          <w:numId w:val="12"/>
        </w:numPr>
        <w:spacing w:line="240" w:lineRule="auto"/>
        <w:jc w:val="both"/>
        <w:rPr>
          <w:rFonts w:asciiTheme="minorHAnsi" w:hAnsiTheme="minorHAnsi" w:cs="Arial"/>
          <w:sz w:val="22"/>
          <w:szCs w:val="22"/>
        </w:rPr>
      </w:pPr>
      <w:r w:rsidRPr="00C2438A">
        <w:rPr>
          <w:rFonts w:asciiTheme="minorHAnsi" w:hAnsiTheme="minorHAnsi" w:cs="Arial"/>
          <w:sz w:val="22"/>
          <w:szCs w:val="22"/>
        </w:rPr>
        <w:t xml:space="preserve">Para efectos de presentar la oferta, se requiere:   consultar todas las respuestas de la Adenda, la oferta económica debe presentarse </w:t>
      </w:r>
      <w:r w:rsidRPr="00C2438A">
        <w:rPr>
          <w:rFonts w:asciiTheme="minorHAnsi" w:hAnsiTheme="minorHAnsi" w:cs="Arial"/>
          <w:b/>
          <w:sz w:val="22"/>
          <w:szCs w:val="22"/>
        </w:rPr>
        <w:t>en el ANEXO</w:t>
      </w:r>
      <w:r w:rsidR="000038AB" w:rsidRPr="00C2438A">
        <w:rPr>
          <w:rFonts w:asciiTheme="minorHAnsi" w:hAnsiTheme="minorHAnsi" w:cs="Arial"/>
          <w:b/>
          <w:sz w:val="22"/>
          <w:szCs w:val="22"/>
        </w:rPr>
        <w:t xml:space="preserve"> 2</w:t>
      </w:r>
      <w:r w:rsidR="000038AB" w:rsidRPr="00C2438A">
        <w:rPr>
          <w:rFonts w:asciiTheme="minorHAnsi" w:hAnsiTheme="minorHAnsi" w:cs="Arial"/>
          <w:sz w:val="22"/>
          <w:szCs w:val="22"/>
        </w:rPr>
        <w:t>.</w:t>
      </w:r>
    </w:p>
    <w:p w:rsidR="00C2438A" w:rsidRPr="00C2438A" w:rsidRDefault="00C2438A" w:rsidP="00C2438A">
      <w:pPr>
        <w:pStyle w:val="Prrafodelista"/>
        <w:rPr>
          <w:rFonts w:asciiTheme="minorHAnsi" w:hAnsiTheme="minorHAnsi" w:cs="Arial"/>
          <w:sz w:val="22"/>
          <w:szCs w:val="22"/>
        </w:rPr>
      </w:pPr>
    </w:p>
    <w:p w:rsidR="000038AB" w:rsidRPr="00C2438A" w:rsidRDefault="00F34B5B" w:rsidP="00855D08">
      <w:pPr>
        <w:pStyle w:val="Prrafodelista"/>
        <w:numPr>
          <w:ilvl w:val="0"/>
          <w:numId w:val="12"/>
        </w:numPr>
        <w:spacing w:line="240" w:lineRule="auto"/>
        <w:jc w:val="both"/>
        <w:rPr>
          <w:rFonts w:asciiTheme="minorHAnsi" w:hAnsiTheme="minorHAnsi" w:cs="Arial"/>
          <w:sz w:val="22"/>
          <w:szCs w:val="22"/>
        </w:rPr>
      </w:pPr>
      <w:r w:rsidRPr="00C2438A">
        <w:rPr>
          <w:rFonts w:asciiTheme="minorHAnsi" w:hAnsiTheme="minorHAnsi" w:cs="Arial"/>
          <w:sz w:val="22"/>
          <w:szCs w:val="22"/>
        </w:rPr>
        <w:t>Se recomienda además,  consultar permanentemente la Página Web de la Universidad, hasta el día del Cierre de la Licitación a efecto de verificar cualquier información o modificación adicional.</w:t>
      </w:r>
    </w:p>
    <w:sectPr w:rsidR="000038AB" w:rsidRPr="00C2438A"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DC" w:rsidRDefault="00595FDC" w:rsidP="0061311D">
      <w:pPr>
        <w:spacing w:after="0" w:line="240" w:lineRule="auto"/>
      </w:pPr>
      <w:r>
        <w:separator/>
      </w:r>
    </w:p>
  </w:endnote>
  <w:endnote w:type="continuationSeparator" w:id="0">
    <w:p w:rsidR="00595FDC" w:rsidRDefault="00595FDC"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DC" w:rsidRDefault="00595FDC" w:rsidP="0061311D">
      <w:pPr>
        <w:spacing w:after="0" w:line="240" w:lineRule="auto"/>
      </w:pPr>
      <w:r>
        <w:separator/>
      </w:r>
    </w:p>
  </w:footnote>
  <w:footnote w:type="continuationSeparator" w:id="0">
    <w:p w:rsidR="00595FDC" w:rsidRDefault="00595FDC"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w:t>
    </w:r>
    <w:r w:rsidR="00A15306">
      <w:t>9</w:t>
    </w:r>
    <w:r w:rsidR="00F34B5B">
      <w:t xml:space="preserve"> DE 2013</w:t>
    </w:r>
  </w:p>
  <w:p w:rsidR="005D237C" w:rsidRDefault="005D237C" w:rsidP="0061311D">
    <w:pPr>
      <w:pStyle w:val="Encabezado"/>
      <w:jc w:val="center"/>
    </w:pPr>
    <w:r w:rsidRPr="00626B8D">
      <w:rPr>
        <w:rFonts w:cs="Arial"/>
      </w:rPr>
      <w:t xml:space="preserve">SUMINISTRO DE </w:t>
    </w:r>
    <w:r w:rsidR="00A15306">
      <w:rPr>
        <w:rFonts w:cs="Arial"/>
        <w:color w:val="222222"/>
        <w:shd w:val="clear" w:color="auto" w:fill="FFFFFF"/>
      </w:rPr>
      <w:t>SOFTWARE</w:t>
    </w:r>
    <w:r>
      <w:t xml:space="preserve"> </w:t>
    </w:r>
  </w:p>
  <w:p w:rsidR="0061311D" w:rsidRPr="0076224F" w:rsidRDefault="00F34B5B" w:rsidP="0061311D">
    <w:pPr>
      <w:pStyle w:val="Encabezado"/>
      <w:jc w:val="center"/>
    </w:pPr>
    <w:r>
      <w:t>ADENDA 1</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0"/>
  </w:num>
  <w:num w:numId="5">
    <w:abstractNumId w:val="4"/>
  </w:num>
  <w:num w:numId="6">
    <w:abstractNumId w:val="3"/>
  </w:num>
  <w:num w:numId="7">
    <w:abstractNumId w:val="0"/>
  </w:num>
  <w:num w:numId="8">
    <w:abstractNumId w:val="6"/>
  </w:num>
  <w:num w:numId="9">
    <w:abstractNumId w:val="11"/>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32770"/>
    <w:rsid w:val="00046870"/>
    <w:rsid w:val="00090D87"/>
    <w:rsid w:val="000F3CAC"/>
    <w:rsid w:val="00125CC0"/>
    <w:rsid w:val="00170535"/>
    <w:rsid w:val="00177478"/>
    <w:rsid w:val="0023271D"/>
    <w:rsid w:val="002C23FC"/>
    <w:rsid w:val="002E1684"/>
    <w:rsid w:val="0032199F"/>
    <w:rsid w:val="00373548"/>
    <w:rsid w:val="004469FB"/>
    <w:rsid w:val="00450903"/>
    <w:rsid w:val="00473CCD"/>
    <w:rsid w:val="00475293"/>
    <w:rsid w:val="0051525E"/>
    <w:rsid w:val="005567E4"/>
    <w:rsid w:val="00595FDC"/>
    <w:rsid w:val="005C5FAC"/>
    <w:rsid w:val="005C7D9E"/>
    <w:rsid w:val="005D237C"/>
    <w:rsid w:val="005E04DA"/>
    <w:rsid w:val="0061311D"/>
    <w:rsid w:val="00635B31"/>
    <w:rsid w:val="006E0455"/>
    <w:rsid w:val="006E41D3"/>
    <w:rsid w:val="00721E1C"/>
    <w:rsid w:val="007250D9"/>
    <w:rsid w:val="00780502"/>
    <w:rsid w:val="007967B5"/>
    <w:rsid w:val="00802652"/>
    <w:rsid w:val="008319A7"/>
    <w:rsid w:val="00855D08"/>
    <w:rsid w:val="00873A71"/>
    <w:rsid w:val="00891104"/>
    <w:rsid w:val="008A75F4"/>
    <w:rsid w:val="008B6348"/>
    <w:rsid w:val="00902BE4"/>
    <w:rsid w:val="00932EC6"/>
    <w:rsid w:val="00964534"/>
    <w:rsid w:val="00A15306"/>
    <w:rsid w:val="00A24EE1"/>
    <w:rsid w:val="00AB074C"/>
    <w:rsid w:val="00B176A6"/>
    <w:rsid w:val="00B64711"/>
    <w:rsid w:val="00B76BE9"/>
    <w:rsid w:val="00BF2990"/>
    <w:rsid w:val="00C2438A"/>
    <w:rsid w:val="00C54B32"/>
    <w:rsid w:val="00C6003F"/>
    <w:rsid w:val="00C76424"/>
    <w:rsid w:val="00C924EE"/>
    <w:rsid w:val="00CE200E"/>
    <w:rsid w:val="00D11B5A"/>
    <w:rsid w:val="00D20CE4"/>
    <w:rsid w:val="00D529BC"/>
    <w:rsid w:val="00D97057"/>
    <w:rsid w:val="00DE4B4F"/>
    <w:rsid w:val="00E23E40"/>
    <w:rsid w:val="00E8195F"/>
    <w:rsid w:val="00E845F3"/>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135</TotalTime>
  <Pages>2</Pages>
  <Words>676</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11</cp:revision>
  <cp:lastPrinted>2013-08-02T22:37:00Z</cp:lastPrinted>
  <dcterms:created xsi:type="dcterms:W3CDTF">2013-07-31T18:27:00Z</dcterms:created>
  <dcterms:modified xsi:type="dcterms:W3CDTF">2013-08-02T22:40:00Z</dcterms:modified>
</cp:coreProperties>
</file>