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BD" w:rsidRPr="007D405F" w:rsidRDefault="001137BD" w:rsidP="00125995">
      <w:pPr>
        <w:rPr>
          <w:b/>
          <w:sz w:val="24"/>
          <w:szCs w:val="24"/>
        </w:rPr>
      </w:pPr>
      <w:bookmarkStart w:id="0" w:name="_GoBack"/>
      <w:r w:rsidRPr="007D405F">
        <w:rPr>
          <w:b/>
          <w:sz w:val="24"/>
          <w:szCs w:val="24"/>
        </w:rPr>
        <w:t>UNIVERSIDAD TECNOLÓGICA DE PEREIRA</w:t>
      </w:r>
    </w:p>
    <w:p w:rsidR="001137BD" w:rsidRPr="007D405F" w:rsidRDefault="001137BD" w:rsidP="00125995">
      <w:pPr>
        <w:rPr>
          <w:b/>
          <w:sz w:val="24"/>
          <w:szCs w:val="24"/>
        </w:rPr>
      </w:pPr>
      <w:r w:rsidRPr="007D405F">
        <w:rPr>
          <w:b/>
          <w:sz w:val="24"/>
          <w:szCs w:val="24"/>
        </w:rPr>
        <w:t>GRUPO DE INVESTIGACION EN AGUA Y SANEAMIENTO</w:t>
      </w:r>
    </w:p>
    <w:p w:rsidR="001137BD" w:rsidRPr="007D405F" w:rsidRDefault="001137BD" w:rsidP="00125995">
      <w:pPr>
        <w:rPr>
          <w:b/>
          <w:sz w:val="24"/>
          <w:szCs w:val="24"/>
        </w:rPr>
      </w:pPr>
      <w:r w:rsidRPr="007D405F">
        <w:rPr>
          <w:b/>
          <w:sz w:val="24"/>
          <w:szCs w:val="24"/>
        </w:rPr>
        <w:t xml:space="preserve">LICITACIÓN PÚBLICA No. 070 GIAS 013– 2014 </w:t>
      </w:r>
    </w:p>
    <w:p w:rsidR="001137BD" w:rsidRPr="007D405F" w:rsidRDefault="001137BD" w:rsidP="00125995">
      <w:pPr>
        <w:rPr>
          <w:b/>
          <w:sz w:val="24"/>
          <w:szCs w:val="24"/>
        </w:rPr>
      </w:pPr>
      <w:r w:rsidRPr="007D405F">
        <w:rPr>
          <w:b/>
          <w:sz w:val="24"/>
          <w:szCs w:val="24"/>
        </w:rPr>
        <w:t>ADENDA No. 1</w:t>
      </w:r>
    </w:p>
    <w:bookmarkEnd w:id="0"/>
    <w:p w:rsidR="001137BD" w:rsidRPr="00E935E7" w:rsidRDefault="001137BD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 </w:t>
      </w:r>
    </w:p>
    <w:p w:rsidR="001137BD" w:rsidRPr="00E935E7" w:rsidRDefault="00E935E7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Atendiendo la solicitud de aclaración formulada el día 20 de mayo de 2014 por el señor Gustavo </w:t>
      </w:r>
      <w:proofErr w:type="spellStart"/>
      <w:r w:rsidRPr="00E935E7">
        <w:rPr>
          <w:sz w:val="24"/>
          <w:szCs w:val="24"/>
        </w:rPr>
        <w:t>Aristizabal</w:t>
      </w:r>
      <w:proofErr w:type="spellEnd"/>
      <w:r w:rsidRPr="00E935E7">
        <w:rPr>
          <w:sz w:val="24"/>
          <w:szCs w:val="24"/>
        </w:rPr>
        <w:t xml:space="preserve"> Botero en su calidad de gerente de CAMACOL Risaralda, a través del correo electrónico </w:t>
      </w:r>
      <w:r w:rsidRPr="00E935E7">
        <w:rPr>
          <w:sz w:val="24"/>
          <w:szCs w:val="24"/>
          <w:u w:val="single"/>
        </w:rPr>
        <w:t>aguaysaneamiento@utp.edu.co</w:t>
      </w:r>
      <w:r w:rsidRPr="00E935E7">
        <w:rPr>
          <w:sz w:val="24"/>
          <w:szCs w:val="24"/>
        </w:rPr>
        <w:t xml:space="preserve">, dentro de los términos estipulados en el numeral 1.6 de los pliegos de la licitación, </w:t>
      </w:r>
      <w:r w:rsidR="001137BD" w:rsidRPr="00E935E7">
        <w:rPr>
          <w:sz w:val="24"/>
          <w:szCs w:val="24"/>
        </w:rPr>
        <w:t xml:space="preserve">El Grupo de </w:t>
      </w:r>
      <w:r w:rsidRPr="00E935E7">
        <w:rPr>
          <w:sz w:val="24"/>
          <w:szCs w:val="24"/>
        </w:rPr>
        <w:t>Investigación</w:t>
      </w:r>
      <w:r w:rsidR="001137BD" w:rsidRPr="00E935E7">
        <w:rPr>
          <w:sz w:val="24"/>
          <w:szCs w:val="24"/>
        </w:rPr>
        <w:t xml:space="preserve"> en Agua y Saneamiento de La Universidad Tecnológica de Pereira se permite informar que se modifica el numeral 2.4 de los </w:t>
      </w:r>
      <w:r w:rsidRPr="00E935E7">
        <w:rPr>
          <w:sz w:val="24"/>
          <w:szCs w:val="24"/>
        </w:rPr>
        <w:t>mismos</w:t>
      </w:r>
      <w:r w:rsidR="001137BD" w:rsidRPr="00E935E7">
        <w:rPr>
          <w:sz w:val="24"/>
          <w:szCs w:val="24"/>
        </w:rPr>
        <w:t>, así:</w:t>
      </w:r>
    </w:p>
    <w:p w:rsidR="001137BD" w:rsidRPr="00E935E7" w:rsidRDefault="001137BD" w:rsidP="00125995">
      <w:pPr>
        <w:jc w:val="both"/>
        <w:rPr>
          <w:sz w:val="24"/>
          <w:szCs w:val="24"/>
        </w:rPr>
      </w:pPr>
    </w:p>
    <w:p w:rsidR="00125995" w:rsidRPr="00E935E7" w:rsidRDefault="00125995" w:rsidP="00125995">
      <w:pPr>
        <w:jc w:val="both"/>
        <w:rPr>
          <w:i/>
          <w:sz w:val="24"/>
          <w:szCs w:val="24"/>
        </w:rPr>
      </w:pPr>
      <w:r w:rsidRPr="00E935E7">
        <w:rPr>
          <w:sz w:val="24"/>
          <w:szCs w:val="24"/>
        </w:rPr>
        <w:t>“</w:t>
      </w:r>
      <w:r w:rsidRPr="00E935E7">
        <w:rPr>
          <w:i/>
          <w:sz w:val="24"/>
          <w:szCs w:val="24"/>
        </w:rPr>
        <w:t>Con la oferta los proponentes deben aportar:</w:t>
      </w:r>
    </w:p>
    <w:p w:rsidR="00125995" w:rsidRPr="00E935E7" w:rsidRDefault="00125995" w:rsidP="00125995">
      <w:pPr>
        <w:jc w:val="both"/>
        <w:rPr>
          <w:i/>
          <w:sz w:val="24"/>
          <w:szCs w:val="24"/>
        </w:rPr>
      </w:pPr>
    </w:p>
    <w:p w:rsidR="00125995" w:rsidRPr="00E935E7" w:rsidRDefault="00125995" w:rsidP="00125995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E935E7">
        <w:rPr>
          <w:rFonts w:asciiTheme="minorHAnsi" w:hAnsiTheme="minorHAnsi"/>
          <w:i/>
          <w:sz w:val="24"/>
          <w:szCs w:val="24"/>
        </w:rPr>
        <w:t>Persona natural: Cotización actualizada y firmada, Registro Único Tributario – RUT, Certificado de paz y salvo de aportes en salud y pensión, Copia de los antecedentes disciplinarios, fiscales y judiciales, Certificación bancaria.</w:t>
      </w:r>
    </w:p>
    <w:p w:rsidR="00125995" w:rsidRPr="00E935E7" w:rsidRDefault="00125995" w:rsidP="00125995">
      <w:pPr>
        <w:jc w:val="both"/>
        <w:rPr>
          <w:i/>
          <w:sz w:val="24"/>
          <w:szCs w:val="24"/>
        </w:rPr>
      </w:pPr>
    </w:p>
    <w:p w:rsidR="00125995" w:rsidRPr="00E935E7" w:rsidRDefault="00125995" w:rsidP="00125995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E935E7">
        <w:rPr>
          <w:rFonts w:asciiTheme="minorHAnsi" w:hAnsiTheme="minorHAnsi"/>
          <w:i/>
          <w:sz w:val="24"/>
          <w:szCs w:val="24"/>
        </w:rPr>
        <w:t>Persona jurídica: Cotización actualizada y firmada, Registro Único Tributario – RUT, Certificado de paz y salvo de aportes en salud, pensión y parafiscales, debe ser firmado por el representante legal o el revisor fiscal. Copia de los antecedentes fiscales y Certificado de existencia y representación legal expedido por la Cámara de Comercio.</w:t>
      </w:r>
    </w:p>
    <w:p w:rsidR="00125995" w:rsidRPr="00E935E7" w:rsidRDefault="00125995" w:rsidP="00125995">
      <w:pPr>
        <w:ind w:left="0"/>
        <w:jc w:val="both"/>
        <w:rPr>
          <w:i/>
          <w:sz w:val="24"/>
          <w:szCs w:val="24"/>
        </w:rPr>
      </w:pPr>
    </w:p>
    <w:p w:rsidR="001137BD" w:rsidRPr="00E935E7" w:rsidRDefault="001137BD" w:rsidP="00125995">
      <w:pPr>
        <w:jc w:val="both"/>
        <w:rPr>
          <w:i/>
          <w:sz w:val="24"/>
          <w:szCs w:val="24"/>
        </w:rPr>
      </w:pPr>
      <w:r w:rsidRPr="00E935E7">
        <w:rPr>
          <w:i/>
          <w:sz w:val="24"/>
          <w:szCs w:val="24"/>
        </w:rPr>
        <w:t xml:space="preserve">Se debe adjuntar a las hojas de vida de los </w:t>
      </w:r>
      <w:proofErr w:type="spellStart"/>
      <w:r w:rsidRPr="00E935E7">
        <w:rPr>
          <w:i/>
          <w:sz w:val="24"/>
          <w:szCs w:val="24"/>
        </w:rPr>
        <w:t>avaluadores</w:t>
      </w:r>
      <w:proofErr w:type="spellEnd"/>
      <w:r w:rsidRPr="00E935E7">
        <w:rPr>
          <w:i/>
          <w:sz w:val="24"/>
          <w:szCs w:val="24"/>
        </w:rPr>
        <w:t xml:space="preserve"> ofrecidos, el respectivo Registro Abierto de </w:t>
      </w:r>
      <w:proofErr w:type="spellStart"/>
      <w:r w:rsidRPr="00E935E7">
        <w:rPr>
          <w:i/>
          <w:sz w:val="24"/>
          <w:szCs w:val="24"/>
        </w:rPr>
        <w:t>Avaluadores</w:t>
      </w:r>
      <w:proofErr w:type="spellEnd"/>
      <w:r w:rsidRPr="00E935E7">
        <w:rPr>
          <w:i/>
          <w:sz w:val="24"/>
          <w:szCs w:val="24"/>
        </w:rPr>
        <w:t xml:space="preserve"> expedido por la Superintendencia de Industria y Comercio o la Entidad Reconocida de </w:t>
      </w:r>
      <w:r w:rsidR="00125995" w:rsidRPr="00E935E7">
        <w:rPr>
          <w:i/>
          <w:sz w:val="24"/>
          <w:szCs w:val="24"/>
        </w:rPr>
        <w:t>Autorregulación</w:t>
      </w:r>
      <w:r w:rsidRPr="00E935E7">
        <w:rPr>
          <w:i/>
          <w:sz w:val="24"/>
          <w:szCs w:val="24"/>
        </w:rPr>
        <w:t xml:space="preserve"> que haga sus veces de acuerdo al artículo 6° de la Ley 1673 del 19 de julio de 2013, en la Categoría 2 según lo dispuesto en el </w:t>
      </w:r>
      <w:r w:rsidR="00E935E7" w:rsidRPr="00E935E7">
        <w:rPr>
          <w:i/>
          <w:sz w:val="24"/>
          <w:szCs w:val="24"/>
        </w:rPr>
        <w:t>artículo</w:t>
      </w:r>
      <w:r w:rsidRPr="00E935E7">
        <w:rPr>
          <w:i/>
          <w:sz w:val="24"/>
          <w:szCs w:val="24"/>
        </w:rPr>
        <w:t xml:space="preserve"> 5° del </w:t>
      </w:r>
      <w:r w:rsidR="00125995" w:rsidRPr="00E935E7">
        <w:rPr>
          <w:i/>
          <w:sz w:val="24"/>
          <w:szCs w:val="24"/>
        </w:rPr>
        <w:t xml:space="preserve">Decreto </w:t>
      </w:r>
      <w:r w:rsidRPr="00E935E7">
        <w:rPr>
          <w:i/>
          <w:sz w:val="24"/>
          <w:szCs w:val="24"/>
        </w:rPr>
        <w:t>556 del 14 de marzo de 2014</w:t>
      </w:r>
      <w:r w:rsidR="00125995" w:rsidRPr="00E935E7">
        <w:rPr>
          <w:i/>
          <w:sz w:val="24"/>
          <w:szCs w:val="24"/>
        </w:rPr>
        <w:t xml:space="preserve"> (inmuebles rurales).</w:t>
      </w:r>
      <w:r w:rsidR="00125995" w:rsidRPr="00E935E7">
        <w:rPr>
          <w:sz w:val="24"/>
          <w:szCs w:val="24"/>
        </w:rPr>
        <w:t>”</w:t>
      </w:r>
    </w:p>
    <w:p w:rsidR="00E935E7" w:rsidRPr="00E935E7" w:rsidRDefault="00E935E7" w:rsidP="00125995">
      <w:pPr>
        <w:jc w:val="both"/>
        <w:rPr>
          <w:sz w:val="24"/>
          <w:szCs w:val="24"/>
        </w:rPr>
      </w:pPr>
    </w:p>
    <w:p w:rsidR="00E935E7" w:rsidRPr="00E935E7" w:rsidRDefault="00E935E7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Teniendo en cuenta lo anterior, se modifica el cronograma de la licitación adicionando </w:t>
      </w:r>
      <w:r w:rsidR="00A052BC">
        <w:rPr>
          <w:sz w:val="24"/>
          <w:szCs w:val="24"/>
        </w:rPr>
        <w:t>tiempo</w:t>
      </w:r>
      <w:r w:rsidRPr="00E935E7">
        <w:rPr>
          <w:sz w:val="24"/>
          <w:szCs w:val="24"/>
        </w:rPr>
        <w:t xml:space="preserve"> al periodo de apertura de la misma. En este sentido, el numeral 4.5 de los pliegos de la licitación queda así:</w:t>
      </w:r>
    </w:p>
    <w:p w:rsidR="00E935E7" w:rsidRPr="00E935E7" w:rsidRDefault="00E935E7" w:rsidP="00125995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79"/>
        <w:gridCol w:w="780"/>
        <w:gridCol w:w="779"/>
        <w:gridCol w:w="780"/>
        <w:gridCol w:w="3134"/>
      </w:tblGrid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right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MES</w:t>
            </w:r>
          </w:p>
        </w:tc>
        <w:tc>
          <w:tcPr>
            <w:tcW w:w="1722" w:type="pct"/>
            <w:gridSpan w:val="4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 xml:space="preserve">MAYO 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SITIO</w:t>
            </w:r>
          </w:p>
        </w:tc>
      </w:tr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right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DÍA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19-21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A052BC" w:rsidP="00E935E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A052BC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</w:t>
            </w:r>
          </w:p>
        </w:tc>
        <w:tc>
          <w:tcPr>
            <w:tcW w:w="1731" w:type="pct"/>
            <w:vMerge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PASOS</w:t>
            </w:r>
          </w:p>
        </w:tc>
        <w:tc>
          <w:tcPr>
            <w:tcW w:w="1722" w:type="pct"/>
            <w:gridSpan w:val="4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1" w:type="pct"/>
            <w:vMerge/>
            <w:shd w:val="clear" w:color="auto" w:fill="auto"/>
          </w:tcPr>
          <w:p w:rsidR="00E935E7" w:rsidRPr="00E935E7" w:rsidRDefault="00E935E7" w:rsidP="00236CC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lastRenderedPageBreak/>
              <w:t>1. Apertura y Publicación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Página Web UTP</w:t>
            </w:r>
          </w:p>
        </w:tc>
      </w:tr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2. Entrega de Propuestas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Oficina F-201, Facultad de Ciencias Ambientales UTP</w:t>
            </w:r>
          </w:p>
        </w:tc>
      </w:tr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3. Cierre de la Licitación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Oficina F-201, Facultad de Ciencias Ambientales UTP</w:t>
            </w:r>
          </w:p>
        </w:tc>
      </w:tr>
      <w:tr w:rsidR="00E935E7" w:rsidRPr="00E935E7" w:rsidTr="00236CC0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4. Evaluación y Adjudicación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935E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935E7" w:rsidRPr="00E935E7" w:rsidRDefault="00E935E7" w:rsidP="00236CC0">
            <w:pPr>
              <w:pStyle w:val="Default"/>
              <w:jc w:val="center"/>
              <w:rPr>
                <w:rFonts w:asciiTheme="minorHAnsi" w:hAnsiTheme="minorHAnsi"/>
              </w:rPr>
            </w:pPr>
            <w:r w:rsidRPr="00E935E7">
              <w:rPr>
                <w:rFonts w:asciiTheme="minorHAnsi" w:hAnsiTheme="minorHAnsi"/>
              </w:rPr>
              <w:t>Oficina F-201, Facultad de Ciencias Ambientales UTP</w:t>
            </w:r>
          </w:p>
        </w:tc>
      </w:tr>
    </w:tbl>
    <w:p w:rsidR="00E935E7" w:rsidRPr="00E935E7" w:rsidRDefault="00E935E7" w:rsidP="00125995">
      <w:pPr>
        <w:jc w:val="both"/>
        <w:rPr>
          <w:sz w:val="24"/>
          <w:szCs w:val="24"/>
        </w:rPr>
      </w:pPr>
    </w:p>
    <w:p w:rsidR="001137BD" w:rsidRPr="00E935E7" w:rsidRDefault="001137BD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 </w:t>
      </w:r>
    </w:p>
    <w:p w:rsidR="001137BD" w:rsidRDefault="001137BD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Cordialmente, </w:t>
      </w:r>
    </w:p>
    <w:p w:rsidR="00D85BE9" w:rsidRPr="00E935E7" w:rsidRDefault="00D85BE9" w:rsidP="00125995">
      <w:pPr>
        <w:jc w:val="both"/>
        <w:rPr>
          <w:sz w:val="24"/>
          <w:szCs w:val="24"/>
        </w:rPr>
      </w:pPr>
    </w:p>
    <w:p w:rsidR="001137BD" w:rsidRPr="00E935E7" w:rsidRDefault="001137BD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 </w:t>
      </w:r>
    </w:p>
    <w:p w:rsidR="005F048C" w:rsidRPr="00E935E7" w:rsidRDefault="00125995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 xml:space="preserve">GRUPO DE INVESTIGACIÓN EN AGUA Y SANEAMIENTO </w:t>
      </w:r>
    </w:p>
    <w:p w:rsidR="00125995" w:rsidRPr="00E935E7" w:rsidRDefault="00125995" w:rsidP="00125995">
      <w:pPr>
        <w:jc w:val="both"/>
        <w:rPr>
          <w:sz w:val="24"/>
          <w:szCs w:val="24"/>
        </w:rPr>
      </w:pPr>
      <w:r w:rsidRPr="00E935E7">
        <w:rPr>
          <w:sz w:val="24"/>
          <w:szCs w:val="24"/>
        </w:rPr>
        <w:t>UNIVERSIDAD TECNOLÓGICA DE PEREIRA</w:t>
      </w:r>
    </w:p>
    <w:sectPr w:rsidR="00125995" w:rsidRPr="00E93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D25A6"/>
    <w:multiLevelType w:val="hybridMultilevel"/>
    <w:tmpl w:val="4EA437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B7E25"/>
    <w:multiLevelType w:val="hybridMultilevel"/>
    <w:tmpl w:val="487875AA"/>
    <w:lvl w:ilvl="0" w:tplc="2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BD"/>
    <w:rsid w:val="001137BD"/>
    <w:rsid w:val="00125995"/>
    <w:rsid w:val="004E2AE8"/>
    <w:rsid w:val="005F048C"/>
    <w:rsid w:val="007A0A84"/>
    <w:rsid w:val="007D405F"/>
    <w:rsid w:val="00840435"/>
    <w:rsid w:val="00A052BC"/>
    <w:rsid w:val="00D04579"/>
    <w:rsid w:val="00D175F5"/>
    <w:rsid w:val="00D706AD"/>
    <w:rsid w:val="00D85BE9"/>
    <w:rsid w:val="00E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ind w:left="510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79"/>
  </w:style>
  <w:style w:type="paragraph" w:styleId="Ttulo1">
    <w:name w:val="heading 1"/>
    <w:basedOn w:val="Normal"/>
    <w:next w:val="Normal"/>
    <w:link w:val="Ttulo1Car"/>
    <w:uiPriority w:val="99"/>
    <w:qFormat/>
    <w:rsid w:val="00D045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D04579"/>
    <w:pPr>
      <w:keepNext/>
      <w:spacing w:before="240" w:after="60" w:line="240" w:lineRule="auto"/>
      <w:ind w:left="0" w:righ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D04579"/>
    <w:pPr>
      <w:keepNext/>
      <w:spacing w:before="240" w:after="60" w:line="240" w:lineRule="auto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D04579"/>
    <w:pPr>
      <w:spacing w:before="240" w:after="60" w:line="240" w:lineRule="auto"/>
      <w:ind w:left="0" w:right="0"/>
      <w:jc w:val="left"/>
      <w:outlineLvl w:val="5"/>
    </w:pPr>
    <w:rPr>
      <w:rFonts w:ascii="Calibri" w:eastAsia="Times New Roman" w:hAnsi="Calibri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04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457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D04579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D04579"/>
    <w:rPr>
      <w:rFonts w:ascii="Calibri" w:eastAsia="Times New Roman" w:hAnsi="Calibri" w:cs="Times New Roman"/>
      <w:b/>
      <w:bCs/>
      <w:lang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D04579"/>
    <w:pPr>
      <w:spacing w:before="240" w:after="60"/>
      <w:ind w:left="0" w:right="0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rsid w:val="00D04579"/>
    <w:rPr>
      <w:rFonts w:ascii="Cambria" w:eastAsia="Times New Roman" w:hAnsi="Cambria" w:cs="Cambria"/>
      <w:b/>
      <w:bCs/>
      <w:kern w:val="28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04579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D04579"/>
    <w:pPr>
      <w:spacing w:after="200"/>
      <w:ind w:left="720" w:right="0"/>
      <w:jc w:val="left"/>
    </w:pPr>
    <w:rPr>
      <w:rFonts w:ascii="Calibri" w:eastAsia="Calibri" w:hAnsi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D04579"/>
    <w:rPr>
      <w:rFonts w:ascii="Calibri" w:eastAsia="Calibri" w:hAnsi="Calibri" w:cs="Calibri"/>
    </w:rPr>
  </w:style>
  <w:style w:type="paragraph" w:styleId="TtulodeTDC">
    <w:name w:val="TOC Heading"/>
    <w:basedOn w:val="Ttulo1"/>
    <w:next w:val="Normal"/>
    <w:uiPriority w:val="39"/>
    <w:qFormat/>
    <w:rsid w:val="00D04579"/>
    <w:pPr>
      <w:ind w:left="0" w:right="0"/>
      <w:jc w:val="left"/>
      <w:outlineLvl w:val="9"/>
    </w:pPr>
    <w:rPr>
      <w:rFonts w:ascii="Cambria" w:eastAsia="Calibri" w:hAnsi="Cambria" w:cs="Cambria"/>
      <w:color w:val="365F91"/>
      <w:lang w:eastAsia="es-CO"/>
    </w:rPr>
  </w:style>
  <w:style w:type="paragraph" w:customStyle="1" w:styleId="Default">
    <w:name w:val="Default"/>
    <w:rsid w:val="0012599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eastAsia="Calibri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9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ind w:left="510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79"/>
  </w:style>
  <w:style w:type="paragraph" w:styleId="Ttulo1">
    <w:name w:val="heading 1"/>
    <w:basedOn w:val="Normal"/>
    <w:next w:val="Normal"/>
    <w:link w:val="Ttulo1Car"/>
    <w:uiPriority w:val="99"/>
    <w:qFormat/>
    <w:rsid w:val="00D045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D04579"/>
    <w:pPr>
      <w:keepNext/>
      <w:spacing w:before="240" w:after="60" w:line="240" w:lineRule="auto"/>
      <w:ind w:left="0" w:righ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D04579"/>
    <w:pPr>
      <w:keepNext/>
      <w:spacing w:before="240" w:after="60" w:line="240" w:lineRule="auto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D04579"/>
    <w:pPr>
      <w:spacing w:before="240" w:after="60" w:line="240" w:lineRule="auto"/>
      <w:ind w:left="0" w:right="0"/>
      <w:jc w:val="left"/>
      <w:outlineLvl w:val="5"/>
    </w:pPr>
    <w:rPr>
      <w:rFonts w:ascii="Calibri" w:eastAsia="Times New Roman" w:hAnsi="Calibri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04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457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D04579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D04579"/>
    <w:rPr>
      <w:rFonts w:ascii="Calibri" w:eastAsia="Times New Roman" w:hAnsi="Calibri" w:cs="Times New Roman"/>
      <w:b/>
      <w:bCs/>
      <w:lang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D04579"/>
    <w:pPr>
      <w:spacing w:before="240" w:after="60"/>
      <w:ind w:left="0" w:right="0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rsid w:val="00D04579"/>
    <w:rPr>
      <w:rFonts w:ascii="Cambria" w:eastAsia="Times New Roman" w:hAnsi="Cambria" w:cs="Cambria"/>
      <w:b/>
      <w:bCs/>
      <w:kern w:val="28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04579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D04579"/>
    <w:pPr>
      <w:spacing w:after="200"/>
      <w:ind w:left="720" w:right="0"/>
      <w:jc w:val="left"/>
    </w:pPr>
    <w:rPr>
      <w:rFonts w:ascii="Calibri" w:eastAsia="Calibri" w:hAnsi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D04579"/>
    <w:rPr>
      <w:rFonts w:ascii="Calibri" w:eastAsia="Calibri" w:hAnsi="Calibri" w:cs="Calibri"/>
    </w:rPr>
  </w:style>
  <w:style w:type="paragraph" w:styleId="TtulodeTDC">
    <w:name w:val="TOC Heading"/>
    <w:basedOn w:val="Ttulo1"/>
    <w:next w:val="Normal"/>
    <w:uiPriority w:val="39"/>
    <w:qFormat/>
    <w:rsid w:val="00D04579"/>
    <w:pPr>
      <w:ind w:left="0" w:right="0"/>
      <w:jc w:val="left"/>
      <w:outlineLvl w:val="9"/>
    </w:pPr>
    <w:rPr>
      <w:rFonts w:ascii="Cambria" w:eastAsia="Calibri" w:hAnsi="Cambria" w:cs="Cambria"/>
      <w:color w:val="365F91"/>
      <w:lang w:eastAsia="es-CO"/>
    </w:rPr>
  </w:style>
  <w:style w:type="paragraph" w:customStyle="1" w:styleId="Default">
    <w:name w:val="Default"/>
    <w:rsid w:val="0012599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eastAsia="Calibri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9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GIAS</cp:lastModifiedBy>
  <cp:revision>5</cp:revision>
  <dcterms:created xsi:type="dcterms:W3CDTF">2014-05-21T13:23:00Z</dcterms:created>
  <dcterms:modified xsi:type="dcterms:W3CDTF">2014-05-21T15:41:00Z</dcterms:modified>
</cp:coreProperties>
</file>