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42" w:rsidRPr="00D90D5A" w:rsidRDefault="00037442" w:rsidP="00037442">
      <w:pPr>
        <w:jc w:val="center"/>
        <w:rPr>
          <w:rFonts w:ascii="Arial" w:hAnsi="Arial" w:cs="Arial"/>
          <w:b/>
          <w:sz w:val="20"/>
          <w:szCs w:val="20"/>
          <w:lang w:val="es-ES"/>
        </w:rPr>
      </w:pPr>
      <w:r w:rsidRPr="00D90D5A">
        <w:rPr>
          <w:rFonts w:ascii="Arial" w:hAnsi="Arial" w:cs="Arial"/>
          <w:b/>
          <w:sz w:val="20"/>
          <w:szCs w:val="20"/>
          <w:lang w:val="es-ES"/>
        </w:rPr>
        <w:t>UNIVERSIDAD TECNOLÓGICA DE PEREIRA</w:t>
      </w:r>
    </w:p>
    <w:p w:rsidR="00037442" w:rsidRPr="00D90D5A" w:rsidRDefault="00037442" w:rsidP="00037442">
      <w:pPr>
        <w:jc w:val="center"/>
        <w:rPr>
          <w:rFonts w:ascii="Arial" w:hAnsi="Arial" w:cs="Arial"/>
          <w:b/>
          <w:sz w:val="20"/>
          <w:szCs w:val="20"/>
          <w:lang w:val="es-ES"/>
        </w:rPr>
      </w:pPr>
    </w:p>
    <w:p w:rsidR="008F150D" w:rsidRPr="00D90D5A" w:rsidRDefault="008F150D" w:rsidP="008F150D">
      <w:pPr>
        <w:jc w:val="center"/>
        <w:rPr>
          <w:rFonts w:ascii="Arial" w:hAnsi="Arial" w:cs="Arial"/>
          <w:b/>
          <w:sz w:val="20"/>
          <w:szCs w:val="20"/>
          <w:lang w:val="es-ES"/>
        </w:rPr>
      </w:pPr>
      <w:r w:rsidRPr="00D90D5A">
        <w:rPr>
          <w:rFonts w:ascii="Arial" w:hAnsi="Arial" w:cs="Arial"/>
          <w:b/>
          <w:sz w:val="20"/>
          <w:szCs w:val="20"/>
          <w:lang w:val="es-ES"/>
        </w:rPr>
        <w:t xml:space="preserve">ADENDA No. </w:t>
      </w:r>
      <w:r w:rsidR="004B7FD0" w:rsidRPr="00D90D5A">
        <w:rPr>
          <w:rFonts w:ascii="Arial" w:hAnsi="Arial" w:cs="Arial"/>
          <w:b/>
          <w:sz w:val="20"/>
          <w:szCs w:val="20"/>
          <w:lang w:val="es-ES"/>
        </w:rPr>
        <w:t>7</w:t>
      </w:r>
    </w:p>
    <w:p w:rsidR="008F150D" w:rsidRPr="00D90D5A" w:rsidRDefault="008F150D" w:rsidP="00037442">
      <w:pPr>
        <w:jc w:val="center"/>
        <w:rPr>
          <w:rFonts w:ascii="Arial" w:hAnsi="Arial" w:cs="Arial"/>
          <w:b/>
          <w:sz w:val="20"/>
          <w:szCs w:val="20"/>
          <w:lang w:val="es-ES"/>
        </w:rPr>
      </w:pPr>
    </w:p>
    <w:p w:rsidR="00E14629" w:rsidRPr="00D90D5A" w:rsidRDefault="00E14629" w:rsidP="00E14629">
      <w:pPr>
        <w:suppressAutoHyphens/>
        <w:spacing w:line="480" w:lineRule="auto"/>
        <w:jc w:val="center"/>
        <w:rPr>
          <w:rFonts w:ascii="Arial" w:hAnsi="Arial" w:cs="Arial"/>
          <w:sz w:val="20"/>
          <w:szCs w:val="20"/>
          <w:shd w:val="clear" w:color="auto" w:fill="FFFFFF"/>
          <w:lang w:val="es-ES" w:eastAsia="zh-CN"/>
        </w:rPr>
      </w:pPr>
      <w:r w:rsidRPr="00D90D5A">
        <w:rPr>
          <w:rFonts w:ascii="Arial" w:hAnsi="Arial" w:cs="Arial"/>
          <w:b/>
          <w:sz w:val="20"/>
          <w:szCs w:val="20"/>
          <w:lang w:val="es-ES" w:eastAsia="zh-CN"/>
        </w:rPr>
        <w:t>LICITACIÓN PÚBLICA No. 1</w:t>
      </w:r>
      <w:r w:rsidR="00E8635B" w:rsidRPr="00D90D5A">
        <w:rPr>
          <w:rFonts w:ascii="Arial" w:hAnsi="Arial" w:cs="Arial"/>
          <w:b/>
          <w:sz w:val="20"/>
          <w:szCs w:val="20"/>
          <w:lang w:val="es-ES" w:eastAsia="zh-CN"/>
        </w:rPr>
        <w:t>9</w:t>
      </w:r>
    </w:p>
    <w:p w:rsidR="0018128D" w:rsidRPr="00D90D5A" w:rsidRDefault="00E14629" w:rsidP="0018128D">
      <w:pPr>
        <w:suppressAutoHyphens/>
        <w:spacing w:line="276" w:lineRule="auto"/>
        <w:jc w:val="center"/>
        <w:rPr>
          <w:rFonts w:ascii="Arial" w:eastAsia="Calibri" w:hAnsi="Arial" w:cs="Arial"/>
          <w:b/>
          <w:sz w:val="20"/>
          <w:szCs w:val="20"/>
          <w:lang w:eastAsia="en-US"/>
        </w:rPr>
      </w:pPr>
      <w:r w:rsidRPr="00D90D5A">
        <w:rPr>
          <w:rFonts w:ascii="Arial" w:hAnsi="Arial" w:cs="Arial"/>
          <w:b/>
          <w:snapToGrid w:val="0"/>
          <w:sz w:val="20"/>
          <w:szCs w:val="20"/>
        </w:rPr>
        <w:t xml:space="preserve">“SUMINISTRO E INSTALACIÓN </w:t>
      </w:r>
      <w:r w:rsidR="0018128D" w:rsidRPr="00D90D5A">
        <w:rPr>
          <w:rFonts w:ascii="Arial" w:eastAsia="Calibri" w:hAnsi="Arial" w:cs="Arial"/>
          <w:b/>
          <w:sz w:val="20"/>
          <w:szCs w:val="20"/>
          <w:lang w:eastAsia="en-US"/>
        </w:rPr>
        <w:t>DE AMUEBLAMIENTO”</w:t>
      </w:r>
    </w:p>
    <w:p w:rsidR="0018128D" w:rsidRPr="00D90D5A" w:rsidRDefault="0018128D" w:rsidP="0018128D">
      <w:pPr>
        <w:suppressAutoHyphens/>
        <w:spacing w:line="276" w:lineRule="auto"/>
        <w:jc w:val="center"/>
        <w:rPr>
          <w:rFonts w:ascii="Arial" w:eastAsia="Calibri" w:hAnsi="Arial" w:cs="Arial"/>
          <w:b/>
          <w:sz w:val="20"/>
          <w:szCs w:val="20"/>
          <w:lang w:eastAsia="en-US"/>
        </w:rPr>
      </w:pPr>
    </w:p>
    <w:p w:rsidR="00E14629" w:rsidRPr="00D90D5A" w:rsidRDefault="0018128D" w:rsidP="0018128D">
      <w:pPr>
        <w:suppressAutoHyphens/>
        <w:spacing w:line="276" w:lineRule="auto"/>
        <w:jc w:val="center"/>
        <w:rPr>
          <w:rFonts w:ascii="Arial" w:hAnsi="Arial" w:cs="Arial"/>
          <w:b/>
          <w:sz w:val="20"/>
          <w:szCs w:val="20"/>
          <w:lang w:val="es-ES"/>
        </w:rPr>
      </w:pPr>
      <w:r w:rsidRPr="00D90D5A">
        <w:rPr>
          <w:rFonts w:ascii="Arial" w:eastAsia="Calibri" w:hAnsi="Arial" w:cs="Arial"/>
          <w:b/>
          <w:sz w:val="20"/>
          <w:szCs w:val="20"/>
          <w:lang w:eastAsia="en-US"/>
        </w:rPr>
        <w:t>EDIFICIO CIENCIAS DE LA SALUD Y QUÍMICA</w:t>
      </w:r>
    </w:p>
    <w:p w:rsidR="000737B8" w:rsidRPr="00D90D5A" w:rsidRDefault="000737B8" w:rsidP="00037442">
      <w:pPr>
        <w:jc w:val="center"/>
        <w:rPr>
          <w:rFonts w:ascii="Arial" w:hAnsi="Arial" w:cs="Arial"/>
          <w:b/>
          <w:sz w:val="20"/>
          <w:szCs w:val="20"/>
          <w:lang w:val="es-ES"/>
        </w:rPr>
      </w:pPr>
    </w:p>
    <w:p w:rsidR="00037442" w:rsidRPr="00D90D5A" w:rsidRDefault="00B24B7A" w:rsidP="00037442">
      <w:pPr>
        <w:jc w:val="center"/>
        <w:rPr>
          <w:rFonts w:ascii="Arial" w:hAnsi="Arial" w:cs="Arial"/>
          <w:b/>
          <w:sz w:val="20"/>
          <w:szCs w:val="20"/>
          <w:lang w:val="es-ES"/>
        </w:rPr>
      </w:pPr>
      <w:r>
        <w:rPr>
          <w:rFonts w:ascii="Arial" w:hAnsi="Arial" w:cs="Arial"/>
          <w:b/>
          <w:sz w:val="20"/>
          <w:szCs w:val="20"/>
          <w:lang w:val="es-ES"/>
        </w:rPr>
        <w:t>REANUDACIÓN LICITACIÓN Y MODIFICACIONES</w:t>
      </w:r>
    </w:p>
    <w:p w:rsidR="00EB4D90" w:rsidRPr="00D90D5A" w:rsidRDefault="00EB4D90" w:rsidP="00037442">
      <w:pPr>
        <w:jc w:val="center"/>
        <w:rPr>
          <w:rFonts w:ascii="Arial" w:hAnsi="Arial" w:cs="Arial"/>
          <w:b/>
          <w:sz w:val="20"/>
          <w:szCs w:val="20"/>
          <w:lang w:val="es-ES"/>
        </w:rPr>
      </w:pPr>
    </w:p>
    <w:p w:rsidR="00EE499B" w:rsidRPr="00D90D5A" w:rsidRDefault="00EE499B" w:rsidP="00037442">
      <w:pPr>
        <w:jc w:val="center"/>
        <w:rPr>
          <w:rFonts w:ascii="Arial" w:hAnsi="Arial" w:cs="Arial"/>
          <w:b/>
          <w:sz w:val="20"/>
          <w:szCs w:val="20"/>
          <w:lang w:val="es-ES"/>
        </w:rPr>
      </w:pPr>
    </w:p>
    <w:p w:rsidR="009017B6" w:rsidRPr="00D90D5A" w:rsidRDefault="009017B6" w:rsidP="00037442">
      <w:pPr>
        <w:jc w:val="center"/>
        <w:rPr>
          <w:rFonts w:ascii="Arial" w:hAnsi="Arial" w:cs="Arial"/>
          <w:b/>
          <w:sz w:val="20"/>
          <w:szCs w:val="20"/>
          <w:lang w:val="es-ES"/>
        </w:rPr>
      </w:pPr>
    </w:p>
    <w:p w:rsidR="00060AD7" w:rsidRPr="00D90D5A" w:rsidRDefault="00D35483" w:rsidP="00D35483">
      <w:pPr>
        <w:shd w:val="clear" w:color="auto" w:fill="FFFFFF"/>
        <w:jc w:val="both"/>
        <w:rPr>
          <w:rFonts w:ascii="Arial" w:hAnsi="Arial" w:cs="Arial"/>
          <w:sz w:val="20"/>
          <w:szCs w:val="20"/>
          <w:lang w:val="es-ES" w:eastAsia="es-CO"/>
        </w:rPr>
      </w:pPr>
      <w:r w:rsidRPr="00D90D5A">
        <w:rPr>
          <w:rFonts w:ascii="Arial" w:hAnsi="Arial" w:cs="Arial"/>
          <w:sz w:val="20"/>
          <w:szCs w:val="20"/>
          <w:lang w:val="es-ES" w:eastAsia="es-CO"/>
        </w:rPr>
        <w:t>La Universidad Tecnológica de Pereira, se permite hacer las siguientes modificaciones a los términos de la Licitación No. 19, “SUMINISTRO E INSTALACIÓN DE AMUEBLAMIENTO” EDIFICIO CIENCIAS DE LA SALUD Y QUÍMICA “, c</w:t>
      </w:r>
      <w:r w:rsidR="000767DE" w:rsidRPr="00D90D5A">
        <w:rPr>
          <w:rFonts w:ascii="Arial" w:hAnsi="Arial" w:cs="Arial"/>
          <w:sz w:val="20"/>
          <w:szCs w:val="20"/>
          <w:lang w:val="es-ES" w:eastAsia="es-CO"/>
        </w:rPr>
        <w:t xml:space="preserve">on el fin de dar mayor claridad en la evaluación y calificación </w:t>
      </w:r>
      <w:r w:rsidR="00060AD7" w:rsidRPr="00D90D5A">
        <w:rPr>
          <w:rFonts w:ascii="Arial" w:hAnsi="Arial" w:cs="Arial"/>
          <w:sz w:val="20"/>
          <w:szCs w:val="20"/>
          <w:lang w:val="es-ES" w:eastAsia="es-CO"/>
        </w:rPr>
        <w:t>de la</w:t>
      </w:r>
      <w:r w:rsidRPr="00D90D5A">
        <w:rPr>
          <w:rFonts w:ascii="Arial" w:hAnsi="Arial" w:cs="Arial"/>
          <w:sz w:val="20"/>
          <w:szCs w:val="20"/>
          <w:lang w:val="es-ES" w:eastAsia="es-CO"/>
        </w:rPr>
        <w:t>s ofertas que participen en e</w:t>
      </w:r>
      <w:bookmarkStart w:id="0" w:name="_GoBack"/>
      <w:bookmarkEnd w:id="0"/>
      <w:r w:rsidRPr="00D90D5A">
        <w:rPr>
          <w:rFonts w:ascii="Arial" w:hAnsi="Arial" w:cs="Arial"/>
          <w:sz w:val="20"/>
          <w:szCs w:val="20"/>
          <w:lang w:val="es-ES" w:eastAsia="es-CO"/>
        </w:rPr>
        <w:t xml:space="preserve">ste proceso, </w:t>
      </w:r>
      <w:proofErr w:type="spellStart"/>
      <w:r w:rsidR="00060AD7" w:rsidRPr="00D90D5A">
        <w:rPr>
          <w:rFonts w:ascii="Arial" w:hAnsi="Arial" w:cs="Arial"/>
          <w:sz w:val="20"/>
          <w:szCs w:val="20"/>
          <w:lang w:val="es-ES" w:eastAsia="es-CO"/>
        </w:rPr>
        <w:t>asi</w:t>
      </w:r>
      <w:proofErr w:type="spellEnd"/>
      <w:r w:rsidR="00060AD7" w:rsidRPr="00D90D5A">
        <w:rPr>
          <w:rFonts w:ascii="Arial" w:hAnsi="Arial" w:cs="Arial"/>
          <w:sz w:val="20"/>
          <w:szCs w:val="20"/>
          <w:lang w:val="es-ES" w:eastAsia="es-CO"/>
        </w:rPr>
        <w:t>:</w:t>
      </w:r>
    </w:p>
    <w:p w:rsidR="00060AD7" w:rsidRPr="00D90D5A" w:rsidRDefault="00060AD7" w:rsidP="00E8635B">
      <w:pPr>
        <w:shd w:val="clear" w:color="auto" w:fill="FFFFFF"/>
        <w:rPr>
          <w:rFonts w:ascii="Arial" w:hAnsi="Arial" w:cs="Arial"/>
          <w:sz w:val="20"/>
          <w:szCs w:val="20"/>
          <w:lang w:val="es-ES" w:eastAsia="es-CO"/>
        </w:rPr>
      </w:pPr>
    </w:p>
    <w:p w:rsidR="0067653E" w:rsidRPr="00D90D5A" w:rsidRDefault="0067653E" w:rsidP="00E8635B">
      <w:pPr>
        <w:shd w:val="clear" w:color="auto" w:fill="FFFFFF"/>
        <w:rPr>
          <w:rFonts w:ascii="Arial" w:hAnsi="Arial" w:cs="Arial"/>
          <w:b/>
          <w:sz w:val="20"/>
          <w:szCs w:val="20"/>
          <w:lang w:val="es-ES" w:eastAsia="es-CO"/>
        </w:rPr>
      </w:pPr>
      <w:r w:rsidRPr="00D90D5A">
        <w:rPr>
          <w:rFonts w:ascii="Arial" w:hAnsi="Arial" w:cs="Arial"/>
          <w:b/>
          <w:sz w:val="20"/>
          <w:szCs w:val="20"/>
          <w:lang w:val="es-ES" w:eastAsia="es-CO"/>
        </w:rPr>
        <w:t xml:space="preserve">ANEXO 1 ESPECIFICACIONES TÉCNICAS DE OBLIGATORIO CUMPLIMIENTO. </w:t>
      </w:r>
    </w:p>
    <w:p w:rsidR="0067653E" w:rsidRPr="00D90D5A" w:rsidRDefault="0067653E" w:rsidP="00E8635B">
      <w:pPr>
        <w:shd w:val="clear" w:color="auto" w:fill="FFFFFF"/>
        <w:rPr>
          <w:rFonts w:ascii="Arial" w:hAnsi="Arial" w:cs="Arial"/>
          <w:sz w:val="20"/>
          <w:szCs w:val="20"/>
          <w:lang w:val="es-ES" w:eastAsia="es-CO"/>
        </w:rPr>
      </w:pPr>
      <w:r w:rsidRPr="00D90D5A">
        <w:rPr>
          <w:rFonts w:ascii="Arial" w:hAnsi="Arial" w:cs="Arial"/>
          <w:sz w:val="20"/>
          <w:szCs w:val="20"/>
          <w:lang w:val="es-ES" w:eastAsia="es-CO"/>
        </w:rPr>
        <w:t>Ver anexo 1 modificado</w:t>
      </w:r>
    </w:p>
    <w:p w:rsidR="00A55BE6" w:rsidRPr="00D90D5A" w:rsidRDefault="00A55BE6" w:rsidP="00E8635B">
      <w:pPr>
        <w:shd w:val="clear" w:color="auto" w:fill="FFFFFF"/>
        <w:rPr>
          <w:rFonts w:ascii="Arial" w:hAnsi="Arial" w:cs="Arial"/>
          <w:sz w:val="20"/>
          <w:szCs w:val="20"/>
          <w:lang w:val="es-ES" w:eastAsia="es-CO"/>
        </w:rPr>
      </w:pPr>
    </w:p>
    <w:p w:rsidR="00A55BE6" w:rsidRPr="00D90D5A" w:rsidRDefault="00A55BE6" w:rsidP="00A55BE6">
      <w:pPr>
        <w:shd w:val="clear" w:color="auto" w:fill="FFFFFF"/>
        <w:jc w:val="both"/>
        <w:rPr>
          <w:rFonts w:ascii="Arial" w:hAnsi="Arial" w:cs="Arial"/>
          <w:b/>
          <w:sz w:val="20"/>
          <w:szCs w:val="20"/>
          <w:lang w:val="es-ES" w:eastAsia="es-CO"/>
        </w:rPr>
      </w:pPr>
      <w:r w:rsidRPr="00D90D5A">
        <w:rPr>
          <w:rFonts w:ascii="Arial" w:hAnsi="Arial" w:cs="Arial"/>
          <w:b/>
          <w:sz w:val="20"/>
          <w:szCs w:val="20"/>
          <w:lang w:val="es-ES" w:eastAsia="es-CO"/>
        </w:rPr>
        <w:t>A</w:t>
      </w:r>
      <w:r w:rsidR="00DE0CEA" w:rsidRPr="00D90D5A">
        <w:rPr>
          <w:rFonts w:ascii="Arial" w:hAnsi="Arial" w:cs="Arial"/>
          <w:b/>
          <w:sz w:val="20"/>
          <w:szCs w:val="20"/>
          <w:lang w:val="es-ES" w:eastAsia="es-CO"/>
        </w:rPr>
        <w:t>NEXO</w:t>
      </w:r>
      <w:r w:rsidRPr="00D90D5A">
        <w:rPr>
          <w:rFonts w:ascii="Arial" w:hAnsi="Arial" w:cs="Arial"/>
          <w:b/>
          <w:sz w:val="20"/>
          <w:szCs w:val="20"/>
          <w:lang w:val="es-ES" w:eastAsia="es-CO"/>
        </w:rPr>
        <w:t xml:space="preserve"> 2</w:t>
      </w:r>
      <w:r w:rsidRPr="00D90D5A">
        <w:rPr>
          <w:rFonts w:ascii="Arial" w:hAnsi="Arial" w:cs="Arial"/>
          <w:sz w:val="20"/>
          <w:szCs w:val="20"/>
          <w:lang w:val="es-ES" w:eastAsia="es-CO"/>
        </w:rPr>
        <w:t xml:space="preserve"> </w:t>
      </w:r>
      <w:r w:rsidRPr="00D90D5A">
        <w:rPr>
          <w:rFonts w:ascii="Arial" w:hAnsi="Arial" w:cs="Arial"/>
          <w:b/>
          <w:sz w:val="20"/>
          <w:szCs w:val="20"/>
          <w:lang w:val="es-ES" w:eastAsia="es-CO"/>
        </w:rPr>
        <w:t>CONDICIONES PARA LA PRESENTACIÓN DE LA OFERTA DE OBLIGATORIO CUMPLIMIENTO</w:t>
      </w:r>
    </w:p>
    <w:p w:rsidR="00A55BE6" w:rsidRPr="00D90D5A" w:rsidRDefault="00A55BE6" w:rsidP="00E8635B">
      <w:pPr>
        <w:shd w:val="clear" w:color="auto" w:fill="FFFFFF"/>
        <w:rPr>
          <w:rFonts w:ascii="Arial" w:hAnsi="Arial" w:cs="Arial"/>
          <w:sz w:val="20"/>
          <w:szCs w:val="20"/>
          <w:lang w:val="es-ES" w:eastAsia="es-CO"/>
        </w:rPr>
      </w:pPr>
    </w:p>
    <w:p w:rsidR="00060AD7" w:rsidRPr="00D90D5A" w:rsidRDefault="00FC6AE2" w:rsidP="00E8635B">
      <w:pPr>
        <w:shd w:val="clear" w:color="auto" w:fill="FFFFFF"/>
        <w:rPr>
          <w:rFonts w:ascii="Arial" w:hAnsi="Arial" w:cs="Arial"/>
          <w:b/>
          <w:sz w:val="20"/>
          <w:szCs w:val="20"/>
          <w:lang w:val="es-ES" w:eastAsia="es-CO"/>
        </w:rPr>
      </w:pPr>
      <w:r w:rsidRPr="00D90D5A">
        <w:rPr>
          <w:rFonts w:ascii="Arial" w:hAnsi="Arial" w:cs="Arial"/>
          <w:b/>
          <w:sz w:val="20"/>
          <w:szCs w:val="20"/>
          <w:lang w:val="es-ES" w:eastAsia="es-CO"/>
        </w:rPr>
        <w:t>DOCUMENTOS TÉCNICOS</w:t>
      </w:r>
    </w:p>
    <w:p w:rsidR="00FC6AE2" w:rsidRPr="00D90D5A" w:rsidRDefault="00FC6AE2" w:rsidP="00E8635B">
      <w:pPr>
        <w:shd w:val="clear" w:color="auto" w:fill="FFFFFF"/>
        <w:rPr>
          <w:rFonts w:ascii="Arial" w:hAnsi="Arial" w:cs="Arial"/>
          <w:sz w:val="20"/>
          <w:szCs w:val="20"/>
          <w:lang w:val="es-ES" w:eastAsia="es-CO"/>
        </w:rPr>
      </w:pPr>
    </w:p>
    <w:p w:rsidR="00E14C23" w:rsidRPr="00D90D5A" w:rsidRDefault="00E14C23" w:rsidP="00E14C23">
      <w:pPr>
        <w:autoSpaceDE w:val="0"/>
        <w:autoSpaceDN w:val="0"/>
        <w:adjustRightInd w:val="0"/>
        <w:jc w:val="both"/>
        <w:rPr>
          <w:rFonts w:ascii="Arial" w:hAnsi="Arial" w:cs="Arial"/>
          <w:sz w:val="20"/>
          <w:szCs w:val="20"/>
        </w:rPr>
      </w:pPr>
      <w:r w:rsidRPr="00D90D5A">
        <w:rPr>
          <w:rFonts w:ascii="Arial" w:hAnsi="Arial" w:cs="Arial"/>
          <w:sz w:val="20"/>
          <w:szCs w:val="20"/>
        </w:rPr>
        <w:t xml:space="preserve">El proponente deberá entregar los planos y las especificaciones de diseño del  amueblamiento 2° piso del edificio de Tecnología Química y  3° piso del edificio de Ciencias dela Salud, teniendo en cuenta las siguientes características, Se anexan planos arquitectónicos del espacio (plantas y cortes) Ver Anexo 4 – Planos en </w:t>
      </w:r>
      <w:proofErr w:type="spellStart"/>
      <w:r w:rsidRPr="00D90D5A">
        <w:rPr>
          <w:rFonts w:ascii="Arial" w:hAnsi="Arial" w:cs="Arial"/>
          <w:sz w:val="20"/>
          <w:szCs w:val="20"/>
        </w:rPr>
        <w:t>Autocad</w:t>
      </w:r>
      <w:proofErr w:type="spellEnd"/>
      <w:r w:rsidRPr="00D90D5A">
        <w:rPr>
          <w:rFonts w:ascii="Arial" w:hAnsi="Arial" w:cs="Arial"/>
          <w:sz w:val="20"/>
          <w:szCs w:val="20"/>
        </w:rPr>
        <w:t xml:space="preserve"> y </w:t>
      </w:r>
      <w:proofErr w:type="spellStart"/>
      <w:r w:rsidRPr="00D90D5A">
        <w:rPr>
          <w:rFonts w:ascii="Arial" w:hAnsi="Arial" w:cs="Arial"/>
          <w:sz w:val="20"/>
          <w:szCs w:val="20"/>
        </w:rPr>
        <w:t>pdf</w:t>
      </w:r>
      <w:proofErr w:type="spellEnd"/>
      <w:r w:rsidRPr="00D90D5A">
        <w:rPr>
          <w:rFonts w:ascii="Arial" w:hAnsi="Arial" w:cs="Arial"/>
          <w:sz w:val="20"/>
          <w:szCs w:val="20"/>
        </w:rPr>
        <w:t xml:space="preserve">. </w:t>
      </w:r>
      <w:r w:rsidRPr="00D90D5A">
        <w:rPr>
          <w:rFonts w:ascii="Arial" w:hAnsi="Arial" w:cs="Arial"/>
          <w:b/>
          <w:sz w:val="20"/>
          <w:szCs w:val="20"/>
        </w:rPr>
        <w:t>Impresos y en medio digital. Insubsanable</w:t>
      </w:r>
      <w:r w:rsidRPr="00D90D5A">
        <w:rPr>
          <w:rFonts w:ascii="Arial" w:hAnsi="Arial" w:cs="Arial"/>
          <w:sz w:val="20"/>
          <w:szCs w:val="20"/>
        </w:rPr>
        <w:t>:</w:t>
      </w:r>
    </w:p>
    <w:p w:rsidR="00E14C23" w:rsidRPr="00D90D5A" w:rsidRDefault="00E14C23" w:rsidP="00E14C23">
      <w:pPr>
        <w:autoSpaceDE w:val="0"/>
        <w:autoSpaceDN w:val="0"/>
        <w:adjustRightInd w:val="0"/>
        <w:jc w:val="both"/>
        <w:rPr>
          <w:rFonts w:ascii="Arial" w:hAnsi="Arial" w:cs="Arial"/>
          <w:sz w:val="20"/>
          <w:szCs w:val="20"/>
        </w:rPr>
      </w:pPr>
    </w:p>
    <w:p w:rsidR="00E14C23" w:rsidRPr="00D90D5A" w:rsidRDefault="00E14C23" w:rsidP="00E14C23">
      <w:pPr>
        <w:numPr>
          <w:ilvl w:val="0"/>
          <w:numId w:val="21"/>
        </w:numPr>
        <w:autoSpaceDE w:val="0"/>
        <w:autoSpaceDN w:val="0"/>
        <w:adjustRightInd w:val="0"/>
        <w:jc w:val="both"/>
        <w:rPr>
          <w:rFonts w:ascii="Arial" w:hAnsi="Arial" w:cs="Arial"/>
          <w:sz w:val="20"/>
          <w:szCs w:val="20"/>
        </w:rPr>
      </w:pPr>
      <w:r w:rsidRPr="00D90D5A">
        <w:rPr>
          <w:rFonts w:ascii="Arial" w:hAnsi="Arial" w:cs="Arial"/>
          <w:sz w:val="20"/>
          <w:szCs w:val="20"/>
        </w:rPr>
        <w:t>Partir del plano base entregado por la universidad.</w:t>
      </w:r>
    </w:p>
    <w:p w:rsidR="00AF3A55" w:rsidRPr="00D90D5A" w:rsidRDefault="00AF3A55" w:rsidP="00AF3A55">
      <w:pPr>
        <w:autoSpaceDE w:val="0"/>
        <w:autoSpaceDN w:val="0"/>
        <w:adjustRightInd w:val="0"/>
        <w:jc w:val="both"/>
        <w:rPr>
          <w:rFonts w:ascii="Arial" w:hAnsi="Arial" w:cs="Arial"/>
          <w:sz w:val="20"/>
          <w:szCs w:val="20"/>
        </w:rPr>
      </w:pPr>
    </w:p>
    <w:p w:rsidR="00AF3A55" w:rsidRPr="00D90D5A" w:rsidRDefault="00AF3A55" w:rsidP="00AF3A55">
      <w:pPr>
        <w:autoSpaceDE w:val="0"/>
        <w:autoSpaceDN w:val="0"/>
        <w:adjustRightInd w:val="0"/>
        <w:jc w:val="both"/>
        <w:rPr>
          <w:rFonts w:ascii="Arial" w:hAnsi="Arial" w:cs="Arial"/>
          <w:sz w:val="20"/>
          <w:szCs w:val="20"/>
        </w:rPr>
      </w:pPr>
    </w:p>
    <w:p w:rsidR="00954122" w:rsidRPr="00D90D5A" w:rsidRDefault="00954122" w:rsidP="00AF3A55">
      <w:pPr>
        <w:autoSpaceDE w:val="0"/>
        <w:autoSpaceDN w:val="0"/>
        <w:adjustRightInd w:val="0"/>
        <w:jc w:val="both"/>
        <w:rPr>
          <w:rFonts w:ascii="Arial" w:hAnsi="Arial" w:cs="Arial"/>
          <w:sz w:val="20"/>
          <w:szCs w:val="20"/>
        </w:rPr>
      </w:pPr>
    </w:p>
    <w:p w:rsidR="00B75338" w:rsidRPr="00D90D5A" w:rsidRDefault="00B75338" w:rsidP="00B75338">
      <w:pPr>
        <w:autoSpaceDE w:val="0"/>
        <w:autoSpaceDN w:val="0"/>
        <w:adjustRightInd w:val="0"/>
        <w:jc w:val="both"/>
        <w:rPr>
          <w:rFonts w:ascii="Arial" w:hAnsi="Arial" w:cs="Arial"/>
          <w:b/>
          <w:sz w:val="20"/>
          <w:szCs w:val="20"/>
          <w:lang w:val="es-ES_tradnl"/>
        </w:rPr>
      </w:pPr>
      <w:r w:rsidRPr="00D90D5A">
        <w:rPr>
          <w:rFonts w:ascii="Arial" w:hAnsi="Arial" w:cs="Arial"/>
          <w:b/>
          <w:sz w:val="20"/>
          <w:szCs w:val="20"/>
          <w:lang w:val="es-ES_tradnl"/>
        </w:rPr>
        <w:t>Evaluación técnica</w:t>
      </w:r>
    </w:p>
    <w:p w:rsidR="00B75338" w:rsidRPr="00D90D5A" w:rsidRDefault="00B75338" w:rsidP="00B75338">
      <w:pPr>
        <w:autoSpaceDE w:val="0"/>
        <w:autoSpaceDN w:val="0"/>
        <w:adjustRightInd w:val="0"/>
        <w:jc w:val="both"/>
        <w:rPr>
          <w:rFonts w:ascii="Arial" w:hAnsi="Arial" w:cs="Arial"/>
          <w:b/>
          <w:sz w:val="20"/>
          <w:szCs w:val="20"/>
          <w:lang w:val="es-ES_tradnl"/>
        </w:rPr>
      </w:pPr>
    </w:p>
    <w:p w:rsidR="00B75338" w:rsidRPr="00D90D5A" w:rsidRDefault="00954122" w:rsidP="00AF3A55">
      <w:pPr>
        <w:autoSpaceDE w:val="0"/>
        <w:autoSpaceDN w:val="0"/>
        <w:adjustRightInd w:val="0"/>
        <w:jc w:val="both"/>
        <w:rPr>
          <w:rFonts w:ascii="Arial" w:hAnsi="Arial" w:cs="Arial"/>
          <w:sz w:val="20"/>
          <w:szCs w:val="20"/>
        </w:rPr>
      </w:pPr>
      <w:r w:rsidRPr="00D90D5A">
        <w:rPr>
          <w:rFonts w:ascii="Arial" w:hAnsi="Arial" w:cs="Arial"/>
          <w:sz w:val="20"/>
          <w:szCs w:val="20"/>
          <w:lang w:val="es-ES_tradnl"/>
        </w:rPr>
        <w:t>Ver anexo 1.</w:t>
      </w:r>
    </w:p>
    <w:p w:rsidR="00B75338" w:rsidRPr="00D90D5A" w:rsidRDefault="00B75338" w:rsidP="00AF3A55">
      <w:pPr>
        <w:autoSpaceDE w:val="0"/>
        <w:autoSpaceDN w:val="0"/>
        <w:adjustRightInd w:val="0"/>
        <w:jc w:val="both"/>
        <w:rPr>
          <w:rFonts w:ascii="Arial" w:hAnsi="Arial" w:cs="Arial"/>
          <w:sz w:val="20"/>
          <w:szCs w:val="20"/>
        </w:rPr>
      </w:pPr>
    </w:p>
    <w:p w:rsidR="00AF3A55" w:rsidRPr="00D90D5A" w:rsidRDefault="00AF7920" w:rsidP="00AF3A55">
      <w:pPr>
        <w:numPr>
          <w:ilvl w:val="1"/>
          <w:numId w:val="22"/>
        </w:numPr>
        <w:suppressAutoHyphens/>
        <w:jc w:val="both"/>
        <w:rPr>
          <w:rFonts w:ascii="Arial" w:hAnsi="Arial" w:cs="Arial"/>
          <w:sz w:val="20"/>
          <w:szCs w:val="20"/>
        </w:rPr>
      </w:pPr>
      <w:r w:rsidRPr="00D90D5A">
        <w:rPr>
          <w:rFonts w:ascii="Arial" w:hAnsi="Arial" w:cs="Arial"/>
          <w:b/>
          <w:sz w:val="20"/>
          <w:szCs w:val="20"/>
        </w:rPr>
        <w:t xml:space="preserve"> </w:t>
      </w:r>
      <w:r w:rsidR="00AF3A55" w:rsidRPr="00D90D5A">
        <w:rPr>
          <w:rFonts w:ascii="Arial" w:hAnsi="Arial" w:cs="Arial"/>
          <w:b/>
          <w:sz w:val="20"/>
          <w:szCs w:val="20"/>
        </w:rPr>
        <w:t>Evaluación Técnica. Paquete 3.</w:t>
      </w:r>
    </w:p>
    <w:p w:rsidR="00AF3A55" w:rsidRPr="00D90D5A" w:rsidRDefault="00AF3A55" w:rsidP="00AF3A55">
      <w:pPr>
        <w:jc w:val="both"/>
        <w:rPr>
          <w:rFonts w:ascii="Arial" w:hAnsi="Arial" w:cs="Arial"/>
          <w:sz w:val="20"/>
          <w:szCs w:val="20"/>
        </w:rPr>
      </w:pPr>
    </w:p>
    <w:p w:rsidR="00AF3A55" w:rsidRPr="00D90D5A" w:rsidRDefault="00AF3A55" w:rsidP="00AF3A55">
      <w:pPr>
        <w:jc w:val="both"/>
        <w:rPr>
          <w:rFonts w:ascii="Arial" w:hAnsi="Arial" w:cs="Arial"/>
          <w:sz w:val="20"/>
          <w:szCs w:val="20"/>
        </w:rPr>
      </w:pPr>
      <w:r w:rsidRPr="00D90D5A">
        <w:rPr>
          <w:rFonts w:ascii="Arial" w:hAnsi="Arial" w:cs="Arial"/>
          <w:sz w:val="20"/>
          <w:szCs w:val="20"/>
        </w:rPr>
        <w:t>El Comité Técnico verificará el cumplimiento de las condiciones exigidas en el pliego y en los Anexos. Entregará la evaluación de cada oferta indicando el cumplimiento o no de las especificaciones técnicas solicitadas.</w:t>
      </w:r>
    </w:p>
    <w:p w:rsidR="00AF3A55" w:rsidRPr="00D90D5A" w:rsidRDefault="00AF3A55" w:rsidP="00AF3A55">
      <w:pPr>
        <w:jc w:val="both"/>
        <w:rPr>
          <w:rFonts w:ascii="Arial" w:hAnsi="Arial" w:cs="Arial"/>
          <w:sz w:val="20"/>
          <w:szCs w:val="20"/>
        </w:rPr>
      </w:pPr>
    </w:p>
    <w:p w:rsidR="00AF3A55" w:rsidRPr="00D90D5A" w:rsidRDefault="00954122" w:rsidP="00AF3A55">
      <w:pPr>
        <w:jc w:val="both"/>
        <w:rPr>
          <w:rFonts w:ascii="Arial" w:hAnsi="Arial" w:cs="Arial"/>
          <w:sz w:val="20"/>
          <w:szCs w:val="20"/>
        </w:rPr>
      </w:pPr>
      <w:r w:rsidRPr="00D90D5A">
        <w:rPr>
          <w:rFonts w:ascii="Arial" w:hAnsi="Arial" w:cs="Arial"/>
          <w:sz w:val="20"/>
          <w:szCs w:val="20"/>
        </w:rPr>
        <w:t>3.2</w:t>
      </w:r>
      <w:r w:rsidR="00AF3A55" w:rsidRPr="00D90D5A">
        <w:rPr>
          <w:rFonts w:ascii="Arial" w:hAnsi="Arial" w:cs="Arial"/>
          <w:sz w:val="20"/>
          <w:szCs w:val="20"/>
        </w:rPr>
        <w:t>.1. La evaluación tendrá la siguiente asignación de puntaje:</w:t>
      </w:r>
    </w:p>
    <w:p w:rsidR="00954122" w:rsidRPr="00D90D5A" w:rsidRDefault="00954122" w:rsidP="00954122">
      <w:pPr>
        <w:shd w:val="clear" w:color="auto" w:fill="FFFFFF"/>
        <w:spacing w:before="100" w:beforeAutospacing="1" w:after="100" w:afterAutospacing="1"/>
        <w:jc w:val="both"/>
        <w:outlineLvl w:val="1"/>
        <w:rPr>
          <w:rFonts w:ascii="Arial" w:hAnsi="Arial" w:cs="Arial"/>
          <w:b/>
          <w:bCs/>
          <w:color w:val="222222"/>
          <w:sz w:val="20"/>
          <w:szCs w:val="20"/>
          <w:lang w:eastAsia="es-CO"/>
        </w:rPr>
      </w:pPr>
      <w:bookmarkStart w:id="1" w:name="150956f5a536fa33__Toc401826153"/>
      <w:r w:rsidRPr="00D90D5A">
        <w:rPr>
          <w:color w:val="222222"/>
          <w:sz w:val="20"/>
          <w:szCs w:val="20"/>
          <w:lang w:val="es-ES_tradnl" w:eastAsia="es-CO"/>
        </w:rPr>
        <w:t> </w:t>
      </w:r>
      <w:r w:rsidRPr="00D90D5A">
        <w:rPr>
          <w:rFonts w:ascii="Tahoma" w:hAnsi="Tahoma" w:cs="Tahoma"/>
          <w:b/>
          <w:bCs/>
          <w:color w:val="222222"/>
          <w:sz w:val="20"/>
          <w:szCs w:val="20"/>
          <w:lang w:val="es-ES_tradnl" w:eastAsia="es-CO"/>
        </w:rPr>
        <w:t>EVALUACIÓN ECONÓMICA</w:t>
      </w:r>
      <w:bookmarkStart w:id="2" w:name="150956f5a536fa33__Toc401826154"/>
      <w:bookmarkEnd w:id="1"/>
    </w:p>
    <w:p w:rsidR="00954122" w:rsidRPr="00D90D5A" w:rsidRDefault="00954122" w:rsidP="00954122">
      <w:pPr>
        <w:pStyle w:val="Prrafodelista"/>
        <w:numPr>
          <w:ilvl w:val="0"/>
          <w:numId w:val="24"/>
        </w:numPr>
        <w:shd w:val="clear" w:color="auto" w:fill="FFFFFF"/>
        <w:spacing w:before="100" w:beforeAutospacing="1" w:after="100" w:afterAutospacing="1"/>
        <w:jc w:val="both"/>
        <w:outlineLvl w:val="1"/>
        <w:rPr>
          <w:rFonts w:ascii="Arial" w:hAnsi="Arial" w:cs="Arial"/>
          <w:b/>
          <w:bCs/>
          <w:color w:val="222222"/>
          <w:sz w:val="20"/>
          <w:szCs w:val="20"/>
          <w:lang w:eastAsia="es-CO"/>
        </w:rPr>
      </w:pPr>
      <w:r w:rsidRPr="00D90D5A">
        <w:rPr>
          <w:rFonts w:ascii="Tahoma" w:hAnsi="Tahoma" w:cs="Tahoma"/>
          <w:b/>
          <w:bCs/>
          <w:color w:val="222222"/>
          <w:sz w:val="20"/>
          <w:szCs w:val="20"/>
          <w:lang w:val="es-ES_tradnl" w:eastAsia="es-CO"/>
        </w:rPr>
        <w:t>Procedimiento de calificación</w:t>
      </w:r>
      <w:bookmarkEnd w:id="2"/>
    </w:p>
    <w:p w:rsidR="00954122" w:rsidRPr="00D90D5A" w:rsidRDefault="00954122" w:rsidP="00954122">
      <w:pPr>
        <w:shd w:val="clear" w:color="auto" w:fill="FFFFFF"/>
        <w:rPr>
          <w:rFonts w:ascii="Arial" w:hAnsi="Arial" w:cs="Arial"/>
          <w:color w:val="222222"/>
          <w:sz w:val="20"/>
          <w:szCs w:val="20"/>
          <w:lang w:eastAsia="es-CO"/>
        </w:rPr>
      </w:pPr>
      <w:r w:rsidRPr="00D90D5A">
        <w:rPr>
          <w:rFonts w:ascii="Arial" w:hAnsi="Arial" w:cs="Arial"/>
          <w:color w:val="222222"/>
          <w:sz w:val="20"/>
          <w:szCs w:val="20"/>
          <w:lang w:val="es-ES_tradnl" w:eastAsia="es-CO"/>
        </w:rPr>
        <w:t> </w:t>
      </w:r>
    </w:p>
    <w:p w:rsidR="00954122" w:rsidRPr="00D90D5A" w:rsidRDefault="00954122" w:rsidP="00954122">
      <w:pPr>
        <w:shd w:val="clear" w:color="auto" w:fill="FFFFFF"/>
        <w:jc w:val="both"/>
        <w:rPr>
          <w:rFonts w:ascii="Arial" w:hAnsi="Arial" w:cs="Arial"/>
          <w:color w:val="222222"/>
          <w:sz w:val="20"/>
          <w:szCs w:val="20"/>
          <w:lang w:eastAsia="es-CO"/>
        </w:rPr>
      </w:pPr>
      <w:r w:rsidRPr="00D90D5A">
        <w:rPr>
          <w:rFonts w:ascii="Arial" w:hAnsi="Arial" w:cs="Arial"/>
          <w:color w:val="222222"/>
          <w:sz w:val="20"/>
          <w:szCs w:val="20"/>
          <w:lang w:eastAsia="es-CO"/>
        </w:rPr>
        <w:t>El Comité Técnico</w:t>
      </w:r>
      <w:r w:rsidR="00663CD4" w:rsidRPr="00D90D5A">
        <w:rPr>
          <w:rFonts w:ascii="Arial" w:hAnsi="Arial" w:cs="Arial"/>
          <w:color w:val="222222"/>
          <w:sz w:val="20"/>
          <w:szCs w:val="20"/>
          <w:lang w:eastAsia="es-CO"/>
        </w:rPr>
        <w:t> desarrollará</w:t>
      </w:r>
      <w:r w:rsidRPr="00D90D5A">
        <w:rPr>
          <w:rFonts w:ascii="Arial" w:hAnsi="Arial" w:cs="Arial"/>
          <w:color w:val="222222"/>
          <w:sz w:val="20"/>
          <w:szCs w:val="20"/>
          <w:lang w:eastAsia="es-CO"/>
        </w:rPr>
        <w:t xml:space="preserve"> el siguiente procedimiento de calificación de las propuestas:</w:t>
      </w:r>
    </w:p>
    <w:p w:rsidR="00954122" w:rsidRPr="00D90D5A" w:rsidRDefault="00954122" w:rsidP="00954122">
      <w:pPr>
        <w:shd w:val="clear" w:color="auto" w:fill="FFFFFF"/>
        <w:jc w:val="both"/>
        <w:rPr>
          <w:rFonts w:ascii="Arial" w:hAnsi="Arial" w:cs="Arial"/>
          <w:color w:val="222222"/>
          <w:sz w:val="20"/>
          <w:szCs w:val="20"/>
          <w:lang w:eastAsia="es-CO"/>
        </w:rPr>
      </w:pPr>
      <w:r w:rsidRPr="00D90D5A">
        <w:rPr>
          <w:color w:val="222222"/>
          <w:sz w:val="20"/>
          <w:szCs w:val="20"/>
          <w:lang w:eastAsia="es-CO"/>
        </w:rPr>
        <w:t> </w:t>
      </w:r>
      <w:r w:rsidRPr="00D90D5A">
        <w:rPr>
          <w:rFonts w:ascii="Arial" w:hAnsi="Arial" w:cs="Arial"/>
          <w:color w:val="222222"/>
          <w:sz w:val="20"/>
          <w:szCs w:val="20"/>
          <w:lang w:eastAsia="es-CO"/>
        </w:rPr>
        <w:t xml:space="preserve">La evaluación de las propuestas económicas se </w:t>
      </w:r>
      <w:r w:rsidR="00663CD4" w:rsidRPr="00D90D5A">
        <w:rPr>
          <w:rFonts w:ascii="Arial" w:hAnsi="Arial" w:cs="Arial"/>
          <w:color w:val="222222"/>
          <w:sz w:val="20"/>
          <w:szCs w:val="20"/>
          <w:lang w:eastAsia="es-CO"/>
        </w:rPr>
        <w:t>hará</w:t>
      </w:r>
      <w:r w:rsidRPr="00D90D5A">
        <w:rPr>
          <w:rFonts w:ascii="Arial" w:hAnsi="Arial" w:cs="Arial"/>
          <w:color w:val="222222"/>
          <w:sz w:val="20"/>
          <w:szCs w:val="20"/>
          <w:lang w:eastAsia="es-CO"/>
        </w:rPr>
        <w:t xml:space="preserve"> con la siguiente fórmula:</w:t>
      </w:r>
    </w:p>
    <w:p w:rsidR="00954122" w:rsidRPr="00D90D5A" w:rsidRDefault="00954122" w:rsidP="00954122">
      <w:pPr>
        <w:shd w:val="clear" w:color="auto" w:fill="FFFFFF"/>
        <w:spacing w:before="100" w:beforeAutospacing="1" w:after="100" w:afterAutospacing="1"/>
        <w:rPr>
          <w:rFonts w:ascii="Arial" w:hAnsi="Arial" w:cs="Arial"/>
          <w:color w:val="222222"/>
          <w:sz w:val="20"/>
          <w:szCs w:val="20"/>
          <w:lang w:eastAsia="es-CO"/>
        </w:rPr>
      </w:pPr>
      <w:r w:rsidRPr="00D90D5A">
        <w:rPr>
          <w:rFonts w:ascii="Arial" w:hAnsi="Arial" w:cs="Arial"/>
          <w:color w:val="222222"/>
          <w:sz w:val="20"/>
          <w:szCs w:val="20"/>
          <w:lang w:eastAsia="es-CO"/>
        </w:rPr>
        <w:lastRenderedPageBreak/>
        <w:t> </w:t>
      </w:r>
    </w:p>
    <w:tbl>
      <w:tblPr>
        <w:tblW w:w="6800" w:type="dxa"/>
        <w:jc w:val="center"/>
        <w:tblCellMar>
          <w:left w:w="0" w:type="dxa"/>
          <w:right w:w="0" w:type="dxa"/>
        </w:tblCellMar>
        <w:tblLook w:val="04A0" w:firstRow="1" w:lastRow="0" w:firstColumn="1" w:lastColumn="0" w:noHBand="0" w:noVBand="1"/>
      </w:tblPr>
      <w:tblGrid>
        <w:gridCol w:w="760"/>
        <w:gridCol w:w="4840"/>
        <w:gridCol w:w="1200"/>
      </w:tblGrid>
      <w:tr w:rsidR="00954122" w:rsidRPr="00D90D5A" w:rsidTr="005F4862">
        <w:trPr>
          <w:trHeight w:val="300"/>
          <w:jc w:val="center"/>
        </w:trPr>
        <w:tc>
          <w:tcPr>
            <w:tcW w:w="7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54122" w:rsidRPr="00D90D5A" w:rsidRDefault="00954122" w:rsidP="005F4862">
            <w:pPr>
              <w:jc w:val="center"/>
              <w:rPr>
                <w:rFonts w:ascii="Arial" w:hAnsi="Arial" w:cs="Arial"/>
                <w:sz w:val="20"/>
                <w:szCs w:val="20"/>
                <w:lang w:eastAsia="es-CO"/>
              </w:rPr>
            </w:pPr>
            <w:r w:rsidRPr="00D90D5A">
              <w:rPr>
                <w:rFonts w:ascii="Arial" w:hAnsi="Arial" w:cs="Arial"/>
                <w:b/>
                <w:bCs/>
                <w:color w:val="000000"/>
                <w:sz w:val="20"/>
                <w:szCs w:val="20"/>
                <w:lang w:eastAsia="es-CO"/>
              </w:rPr>
              <w:t>Paso</w:t>
            </w:r>
          </w:p>
        </w:tc>
        <w:tc>
          <w:tcPr>
            <w:tcW w:w="48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54122" w:rsidRPr="00D90D5A" w:rsidRDefault="00954122" w:rsidP="005F4862">
            <w:pPr>
              <w:jc w:val="center"/>
              <w:rPr>
                <w:rFonts w:ascii="Arial" w:hAnsi="Arial" w:cs="Arial"/>
                <w:sz w:val="20"/>
                <w:szCs w:val="20"/>
                <w:lang w:eastAsia="es-CO"/>
              </w:rPr>
            </w:pPr>
            <w:r w:rsidRPr="00D90D5A">
              <w:rPr>
                <w:rFonts w:ascii="Arial" w:hAnsi="Arial" w:cs="Arial"/>
                <w:b/>
                <w:bCs/>
                <w:color w:val="000000"/>
                <w:sz w:val="20"/>
                <w:szCs w:val="20"/>
                <w:lang w:eastAsia="es-CO"/>
              </w:rPr>
              <w:t>Procedimiento</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54122" w:rsidRPr="00D90D5A" w:rsidRDefault="00954122" w:rsidP="005F4862">
            <w:pPr>
              <w:jc w:val="center"/>
              <w:rPr>
                <w:rFonts w:ascii="Arial" w:hAnsi="Arial" w:cs="Arial"/>
                <w:sz w:val="20"/>
                <w:szCs w:val="20"/>
                <w:lang w:eastAsia="es-CO"/>
              </w:rPr>
            </w:pPr>
            <w:r w:rsidRPr="00D90D5A">
              <w:rPr>
                <w:rFonts w:ascii="Arial" w:hAnsi="Arial" w:cs="Arial"/>
                <w:b/>
                <w:bCs/>
                <w:color w:val="000000"/>
                <w:sz w:val="20"/>
                <w:szCs w:val="20"/>
                <w:lang w:eastAsia="es-CO"/>
              </w:rPr>
              <w:t>Indicador</w:t>
            </w:r>
          </w:p>
        </w:tc>
      </w:tr>
      <w:tr w:rsidR="00954122" w:rsidRPr="00D90D5A" w:rsidTr="005F4862">
        <w:trPr>
          <w:trHeight w:val="570"/>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1</w:t>
            </w:r>
          </w:p>
        </w:tc>
        <w:tc>
          <w:tcPr>
            <w:tcW w:w="4840" w:type="dxa"/>
            <w:tcBorders>
              <w:top w:val="nil"/>
              <w:left w:val="nil"/>
              <w:bottom w:val="single" w:sz="8" w:space="0" w:color="auto"/>
              <w:right w:val="single" w:sz="8" w:space="0" w:color="auto"/>
            </w:tcBorders>
            <w:tcMar>
              <w:top w:w="0" w:type="dxa"/>
              <w:left w:w="70" w:type="dxa"/>
              <w:bottom w:w="0" w:type="dxa"/>
              <w:right w:w="70" w:type="dxa"/>
            </w:tcMar>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Retirar propuestas que estén por encima del presupuesto oficial (P.O.)  y  10% por debajo del P.O.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PO</w:t>
            </w:r>
          </w:p>
        </w:tc>
      </w:tr>
      <w:tr w:rsidR="00954122" w:rsidRPr="00D90D5A" w:rsidTr="005F4862">
        <w:trPr>
          <w:trHeight w:val="1528"/>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2</w:t>
            </w:r>
          </w:p>
        </w:tc>
        <w:tc>
          <w:tcPr>
            <w:tcW w:w="4840" w:type="dxa"/>
            <w:tcBorders>
              <w:top w:val="nil"/>
              <w:left w:val="nil"/>
              <w:bottom w:val="single" w:sz="8" w:space="0" w:color="auto"/>
              <w:right w:val="single" w:sz="8" w:space="0" w:color="auto"/>
            </w:tcBorders>
            <w:tcMar>
              <w:top w:w="0" w:type="dxa"/>
              <w:left w:w="70" w:type="dxa"/>
              <w:bottom w:w="0" w:type="dxa"/>
              <w:right w:w="70" w:type="dxa"/>
            </w:tcMar>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Se suman los valores totales de las propuestas restantes con el presupuesto oficial multiplicado este por la raíz cuadrada de “n” aproximada siempre al dígito entero superior, siendo “n” el número de propuestas en consideración. El total así obtenido se divide por el número de propuestas en concurso más el número de veces que el presupuesto oficial haya participado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PPA</w:t>
            </w:r>
          </w:p>
        </w:tc>
      </w:tr>
      <w:tr w:rsidR="00954122" w:rsidRPr="00D90D5A" w:rsidTr="005F4862">
        <w:trPr>
          <w:trHeight w:val="1394"/>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3</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Se retiran luego las propuestas cuyo valor global esté por encima o por debajo un 6 %</w:t>
            </w:r>
            <w:r w:rsidR="00663CD4" w:rsidRPr="00D90D5A">
              <w:rPr>
                <w:rFonts w:ascii="Arial" w:hAnsi="Arial" w:cs="Arial"/>
                <w:color w:val="000000"/>
                <w:sz w:val="20"/>
                <w:szCs w:val="20"/>
                <w:lang w:eastAsia="es-CO"/>
              </w:rPr>
              <w:t> respecto</w:t>
            </w:r>
            <w:r w:rsidRPr="00D90D5A">
              <w:rPr>
                <w:rFonts w:ascii="Arial" w:hAnsi="Arial" w:cs="Arial"/>
                <w:color w:val="000000"/>
                <w:sz w:val="20"/>
                <w:szCs w:val="20"/>
                <w:lang w:eastAsia="es-CO"/>
              </w:rPr>
              <w:t xml:space="preserve"> al promedio de primera aproximación (PPA). Adicionalmente, se reincorpora al grupo aquellas propuestas que habiendo sido r</w:t>
            </w:r>
            <w:r w:rsidR="00663CD4">
              <w:rPr>
                <w:rFonts w:ascii="Arial" w:hAnsi="Arial" w:cs="Arial"/>
                <w:color w:val="000000"/>
                <w:sz w:val="20"/>
                <w:szCs w:val="20"/>
                <w:lang w:eastAsia="es-CO"/>
              </w:rPr>
              <w:t>etiradas acorde lo expuesto en </w:t>
            </w:r>
            <w:r w:rsidRPr="00D90D5A">
              <w:rPr>
                <w:rFonts w:ascii="Arial" w:hAnsi="Arial" w:cs="Arial"/>
                <w:color w:val="000000"/>
                <w:sz w:val="20"/>
                <w:szCs w:val="20"/>
                <w:lang w:eastAsia="es-CO"/>
              </w:rPr>
              <w:t>el paso “1”, se encuentren dentro de los límites establecidos aquí.</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 </w:t>
            </w:r>
          </w:p>
        </w:tc>
      </w:tr>
      <w:tr w:rsidR="00954122" w:rsidRPr="00D90D5A" w:rsidTr="005F4862">
        <w:trPr>
          <w:trHeight w:val="975"/>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4</w:t>
            </w:r>
          </w:p>
        </w:tc>
        <w:tc>
          <w:tcPr>
            <w:tcW w:w="4840" w:type="dxa"/>
            <w:tcBorders>
              <w:top w:val="nil"/>
              <w:left w:val="nil"/>
              <w:bottom w:val="single" w:sz="8" w:space="0" w:color="auto"/>
              <w:right w:val="single" w:sz="8" w:space="0" w:color="auto"/>
            </w:tcBorders>
            <w:tcMar>
              <w:top w:w="0" w:type="dxa"/>
              <w:left w:w="70" w:type="dxa"/>
              <w:bottom w:w="0" w:type="dxa"/>
              <w:right w:w="70" w:type="dxa"/>
            </w:tcMar>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Promedio segunda aproximación PSA  a la primera aproximación se le suman nuevamente las propuestas que continúan en el proceso más el presupuesto oficial y el resultado se divide por el número total de sumandos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PSA</w:t>
            </w:r>
          </w:p>
        </w:tc>
      </w:tr>
      <w:tr w:rsidR="00954122" w:rsidRPr="00D90D5A" w:rsidTr="005F4862">
        <w:trPr>
          <w:trHeight w:val="948"/>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5</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Se retiran las propuestas cuyo valor esté más de 2% por encima</w:t>
            </w:r>
            <w:proofErr w:type="gramStart"/>
            <w:r w:rsidRPr="00D90D5A">
              <w:rPr>
                <w:rFonts w:ascii="Arial" w:hAnsi="Arial" w:cs="Arial"/>
                <w:color w:val="000000"/>
                <w:sz w:val="20"/>
                <w:szCs w:val="20"/>
                <w:lang w:eastAsia="es-CO"/>
              </w:rPr>
              <w:t>  por</w:t>
            </w:r>
            <w:proofErr w:type="gramEnd"/>
            <w:r w:rsidRPr="00D90D5A">
              <w:rPr>
                <w:rFonts w:ascii="Arial" w:hAnsi="Arial" w:cs="Arial"/>
                <w:color w:val="000000"/>
                <w:sz w:val="20"/>
                <w:szCs w:val="20"/>
                <w:lang w:eastAsia="es-CO"/>
              </w:rPr>
              <w:t xml:space="preserve"> debajo del PROMEDIO DE SEGUNDA APROXIMACION (PSA); las propuestas restantes se consideran como elegibles.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 </w:t>
            </w:r>
          </w:p>
        </w:tc>
      </w:tr>
      <w:tr w:rsidR="00954122" w:rsidRPr="00D90D5A" w:rsidTr="005F4862">
        <w:trPr>
          <w:trHeight w:val="719"/>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6</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Se calcula el Promedio aritmético  con las propuestas que se encuentren en el rango indicado en el paso 5  y este se denominará  promedio definitivo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PD</w:t>
            </w:r>
          </w:p>
        </w:tc>
      </w:tr>
      <w:tr w:rsidR="00954122" w:rsidRPr="00D90D5A" w:rsidTr="005F4862">
        <w:trPr>
          <w:trHeight w:val="850"/>
          <w:jc w:val="center"/>
        </w:trPr>
        <w:tc>
          <w:tcPr>
            <w:tcW w:w="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7</w:t>
            </w:r>
          </w:p>
        </w:tc>
        <w:tc>
          <w:tcPr>
            <w:tcW w:w="48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4122" w:rsidRPr="00D90D5A" w:rsidRDefault="00954122" w:rsidP="005F4862">
            <w:pPr>
              <w:rPr>
                <w:rFonts w:ascii="Arial" w:hAnsi="Arial" w:cs="Arial"/>
                <w:sz w:val="20"/>
                <w:szCs w:val="20"/>
                <w:lang w:eastAsia="es-CO"/>
              </w:rPr>
            </w:pPr>
            <w:r w:rsidRPr="00D90D5A">
              <w:rPr>
                <w:rFonts w:ascii="Arial" w:hAnsi="Arial" w:cs="Arial"/>
                <w:color w:val="000000"/>
                <w:sz w:val="20"/>
                <w:szCs w:val="20"/>
                <w:lang w:eastAsia="es-CO"/>
              </w:rPr>
              <w:t>Para determinar el puntaje por precio se resta del PD el valor de cada propuesta y se adjudicara el mayor puntaje a la propuesta que tenga menor diferencia en valor absoluto.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4122" w:rsidRPr="00D90D5A" w:rsidRDefault="00954122" w:rsidP="005F4862">
            <w:pPr>
              <w:jc w:val="center"/>
              <w:rPr>
                <w:rFonts w:ascii="Arial" w:hAnsi="Arial" w:cs="Arial"/>
                <w:sz w:val="20"/>
                <w:szCs w:val="20"/>
                <w:lang w:eastAsia="es-CO"/>
              </w:rPr>
            </w:pPr>
            <w:r w:rsidRPr="00D90D5A">
              <w:rPr>
                <w:rFonts w:ascii="Arial" w:hAnsi="Arial" w:cs="Arial"/>
                <w:color w:val="000000"/>
                <w:sz w:val="20"/>
                <w:szCs w:val="20"/>
                <w:lang w:eastAsia="es-CO"/>
              </w:rPr>
              <w:t> </w:t>
            </w:r>
          </w:p>
        </w:tc>
      </w:tr>
    </w:tbl>
    <w:p w:rsidR="00954122" w:rsidRPr="00D90D5A" w:rsidRDefault="00954122" w:rsidP="00954122">
      <w:pPr>
        <w:shd w:val="clear" w:color="auto" w:fill="FFFFFF"/>
        <w:ind w:left="720"/>
        <w:jc w:val="both"/>
        <w:rPr>
          <w:rFonts w:ascii="Arial" w:hAnsi="Arial" w:cs="Arial"/>
          <w:color w:val="222222"/>
          <w:sz w:val="20"/>
          <w:szCs w:val="20"/>
          <w:lang w:eastAsia="es-CO"/>
        </w:rPr>
      </w:pPr>
      <w:r w:rsidRPr="00D90D5A">
        <w:rPr>
          <w:rFonts w:ascii="Arial" w:hAnsi="Arial" w:cs="Arial"/>
          <w:color w:val="222222"/>
          <w:sz w:val="20"/>
          <w:szCs w:val="20"/>
          <w:lang w:eastAsia="es-CO"/>
        </w:rPr>
        <w:t> </w:t>
      </w:r>
    </w:p>
    <w:p w:rsidR="00954122" w:rsidRPr="00D90D5A" w:rsidRDefault="00954122" w:rsidP="00954122">
      <w:pPr>
        <w:pStyle w:val="Prrafodelista"/>
        <w:numPr>
          <w:ilvl w:val="0"/>
          <w:numId w:val="24"/>
        </w:numPr>
        <w:shd w:val="clear" w:color="auto" w:fill="FFFFFF"/>
        <w:spacing w:before="100" w:beforeAutospacing="1" w:after="100" w:afterAutospacing="1"/>
        <w:jc w:val="both"/>
        <w:outlineLvl w:val="1"/>
        <w:rPr>
          <w:rFonts w:ascii="Arial" w:hAnsi="Arial" w:cs="Arial"/>
          <w:b/>
          <w:bCs/>
          <w:color w:val="222222"/>
          <w:sz w:val="20"/>
          <w:szCs w:val="20"/>
          <w:lang w:eastAsia="es-CO"/>
        </w:rPr>
      </w:pPr>
      <w:bookmarkStart w:id="3" w:name="150956f5a536fa33__Toc401826155"/>
      <w:r w:rsidRPr="00D90D5A">
        <w:rPr>
          <w:rFonts w:ascii="Tahoma" w:hAnsi="Tahoma" w:cs="Tahoma"/>
          <w:b/>
          <w:bCs/>
          <w:color w:val="222222"/>
          <w:sz w:val="20"/>
          <w:szCs w:val="20"/>
          <w:lang w:val="es-ES_tradnl" w:eastAsia="es-CO"/>
        </w:rPr>
        <w:t>Asignación de puntaje</w:t>
      </w:r>
      <w:bookmarkEnd w:id="3"/>
    </w:p>
    <w:p w:rsidR="00954122" w:rsidRPr="00D90D5A" w:rsidRDefault="00954122" w:rsidP="00954122">
      <w:pPr>
        <w:shd w:val="clear" w:color="auto" w:fill="FFFFFF"/>
        <w:rPr>
          <w:rFonts w:ascii="Arial" w:hAnsi="Arial" w:cs="Arial"/>
          <w:color w:val="222222"/>
          <w:sz w:val="20"/>
          <w:szCs w:val="20"/>
          <w:lang w:eastAsia="es-CO"/>
        </w:rPr>
      </w:pPr>
      <w:r w:rsidRPr="00D90D5A">
        <w:rPr>
          <w:rFonts w:ascii="Arial" w:hAnsi="Arial" w:cs="Arial"/>
          <w:color w:val="222222"/>
          <w:sz w:val="20"/>
          <w:szCs w:val="20"/>
          <w:lang w:val="es-ES_tradnl" w:eastAsia="es-CO"/>
        </w:rPr>
        <w:t> </w:t>
      </w:r>
    </w:p>
    <w:p w:rsidR="00954122" w:rsidRPr="00D90D5A" w:rsidRDefault="00954122" w:rsidP="00954122">
      <w:pPr>
        <w:shd w:val="clear" w:color="auto" w:fill="FFFFFF"/>
        <w:jc w:val="both"/>
        <w:rPr>
          <w:rFonts w:ascii="Arial" w:hAnsi="Arial" w:cs="Arial"/>
          <w:color w:val="222222"/>
          <w:sz w:val="20"/>
          <w:szCs w:val="20"/>
          <w:lang w:eastAsia="es-CO"/>
        </w:rPr>
      </w:pPr>
      <w:r w:rsidRPr="00D90D5A">
        <w:rPr>
          <w:rFonts w:ascii="Arial" w:hAnsi="Arial" w:cs="Arial"/>
          <w:color w:val="222222"/>
          <w:sz w:val="20"/>
          <w:szCs w:val="20"/>
          <w:lang w:eastAsia="es-CO"/>
        </w:rPr>
        <w:t>Se hará teniendo en cuenta el puntaje obtenido de acuerdo con los siguientes criterios, sobre los cuales se determinará la propuesta que cumpliendo las exigencias técnicas, legales y financieras convenga a los intereses de la UNIVERSIDAD.</w:t>
      </w:r>
    </w:p>
    <w:p w:rsidR="00954122" w:rsidRPr="00D90D5A" w:rsidRDefault="00954122" w:rsidP="00954122">
      <w:pPr>
        <w:shd w:val="clear" w:color="auto" w:fill="FFFFFF"/>
        <w:jc w:val="both"/>
        <w:rPr>
          <w:rFonts w:ascii="Arial" w:hAnsi="Arial" w:cs="Arial"/>
          <w:color w:val="222222"/>
          <w:sz w:val="20"/>
          <w:szCs w:val="20"/>
          <w:lang w:eastAsia="es-CO"/>
        </w:rPr>
      </w:pPr>
      <w:r w:rsidRPr="00D90D5A">
        <w:rPr>
          <w:rFonts w:ascii="Arial" w:hAnsi="Arial" w:cs="Arial"/>
          <w:color w:val="222222"/>
          <w:sz w:val="20"/>
          <w:szCs w:val="20"/>
          <w:lang w:eastAsia="es-CO"/>
        </w:rPr>
        <w:t> </w:t>
      </w:r>
    </w:p>
    <w:p w:rsidR="00954122" w:rsidRPr="00D90D5A" w:rsidRDefault="00954122" w:rsidP="00954122">
      <w:pPr>
        <w:shd w:val="clear" w:color="auto" w:fill="FFFFFF"/>
        <w:jc w:val="both"/>
        <w:rPr>
          <w:rFonts w:ascii="Arial" w:hAnsi="Arial" w:cs="Arial"/>
          <w:color w:val="222222"/>
          <w:sz w:val="20"/>
          <w:szCs w:val="20"/>
          <w:lang w:eastAsia="es-CO"/>
        </w:rPr>
      </w:pPr>
      <w:r w:rsidRPr="00D90D5A">
        <w:rPr>
          <w:rFonts w:ascii="Arial" w:hAnsi="Arial" w:cs="Arial"/>
          <w:color w:val="222222"/>
          <w:sz w:val="20"/>
          <w:szCs w:val="20"/>
          <w:lang w:eastAsia="es-CO"/>
        </w:rPr>
        <w:t>Para la puntuación de la propuesta se tendrá en cuenta:</w:t>
      </w:r>
    </w:p>
    <w:p w:rsidR="00954122" w:rsidRPr="00D90D5A" w:rsidRDefault="00954122" w:rsidP="00954122">
      <w:pPr>
        <w:shd w:val="clear" w:color="auto" w:fill="FFFFFF"/>
        <w:jc w:val="both"/>
        <w:rPr>
          <w:rFonts w:ascii="Arial" w:hAnsi="Arial" w:cs="Arial"/>
          <w:color w:val="222222"/>
          <w:sz w:val="20"/>
          <w:szCs w:val="20"/>
          <w:lang w:eastAsia="es-CO"/>
        </w:rPr>
      </w:pPr>
      <w:r w:rsidRPr="00D90D5A">
        <w:rPr>
          <w:rFonts w:ascii="Arial" w:hAnsi="Arial" w:cs="Arial"/>
          <w:color w:val="222222"/>
          <w:sz w:val="20"/>
          <w:szCs w:val="20"/>
          <w:lang w:eastAsia="es-CO"/>
        </w:rPr>
        <w:t> </w:t>
      </w:r>
    </w:p>
    <w:p w:rsidR="00954122" w:rsidRPr="00D90D5A" w:rsidRDefault="00954122" w:rsidP="00954122">
      <w:pPr>
        <w:shd w:val="clear" w:color="auto" w:fill="FFFFFF"/>
        <w:spacing w:before="100" w:beforeAutospacing="1" w:after="100" w:afterAutospacing="1"/>
        <w:jc w:val="both"/>
        <w:rPr>
          <w:rFonts w:ascii="Arial" w:hAnsi="Arial" w:cs="Arial"/>
          <w:color w:val="222222"/>
          <w:sz w:val="20"/>
          <w:szCs w:val="20"/>
          <w:lang w:eastAsia="es-CO"/>
        </w:rPr>
      </w:pPr>
      <w:r w:rsidRPr="00D90D5A">
        <w:rPr>
          <w:rFonts w:ascii="Symbol" w:hAnsi="Symbol" w:cs="Arial"/>
          <w:color w:val="222222"/>
          <w:sz w:val="20"/>
          <w:szCs w:val="20"/>
          <w:lang w:eastAsia="es-CO"/>
        </w:rPr>
        <w:t></w:t>
      </w:r>
      <w:r w:rsidRPr="00D90D5A">
        <w:rPr>
          <w:color w:val="222222"/>
          <w:sz w:val="20"/>
          <w:szCs w:val="20"/>
          <w:lang w:eastAsia="es-CO"/>
        </w:rPr>
        <w:t>         </w:t>
      </w:r>
      <w:r w:rsidRPr="00D90D5A">
        <w:rPr>
          <w:rFonts w:ascii="Arial" w:hAnsi="Arial" w:cs="Arial"/>
          <w:color w:val="222222"/>
          <w:sz w:val="20"/>
          <w:szCs w:val="20"/>
          <w:lang w:eastAsia="es-CO"/>
        </w:rPr>
        <w:t xml:space="preserve">El valor definitivo de la propuesta (numeral 4.4.1 literal a) incluido IVA. </w:t>
      </w:r>
      <w:r w:rsidRPr="00D90D5A">
        <w:rPr>
          <w:rFonts w:ascii="Arial" w:hAnsi="Arial" w:cs="Arial"/>
          <w:b/>
          <w:color w:val="222222"/>
          <w:sz w:val="20"/>
          <w:szCs w:val="20"/>
          <w:lang w:eastAsia="es-CO"/>
        </w:rPr>
        <w:t>(65 Puntos)</w:t>
      </w:r>
    </w:p>
    <w:p w:rsidR="00954122" w:rsidRPr="00D90D5A" w:rsidRDefault="00954122" w:rsidP="00954122">
      <w:pPr>
        <w:pStyle w:val="Prrafodelista"/>
        <w:numPr>
          <w:ilvl w:val="0"/>
          <w:numId w:val="23"/>
        </w:numPr>
        <w:shd w:val="clear" w:color="auto" w:fill="FFFFFF"/>
        <w:spacing w:before="100" w:beforeAutospacing="1" w:after="100" w:afterAutospacing="1"/>
        <w:ind w:left="426" w:hanging="426"/>
        <w:contextualSpacing/>
        <w:jc w:val="both"/>
        <w:rPr>
          <w:rFonts w:ascii="Arial" w:hAnsi="Arial" w:cs="Arial"/>
          <w:color w:val="222222"/>
          <w:sz w:val="20"/>
          <w:szCs w:val="20"/>
          <w:lang w:eastAsia="es-CO"/>
        </w:rPr>
      </w:pPr>
      <w:r w:rsidRPr="00D90D5A">
        <w:rPr>
          <w:rFonts w:ascii="Arial" w:hAnsi="Arial" w:cs="Arial"/>
          <w:color w:val="222222"/>
          <w:sz w:val="20"/>
          <w:szCs w:val="20"/>
          <w:lang w:eastAsia="es-CO"/>
        </w:rPr>
        <w:t xml:space="preserve">Tiempo de garantía general del sistema </w:t>
      </w:r>
      <w:r w:rsidRPr="00D90D5A">
        <w:rPr>
          <w:rFonts w:ascii="Arial" w:hAnsi="Arial" w:cs="Arial"/>
          <w:b/>
          <w:color w:val="222222"/>
          <w:sz w:val="20"/>
          <w:szCs w:val="20"/>
          <w:lang w:eastAsia="es-CO"/>
        </w:rPr>
        <w:t>(15 puntos)</w:t>
      </w:r>
    </w:p>
    <w:p w:rsidR="00954122" w:rsidRPr="00D90D5A" w:rsidRDefault="00954122" w:rsidP="00954122">
      <w:pPr>
        <w:shd w:val="clear" w:color="auto" w:fill="FFFFFF"/>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lang w:eastAsia="es-CO"/>
        </w:rPr>
        <w:lastRenderedPageBreak/>
        <w:t>El oferente que ofrezca el mayor tiempo de garantía general del sistema, tendrá el máximo puntaje, y para los siguientes oferentes se aplicara una regla de tres simple.</w:t>
      </w:r>
    </w:p>
    <w:p w:rsidR="00954122" w:rsidRPr="00D90D5A" w:rsidRDefault="00954122" w:rsidP="00954122">
      <w:pPr>
        <w:pStyle w:val="Prrafodelista"/>
        <w:numPr>
          <w:ilvl w:val="0"/>
          <w:numId w:val="23"/>
        </w:numPr>
        <w:shd w:val="clear" w:color="auto" w:fill="FFFFFF"/>
        <w:spacing w:before="100" w:beforeAutospacing="1" w:after="100" w:afterAutospacing="1"/>
        <w:ind w:left="426" w:hanging="426"/>
        <w:contextualSpacing/>
        <w:jc w:val="both"/>
        <w:rPr>
          <w:rFonts w:ascii="Arial" w:hAnsi="Arial" w:cs="Arial"/>
          <w:color w:val="222222"/>
          <w:sz w:val="20"/>
          <w:szCs w:val="20"/>
          <w:lang w:eastAsia="es-CO"/>
        </w:rPr>
      </w:pPr>
      <w:r w:rsidRPr="00D90D5A">
        <w:rPr>
          <w:rFonts w:ascii="Arial" w:hAnsi="Arial" w:cs="Arial"/>
          <w:color w:val="222222"/>
          <w:sz w:val="20"/>
          <w:szCs w:val="20"/>
          <w:lang w:eastAsia="es-CO"/>
        </w:rPr>
        <w:t xml:space="preserve">Vida Útil del producto: </w:t>
      </w:r>
      <w:r w:rsidRPr="00D90D5A">
        <w:rPr>
          <w:rFonts w:ascii="Arial" w:hAnsi="Arial" w:cs="Arial"/>
          <w:b/>
          <w:color w:val="222222"/>
          <w:sz w:val="20"/>
          <w:szCs w:val="20"/>
          <w:lang w:eastAsia="es-CO"/>
        </w:rPr>
        <w:t>(20 puntos)</w:t>
      </w:r>
    </w:p>
    <w:p w:rsidR="00954122" w:rsidRPr="00D90D5A" w:rsidRDefault="00954122" w:rsidP="00954122">
      <w:pPr>
        <w:shd w:val="clear" w:color="auto" w:fill="FFFFFF"/>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lang w:eastAsia="es-CO"/>
        </w:rPr>
        <w:t>El oferen</w:t>
      </w:r>
      <w:r w:rsidR="00663CD4">
        <w:rPr>
          <w:rFonts w:ascii="Arial" w:hAnsi="Arial" w:cs="Arial"/>
          <w:color w:val="222222"/>
          <w:sz w:val="20"/>
          <w:szCs w:val="20"/>
          <w:lang w:eastAsia="es-CO"/>
        </w:rPr>
        <w:t xml:space="preserve">te que ofrezca el mayor tiempo de </w:t>
      </w:r>
      <w:r w:rsidRPr="00D90D5A">
        <w:rPr>
          <w:rFonts w:ascii="Arial" w:hAnsi="Arial" w:cs="Arial"/>
          <w:color w:val="222222"/>
          <w:sz w:val="20"/>
          <w:szCs w:val="20"/>
          <w:lang w:eastAsia="es-CO"/>
        </w:rPr>
        <w:t>Vida Útil, tendrá el máximo puntaje, y para los siguientes oferentes se aplicara una regla de tres simple.</w:t>
      </w:r>
    </w:p>
    <w:p w:rsidR="00954122" w:rsidRPr="00D90D5A" w:rsidRDefault="00954122" w:rsidP="00954122">
      <w:pPr>
        <w:shd w:val="clear" w:color="auto" w:fill="FFFFFF"/>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lang w:eastAsia="es-CO"/>
        </w:rPr>
        <w:t>El puntaje se establecerá de la siguiente forma, puntaje máximo 100 puntos:</w:t>
      </w:r>
    </w:p>
    <w:p w:rsidR="00954122" w:rsidRPr="00D90D5A" w:rsidRDefault="00954122" w:rsidP="00954122">
      <w:pPr>
        <w:shd w:val="clear" w:color="auto" w:fill="FFFFFF"/>
        <w:spacing w:before="100" w:beforeAutospacing="1" w:after="100" w:afterAutospacing="1"/>
        <w:jc w:val="both"/>
        <w:rPr>
          <w:rFonts w:ascii="Arial" w:hAnsi="Arial" w:cs="Arial"/>
          <w:color w:val="222222"/>
          <w:sz w:val="20"/>
          <w:szCs w:val="20"/>
          <w:lang w:eastAsia="es-CO"/>
        </w:rPr>
      </w:pPr>
      <w:r w:rsidRPr="00D90D5A">
        <w:rPr>
          <w:color w:val="222222"/>
          <w:sz w:val="20"/>
          <w:szCs w:val="20"/>
          <w:lang w:eastAsia="es-CO"/>
        </w:rPr>
        <w:t> </w:t>
      </w:r>
      <w:r w:rsidRPr="00D90D5A">
        <w:rPr>
          <w:rFonts w:ascii="Arial" w:hAnsi="Arial" w:cs="Arial"/>
          <w:color w:val="222222"/>
          <w:sz w:val="20"/>
          <w:szCs w:val="20"/>
          <w:lang w:val="es-ES_tradnl" w:eastAsia="es-CO"/>
        </w:rPr>
        <w:t>La propuesta económica tendrá el siguiente puntaje </w:t>
      </w:r>
      <w:r w:rsidRPr="00D90D5A">
        <w:rPr>
          <w:rFonts w:ascii="Arial" w:hAnsi="Arial" w:cs="Arial"/>
          <w:color w:val="222222"/>
          <w:sz w:val="20"/>
          <w:szCs w:val="20"/>
          <w:lang w:eastAsia="es-CO"/>
        </w:rPr>
        <w:t>de acuerdo con el puesto en e</w:t>
      </w:r>
      <w:r w:rsidR="00646EFF">
        <w:rPr>
          <w:rFonts w:ascii="Arial" w:hAnsi="Arial" w:cs="Arial"/>
          <w:color w:val="222222"/>
          <w:sz w:val="20"/>
          <w:szCs w:val="20"/>
          <w:lang w:eastAsia="es-CO"/>
        </w:rPr>
        <w:t>l cuadro de calificación de la </w:t>
      </w:r>
      <w:r w:rsidRPr="00D90D5A">
        <w:rPr>
          <w:rFonts w:ascii="Arial" w:hAnsi="Arial" w:cs="Arial"/>
          <w:color w:val="222222"/>
          <w:sz w:val="20"/>
          <w:szCs w:val="20"/>
          <w:lang w:eastAsia="es-CO"/>
        </w:rPr>
        <w:t>fórmula:</w:t>
      </w:r>
    </w:p>
    <w:p w:rsidR="00954122" w:rsidRPr="00D90D5A" w:rsidRDefault="00954122" w:rsidP="00954122">
      <w:pPr>
        <w:shd w:val="clear" w:color="auto" w:fill="FFFFFF"/>
        <w:spacing w:before="100" w:beforeAutospacing="1" w:after="100" w:afterAutospacing="1"/>
        <w:ind w:left="708"/>
        <w:jc w:val="both"/>
        <w:rPr>
          <w:rFonts w:ascii="Arial" w:hAnsi="Arial" w:cs="Arial"/>
          <w:color w:val="222222"/>
          <w:sz w:val="20"/>
          <w:szCs w:val="20"/>
          <w:lang w:eastAsia="es-CO"/>
        </w:rPr>
      </w:pPr>
    </w:p>
    <w:tbl>
      <w:tblPr>
        <w:tblW w:w="0" w:type="auto"/>
        <w:tblInd w:w="708" w:type="dxa"/>
        <w:shd w:val="clear" w:color="auto" w:fill="FFFFFF"/>
        <w:tblCellMar>
          <w:left w:w="0" w:type="dxa"/>
          <w:right w:w="0" w:type="dxa"/>
        </w:tblCellMar>
        <w:tblLook w:val="04A0" w:firstRow="1" w:lastRow="0" w:firstColumn="1" w:lastColumn="0" w:noHBand="0" w:noVBand="1"/>
      </w:tblPr>
      <w:tblGrid>
        <w:gridCol w:w="4045"/>
        <w:gridCol w:w="3967"/>
      </w:tblGrid>
      <w:tr w:rsidR="00954122" w:rsidRPr="00D90D5A" w:rsidTr="005F4862">
        <w:tc>
          <w:tcPr>
            <w:tcW w:w="47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center"/>
              <w:rPr>
                <w:rFonts w:ascii="Arial" w:hAnsi="Arial" w:cs="Arial"/>
                <w:color w:val="222222"/>
                <w:sz w:val="20"/>
                <w:szCs w:val="20"/>
                <w:lang w:eastAsia="es-CO"/>
              </w:rPr>
            </w:pPr>
            <w:r w:rsidRPr="00D90D5A">
              <w:rPr>
                <w:rFonts w:ascii="Arial" w:hAnsi="Arial" w:cs="Arial"/>
                <w:color w:val="222222"/>
                <w:sz w:val="20"/>
                <w:szCs w:val="20"/>
                <w:u w:val="single"/>
                <w:lang w:eastAsia="es-CO"/>
              </w:rPr>
              <w:t>PARÁMETRO A CALIFICAR</w:t>
            </w:r>
          </w:p>
        </w:tc>
        <w:tc>
          <w:tcPr>
            <w:tcW w:w="47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center"/>
              <w:rPr>
                <w:rFonts w:ascii="Arial" w:hAnsi="Arial" w:cs="Arial"/>
                <w:color w:val="222222"/>
                <w:sz w:val="20"/>
                <w:szCs w:val="20"/>
                <w:lang w:eastAsia="es-CO"/>
              </w:rPr>
            </w:pPr>
            <w:r w:rsidRPr="00D90D5A">
              <w:rPr>
                <w:rFonts w:ascii="Arial" w:hAnsi="Arial" w:cs="Arial"/>
                <w:color w:val="222222"/>
                <w:sz w:val="20"/>
                <w:szCs w:val="20"/>
                <w:u w:val="single"/>
                <w:lang w:eastAsia="es-CO"/>
              </w:rPr>
              <w:t>PUNTAJE</w:t>
            </w:r>
          </w:p>
        </w:tc>
      </w:tr>
      <w:tr w:rsidR="00954122" w:rsidRPr="00D90D5A" w:rsidTr="005F4862">
        <w:tc>
          <w:tcPr>
            <w:tcW w:w="4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lang w:eastAsia="es-CO"/>
              </w:rPr>
              <w:t>Propuesta económica</w:t>
            </w:r>
          </w:p>
        </w:tc>
        <w:tc>
          <w:tcPr>
            <w:tcW w:w="4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center"/>
              <w:rPr>
                <w:rFonts w:ascii="Arial" w:hAnsi="Arial" w:cs="Arial"/>
                <w:color w:val="222222"/>
                <w:sz w:val="20"/>
                <w:szCs w:val="20"/>
                <w:lang w:eastAsia="es-CO"/>
              </w:rPr>
            </w:pPr>
            <w:r w:rsidRPr="00D90D5A">
              <w:rPr>
                <w:rFonts w:ascii="Arial" w:hAnsi="Arial" w:cs="Arial"/>
                <w:color w:val="222222"/>
                <w:sz w:val="20"/>
                <w:szCs w:val="20"/>
                <w:lang w:eastAsia="es-CO"/>
              </w:rPr>
              <w:t>65</w:t>
            </w:r>
          </w:p>
        </w:tc>
      </w:tr>
      <w:tr w:rsidR="00954122" w:rsidRPr="00D90D5A" w:rsidTr="005F4862">
        <w:tc>
          <w:tcPr>
            <w:tcW w:w="4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lang w:eastAsia="es-CO"/>
              </w:rPr>
              <w:t>Tiempo de garantía.</w:t>
            </w:r>
          </w:p>
        </w:tc>
        <w:tc>
          <w:tcPr>
            <w:tcW w:w="4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center"/>
              <w:rPr>
                <w:rFonts w:ascii="Arial" w:hAnsi="Arial" w:cs="Arial"/>
                <w:color w:val="222222"/>
                <w:sz w:val="20"/>
                <w:szCs w:val="20"/>
                <w:lang w:eastAsia="es-CO"/>
              </w:rPr>
            </w:pPr>
            <w:r w:rsidRPr="00D90D5A">
              <w:rPr>
                <w:rFonts w:ascii="Arial" w:hAnsi="Arial" w:cs="Arial"/>
                <w:color w:val="222222"/>
                <w:sz w:val="20"/>
                <w:szCs w:val="20"/>
                <w:lang w:eastAsia="es-CO"/>
              </w:rPr>
              <w:t>15</w:t>
            </w:r>
          </w:p>
        </w:tc>
      </w:tr>
      <w:tr w:rsidR="00954122" w:rsidRPr="00D90D5A" w:rsidTr="005F4862">
        <w:tc>
          <w:tcPr>
            <w:tcW w:w="4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lang w:eastAsia="es-CO"/>
              </w:rPr>
              <w:t>Vida útil del producto.</w:t>
            </w:r>
          </w:p>
        </w:tc>
        <w:tc>
          <w:tcPr>
            <w:tcW w:w="4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center"/>
              <w:rPr>
                <w:rFonts w:ascii="Arial" w:hAnsi="Arial" w:cs="Arial"/>
                <w:color w:val="222222"/>
                <w:sz w:val="20"/>
                <w:szCs w:val="20"/>
                <w:lang w:eastAsia="es-CO"/>
              </w:rPr>
            </w:pPr>
            <w:r w:rsidRPr="00D90D5A">
              <w:rPr>
                <w:rFonts w:ascii="Arial" w:hAnsi="Arial" w:cs="Arial"/>
                <w:color w:val="222222"/>
                <w:sz w:val="20"/>
                <w:szCs w:val="20"/>
                <w:lang w:eastAsia="es-CO"/>
              </w:rPr>
              <w:t>20</w:t>
            </w:r>
          </w:p>
        </w:tc>
      </w:tr>
      <w:tr w:rsidR="00954122" w:rsidRPr="00D90D5A" w:rsidTr="005F4862">
        <w:tc>
          <w:tcPr>
            <w:tcW w:w="47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both"/>
              <w:rPr>
                <w:rFonts w:ascii="Arial" w:hAnsi="Arial" w:cs="Arial"/>
                <w:color w:val="222222"/>
                <w:sz w:val="20"/>
                <w:szCs w:val="20"/>
                <w:lang w:eastAsia="es-CO"/>
              </w:rPr>
            </w:pPr>
            <w:r w:rsidRPr="00D90D5A">
              <w:rPr>
                <w:rFonts w:ascii="Arial" w:hAnsi="Arial" w:cs="Arial"/>
                <w:color w:val="222222"/>
                <w:sz w:val="20"/>
                <w:szCs w:val="20"/>
                <w:u w:val="single"/>
                <w:lang w:eastAsia="es-CO"/>
              </w:rPr>
              <w:t>PUNTAJE TOTAL</w:t>
            </w:r>
          </w:p>
        </w:tc>
        <w:tc>
          <w:tcPr>
            <w:tcW w:w="4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1CE6" w:rsidRPr="00D90D5A" w:rsidRDefault="00954122" w:rsidP="005F4862">
            <w:pPr>
              <w:spacing w:before="100" w:beforeAutospacing="1" w:after="100" w:afterAutospacing="1"/>
              <w:jc w:val="center"/>
              <w:rPr>
                <w:rFonts w:ascii="Arial" w:hAnsi="Arial" w:cs="Arial"/>
                <w:color w:val="222222"/>
                <w:sz w:val="20"/>
                <w:szCs w:val="20"/>
                <w:lang w:eastAsia="es-CO"/>
              </w:rPr>
            </w:pPr>
            <w:r w:rsidRPr="00D90D5A">
              <w:rPr>
                <w:rFonts w:ascii="Arial" w:hAnsi="Arial" w:cs="Arial"/>
                <w:color w:val="222222"/>
                <w:sz w:val="20"/>
                <w:szCs w:val="20"/>
                <w:lang w:eastAsia="es-CO"/>
              </w:rPr>
              <w:t>100</w:t>
            </w:r>
          </w:p>
        </w:tc>
      </w:tr>
    </w:tbl>
    <w:p w:rsidR="00954122" w:rsidRPr="00D90D5A" w:rsidRDefault="00954122" w:rsidP="00AF3A55">
      <w:pPr>
        <w:jc w:val="both"/>
        <w:rPr>
          <w:rFonts w:ascii="Arial" w:hAnsi="Arial" w:cs="Arial"/>
          <w:sz w:val="20"/>
          <w:szCs w:val="20"/>
        </w:rPr>
      </w:pPr>
    </w:p>
    <w:p w:rsidR="00E902FA" w:rsidRPr="00D90D5A" w:rsidRDefault="00E902FA" w:rsidP="003F1EA1">
      <w:pPr>
        <w:jc w:val="both"/>
        <w:rPr>
          <w:rFonts w:ascii="Arial" w:hAnsi="Arial" w:cs="Arial"/>
          <w:sz w:val="20"/>
          <w:szCs w:val="20"/>
        </w:rPr>
      </w:pPr>
    </w:p>
    <w:p w:rsidR="004B7FD0" w:rsidRPr="00D90D5A" w:rsidRDefault="004B7FD0" w:rsidP="003F1EA1">
      <w:pPr>
        <w:jc w:val="both"/>
        <w:rPr>
          <w:rFonts w:ascii="Arial" w:hAnsi="Arial" w:cs="Arial"/>
          <w:b/>
          <w:sz w:val="20"/>
          <w:szCs w:val="20"/>
        </w:rPr>
      </w:pPr>
      <w:r w:rsidRPr="00D90D5A">
        <w:rPr>
          <w:rFonts w:ascii="Arial" w:hAnsi="Arial" w:cs="Arial"/>
          <w:b/>
          <w:sz w:val="20"/>
          <w:szCs w:val="20"/>
        </w:rPr>
        <w:t>Respuesta a inquietud proveedor</w:t>
      </w:r>
    </w:p>
    <w:p w:rsidR="004B7FD0" w:rsidRPr="00D90D5A" w:rsidRDefault="004B7FD0" w:rsidP="00C72A0E">
      <w:pPr>
        <w:shd w:val="clear" w:color="auto" w:fill="FFFFFF"/>
        <w:jc w:val="both"/>
        <w:rPr>
          <w:rFonts w:ascii="Arial" w:hAnsi="Arial" w:cs="Arial"/>
          <w:sz w:val="20"/>
          <w:szCs w:val="20"/>
        </w:rPr>
      </w:pPr>
    </w:p>
    <w:p w:rsidR="00C72A0E" w:rsidRPr="00D90D5A" w:rsidRDefault="004B7FD0" w:rsidP="00C72A0E">
      <w:pPr>
        <w:shd w:val="clear" w:color="auto" w:fill="FFFFFF"/>
        <w:jc w:val="both"/>
        <w:rPr>
          <w:rFonts w:ascii="Arial" w:hAnsi="Arial" w:cs="Arial"/>
          <w:sz w:val="20"/>
          <w:szCs w:val="20"/>
        </w:rPr>
      </w:pPr>
      <w:r w:rsidRPr="00D90D5A">
        <w:rPr>
          <w:rFonts w:ascii="Arial" w:hAnsi="Arial" w:cs="Arial"/>
          <w:sz w:val="20"/>
          <w:szCs w:val="20"/>
        </w:rPr>
        <w:t>L</w:t>
      </w:r>
      <w:r w:rsidR="00C72A0E" w:rsidRPr="00D90D5A">
        <w:rPr>
          <w:rFonts w:ascii="Arial" w:hAnsi="Arial" w:cs="Arial"/>
          <w:sz w:val="20"/>
          <w:szCs w:val="20"/>
        </w:rPr>
        <w:t>uego de analizar y llenar el formato correspondiente al bloque de ciencias de la salud (medicina), observamos que la cantidad de sillas que aparece en el formato único de cotización proporcionado por ustedes no corresponde con las cantidades que hay en los planos, por ese motivo optamos por ajustar las cantidades de sillas de acuerdo a los planos suministrados.</w:t>
      </w:r>
    </w:p>
    <w:p w:rsidR="00C72A0E" w:rsidRPr="00D90D5A" w:rsidRDefault="00C72A0E" w:rsidP="00C72A0E">
      <w:pPr>
        <w:shd w:val="clear" w:color="auto" w:fill="FFFFFF"/>
        <w:jc w:val="both"/>
        <w:rPr>
          <w:rFonts w:ascii="Arial" w:hAnsi="Arial" w:cs="Arial"/>
          <w:sz w:val="20"/>
          <w:szCs w:val="20"/>
        </w:rPr>
      </w:pPr>
      <w:r w:rsidRPr="00D90D5A">
        <w:rPr>
          <w:rFonts w:ascii="Arial" w:hAnsi="Arial" w:cs="Arial"/>
          <w:sz w:val="20"/>
          <w:szCs w:val="20"/>
        </w:rPr>
        <w:t xml:space="preserve"> </w:t>
      </w:r>
    </w:p>
    <w:p w:rsidR="00C72A0E" w:rsidRPr="00D90D5A" w:rsidRDefault="00C72A0E" w:rsidP="00C72A0E">
      <w:pPr>
        <w:shd w:val="clear" w:color="auto" w:fill="FFFFFF"/>
        <w:jc w:val="both"/>
        <w:rPr>
          <w:rFonts w:ascii="Arial" w:hAnsi="Arial" w:cs="Arial"/>
          <w:sz w:val="20"/>
          <w:szCs w:val="20"/>
        </w:rPr>
      </w:pPr>
      <w:r w:rsidRPr="00D90D5A">
        <w:rPr>
          <w:rFonts w:ascii="Arial" w:hAnsi="Arial" w:cs="Arial"/>
          <w:sz w:val="20"/>
          <w:szCs w:val="20"/>
        </w:rPr>
        <w:t>La pregunta puntual es: nos debemos basar en las cantidades de sillas que aparecen en los planos, o en las cantidades de sillas que aparecen en el formato de cotización suministrado por la universidad</w:t>
      </w:r>
      <w:proofErr w:type="gramStart"/>
      <w:r w:rsidRPr="00D90D5A">
        <w:rPr>
          <w:rFonts w:ascii="Arial" w:hAnsi="Arial" w:cs="Arial"/>
          <w:sz w:val="20"/>
          <w:szCs w:val="20"/>
        </w:rPr>
        <w:t>?</w:t>
      </w:r>
      <w:proofErr w:type="gramEnd"/>
    </w:p>
    <w:p w:rsidR="00C72A0E" w:rsidRPr="00D90D5A" w:rsidRDefault="00C72A0E" w:rsidP="00C72A0E">
      <w:pPr>
        <w:shd w:val="clear" w:color="auto" w:fill="FFFFFF"/>
        <w:jc w:val="both"/>
        <w:rPr>
          <w:rFonts w:ascii="Arial" w:hAnsi="Arial" w:cs="Arial"/>
          <w:sz w:val="20"/>
          <w:szCs w:val="20"/>
        </w:rPr>
      </w:pPr>
      <w:r w:rsidRPr="00D90D5A">
        <w:rPr>
          <w:rFonts w:ascii="Arial" w:hAnsi="Arial" w:cs="Arial"/>
          <w:sz w:val="20"/>
          <w:szCs w:val="20"/>
        </w:rPr>
        <w:t xml:space="preserve"> </w:t>
      </w:r>
    </w:p>
    <w:p w:rsidR="00E248B0" w:rsidRPr="00D90D5A" w:rsidRDefault="00E248B0" w:rsidP="004F64DA">
      <w:pPr>
        <w:shd w:val="clear" w:color="auto" w:fill="FFFFFF"/>
        <w:jc w:val="both"/>
        <w:rPr>
          <w:rFonts w:ascii="Arial" w:hAnsi="Arial" w:cs="Arial"/>
          <w:sz w:val="20"/>
          <w:szCs w:val="20"/>
        </w:rPr>
      </w:pPr>
      <w:r w:rsidRPr="00D90D5A">
        <w:rPr>
          <w:rFonts w:ascii="Arial" w:hAnsi="Arial" w:cs="Arial"/>
          <w:sz w:val="20"/>
          <w:szCs w:val="20"/>
        </w:rPr>
        <w:t> </w:t>
      </w:r>
    </w:p>
    <w:p w:rsidR="009F324F" w:rsidRPr="00D90D5A" w:rsidRDefault="009F324F" w:rsidP="004F64DA">
      <w:pPr>
        <w:shd w:val="clear" w:color="auto" w:fill="FFFFFF"/>
        <w:jc w:val="both"/>
        <w:rPr>
          <w:rFonts w:ascii="Arial" w:hAnsi="Arial" w:cs="Arial"/>
          <w:b/>
          <w:sz w:val="20"/>
          <w:szCs w:val="20"/>
        </w:rPr>
      </w:pPr>
      <w:r w:rsidRPr="00D90D5A">
        <w:rPr>
          <w:rFonts w:ascii="Arial" w:hAnsi="Arial" w:cs="Arial"/>
          <w:b/>
          <w:sz w:val="20"/>
          <w:szCs w:val="20"/>
        </w:rPr>
        <w:t>RESPUESTA</w:t>
      </w:r>
    </w:p>
    <w:p w:rsidR="009F324F" w:rsidRPr="00D90D5A" w:rsidRDefault="009F324F" w:rsidP="004F64DA">
      <w:pPr>
        <w:shd w:val="clear" w:color="auto" w:fill="FFFFFF"/>
        <w:jc w:val="both"/>
        <w:rPr>
          <w:rFonts w:ascii="Arial" w:hAnsi="Arial" w:cs="Arial"/>
          <w:sz w:val="20"/>
          <w:szCs w:val="20"/>
        </w:rPr>
      </w:pPr>
      <w:r w:rsidRPr="00D90D5A">
        <w:rPr>
          <w:rFonts w:ascii="Arial" w:hAnsi="Arial" w:cs="Arial"/>
          <w:sz w:val="20"/>
          <w:szCs w:val="20"/>
        </w:rPr>
        <w:t>Las cantidades de elementos solicitados por la Universidad, son las que se relacionan en el formato de cotización.</w:t>
      </w:r>
    </w:p>
    <w:p w:rsidR="009F324F" w:rsidRPr="00D90D5A" w:rsidRDefault="009F324F" w:rsidP="004F64DA">
      <w:pPr>
        <w:shd w:val="clear" w:color="auto" w:fill="FFFFFF"/>
        <w:jc w:val="both"/>
        <w:rPr>
          <w:rFonts w:ascii="Arial" w:hAnsi="Arial" w:cs="Arial"/>
          <w:sz w:val="20"/>
          <w:szCs w:val="20"/>
        </w:rPr>
      </w:pPr>
    </w:p>
    <w:p w:rsidR="00F20AB0" w:rsidRPr="00D90D5A" w:rsidRDefault="00D90D5A" w:rsidP="00F20AB0">
      <w:pPr>
        <w:autoSpaceDE w:val="0"/>
        <w:autoSpaceDN w:val="0"/>
        <w:adjustRightInd w:val="0"/>
        <w:rPr>
          <w:rFonts w:ascii="Arial" w:eastAsia="Calibri" w:hAnsi="Arial" w:cs="Arial"/>
          <w:b/>
          <w:sz w:val="20"/>
          <w:szCs w:val="20"/>
          <w:lang w:eastAsia="en-US"/>
        </w:rPr>
      </w:pPr>
      <w:r w:rsidRPr="00D90D5A">
        <w:rPr>
          <w:rFonts w:ascii="Arial" w:eastAsia="Calibri" w:hAnsi="Arial" w:cs="Arial"/>
          <w:b/>
          <w:sz w:val="20"/>
          <w:szCs w:val="20"/>
          <w:lang w:eastAsia="en-US"/>
        </w:rPr>
        <w:t>NUEVO CRONOGRAMA</w:t>
      </w:r>
    </w:p>
    <w:p w:rsidR="004B7FD0" w:rsidRPr="00D90D5A" w:rsidRDefault="004B7FD0" w:rsidP="00F20AB0">
      <w:pPr>
        <w:autoSpaceDE w:val="0"/>
        <w:autoSpaceDN w:val="0"/>
        <w:adjustRightInd w:val="0"/>
        <w:rPr>
          <w:rFonts w:ascii="Arial" w:eastAsia="Calibri" w:hAnsi="Arial" w:cs="Arial"/>
          <w:sz w:val="20"/>
          <w:szCs w:val="20"/>
          <w:lang w:eastAsia="en-US"/>
        </w:rPr>
      </w:pPr>
    </w:p>
    <w:p w:rsidR="004B7FD0" w:rsidRPr="00D90D5A" w:rsidRDefault="004B7FD0" w:rsidP="00F20AB0">
      <w:pPr>
        <w:autoSpaceDE w:val="0"/>
        <w:autoSpaceDN w:val="0"/>
        <w:adjustRightInd w:val="0"/>
        <w:rPr>
          <w:rFonts w:ascii="Arial" w:eastAsia="Calibri" w:hAnsi="Arial" w:cs="Arial"/>
          <w:sz w:val="20"/>
          <w:szCs w:val="20"/>
          <w:lang w:eastAsia="en-US"/>
        </w:rPr>
      </w:pPr>
      <w:r w:rsidRPr="00D90D5A">
        <w:rPr>
          <w:rFonts w:ascii="Arial" w:eastAsia="Calibri" w:hAnsi="Arial" w:cs="Arial"/>
          <w:sz w:val="20"/>
          <w:szCs w:val="20"/>
          <w:lang w:eastAsia="en-US"/>
        </w:rPr>
        <w:t xml:space="preserve">Fecha para entrega de propuestas: </w:t>
      </w:r>
      <w:r w:rsidR="000F51D1">
        <w:rPr>
          <w:rFonts w:ascii="Arial" w:eastAsia="Calibri" w:hAnsi="Arial" w:cs="Arial"/>
          <w:sz w:val="20"/>
          <w:szCs w:val="20"/>
          <w:lang w:eastAsia="en-US"/>
        </w:rPr>
        <w:t>Miércoles 25</w:t>
      </w:r>
      <w:r w:rsidRPr="00D90D5A">
        <w:rPr>
          <w:rFonts w:ascii="Arial" w:eastAsia="Calibri" w:hAnsi="Arial" w:cs="Arial"/>
          <w:sz w:val="20"/>
          <w:szCs w:val="20"/>
          <w:lang w:eastAsia="en-US"/>
        </w:rPr>
        <w:t xml:space="preserve"> de noviembre de 2015</w:t>
      </w:r>
      <w:r w:rsidR="000F51D1">
        <w:rPr>
          <w:rFonts w:ascii="Arial" w:eastAsia="Calibri" w:hAnsi="Arial" w:cs="Arial"/>
          <w:sz w:val="20"/>
          <w:szCs w:val="20"/>
          <w:lang w:eastAsia="en-US"/>
        </w:rPr>
        <w:t>, hora: 9:00 am Secretaría Jurídica</w:t>
      </w:r>
    </w:p>
    <w:p w:rsidR="004B7FD0" w:rsidRPr="00D90D5A" w:rsidRDefault="004B7FD0" w:rsidP="00F20AB0">
      <w:pPr>
        <w:autoSpaceDE w:val="0"/>
        <w:autoSpaceDN w:val="0"/>
        <w:adjustRightInd w:val="0"/>
        <w:rPr>
          <w:rFonts w:ascii="Arial" w:eastAsia="Calibri" w:hAnsi="Arial" w:cs="Arial"/>
          <w:sz w:val="20"/>
          <w:szCs w:val="20"/>
          <w:lang w:eastAsia="en-US"/>
        </w:rPr>
      </w:pPr>
      <w:r w:rsidRPr="00D90D5A">
        <w:rPr>
          <w:rFonts w:ascii="Arial" w:eastAsia="Calibri" w:hAnsi="Arial" w:cs="Arial"/>
          <w:sz w:val="20"/>
          <w:szCs w:val="20"/>
          <w:lang w:eastAsia="en-US"/>
        </w:rPr>
        <w:t xml:space="preserve">Publicación de la recomendación: </w:t>
      </w:r>
      <w:proofErr w:type="gramStart"/>
      <w:r w:rsidR="000F51D1">
        <w:rPr>
          <w:rFonts w:ascii="Arial" w:eastAsia="Calibri" w:hAnsi="Arial" w:cs="Arial"/>
          <w:sz w:val="20"/>
          <w:szCs w:val="20"/>
          <w:lang w:eastAsia="en-US"/>
        </w:rPr>
        <w:t>Lunes</w:t>
      </w:r>
      <w:proofErr w:type="gramEnd"/>
      <w:r w:rsidR="000F51D1">
        <w:rPr>
          <w:rFonts w:ascii="Arial" w:eastAsia="Calibri" w:hAnsi="Arial" w:cs="Arial"/>
          <w:sz w:val="20"/>
          <w:szCs w:val="20"/>
          <w:lang w:eastAsia="en-US"/>
        </w:rPr>
        <w:t xml:space="preserve"> 30</w:t>
      </w:r>
      <w:r w:rsidR="00D90D5A" w:rsidRPr="00D90D5A">
        <w:rPr>
          <w:rFonts w:ascii="Arial" w:eastAsia="Calibri" w:hAnsi="Arial" w:cs="Arial"/>
          <w:sz w:val="20"/>
          <w:szCs w:val="20"/>
          <w:lang w:eastAsia="en-US"/>
        </w:rPr>
        <w:t xml:space="preserve"> de </w:t>
      </w:r>
      <w:r w:rsidR="000F51D1">
        <w:rPr>
          <w:rFonts w:ascii="Arial" w:eastAsia="Calibri" w:hAnsi="Arial" w:cs="Arial"/>
          <w:sz w:val="20"/>
          <w:szCs w:val="20"/>
          <w:lang w:eastAsia="en-US"/>
        </w:rPr>
        <w:t>noviembre</w:t>
      </w:r>
      <w:r w:rsidR="00D90D5A" w:rsidRPr="00D90D5A">
        <w:rPr>
          <w:rFonts w:ascii="Arial" w:eastAsia="Calibri" w:hAnsi="Arial" w:cs="Arial"/>
          <w:sz w:val="20"/>
          <w:szCs w:val="20"/>
          <w:lang w:eastAsia="en-US"/>
        </w:rPr>
        <w:t xml:space="preserve"> de 2015</w:t>
      </w:r>
    </w:p>
    <w:p w:rsidR="00D90D5A" w:rsidRPr="00D90D5A" w:rsidRDefault="00D90D5A" w:rsidP="00F20AB0">
      <w:pPr>
        <w:autoSpaceDE w:val="0"/>
        <w:autoSpaceDN w:val="0"/>
        <w:adjustRightInd w:val="0"/>
        <w:rPr>
          <w:rFonts w:ascii="Arial" w:eastAsia="Calibri" w:hAnsi="Arial" w:cs="Arial"/>
          <w:sz w:val="20"/>
          <w:szCs w:val="20"/>
          <w:lang w:eastAsia="en-US"/>
        </w:rPr>
      </w:pPr>
      <w:r w:rsidRPr="00D90D5A">
        <w:rPr>
          <w:rFonts w:ascii="Arial" w:hAnsi="Arial" w:cs="Arial"/>
          <w:color w:val="000000"/>
          <w:sz w:val="20"/>
          <w:szCs w:val="20"/>
          <w:lang w:eastAsia="es-CO"/>
        </w:rPr>
        <w:t xml:space="preserve">Recepción Observaciones a la recomendación: </w:t>
      </w:r>
      <w:proofErr w:type="gramStart"/>
      <w:r w:rsidR="000F51D1">
        <w:rPr>
          <w:rFonts w:ascii="Arial" w:hAnsi="Arial" w:cs="Arial"/>
          <w:color w:val="000000"/>
          <w:sz w:val="20"/>
          <w:szCs w:val="20"/>
          <w:lang w:eastAsia="es-CO"/>
        </w:rPr>
        <w:t>Martes</w:t>
      </w:r>
      <w:proofErr w:type="gramEnd"/>
      <w:r w:rsidR="000F51D1">
        <w:rPr>
          <w:rFonts w:ascii="Arial" w:hAnsi="Arial" w:cs="Arial"/>
          <w:color w:val="000000"/>
          <w:sz w:val="20"/>
          <w:szCs w:val="20"/>
          <w:lang w:eastAsia="es-CO"/>
        </w:rPr>
        <w:t xml:space="preserve"> 1</w:t>
      </w:r>
      <w:r w:rsidRPr="00D90D5A">
        <w:rPr>
          <w:rFonts w:ascii="Arial" w:hAnsi="Arial" w:cs="Arial"/>
          <w:color w:val="000000"/>
          <w:sz w:val="20"/>
          <w:szCs w:val="20"/>
          <w:lang w:eastAsia="es-CO"/>
        </w:rPr>
        <w:t xml:space="preserve"> de diciembre de 2015</w:t>
      </w:r>
    </w:p>
    <w:p w:rsidR="004B7FD0" w:rsidRPr="00D90D5A" w:rsidRDefault="00D90D5A" w:rsidP="00F20AB0">
      <w:pPr>
        <w:autoSpaceDE w:val="0"/>
        <w:autoSpaceDN w:val="0"/>
        <w:adjustRightInd w:val="0"/>
        <w:rPr>
          <w:rFonts w:ascii="Arial" w:hAnsi="Arial" w:cs="Arial"/>
          <w:color w:val="000000"/>
          <w:sz w:val="20"/>
          <w:szCs w:val="20"/>
          <w:lang w:eastAsia="es-CO"/>
        </w:rPr>
      </w:pPr>
      <w:r w:rsidRPr="00D90D5A">
        <w:rPr>
          <w:rFonts w:ascii="Arial" w:hAnsi="Arial" w:cs="Arial"/>
          <w:color w:val="000000"/>
          <w:sz w:val="20"/>
          <w:szCs w:val="20"/>
          <w:lang w:eastAsia="es-CO"/>
        </w:rPr>
        <w:t xml:space="preserve">Publicación Respuesta a las Observaciones: </w:t>
      </w:r>
      <w:proofErr w:type="gramStart"/>
      <w:r w:rsidR="000F51D1">
        <w:rPr>
          <w:rFonts w:ascii="Arial" w:hAnsi="Arial" w:cs="Arial"/>
          <w:color w:val="000000"/>
          <w:sz w:val="20"/>
          <w:szCs w:val="20"/>
          <w:lang w:eastAsia="es-CO"/>
        </w:rPr>
        <w:t>Miércoles</w:t>
      </w:r>
      <w:proofErr w:type="gramEnd"/>
      <w:r w:rsidR="000F51D1">
        <w:rPr>
          <w:rFonts w:ascii="Arial" w:hAnsi="Arial" w:cs="Arial"/>
          <w:color w:val="000000"/>
          <w:sz w:val="20"/>
          <w:szCs w:val="20"/>
          <w:lang w:eastAsia="es-CO"/>
        </w:rPr>
        <w:t xml:space="preserve"> 2</w:t>
      </w:r>
      <w:r w:rsidRPr="00D90D5A">
        <w:rPr>
          <w:rFonts w:ascii="Arial" w:hAnsi="Arial" w:cs="Arial"/>
          <w:color w:val="000000"/>
          <w:sz w:val="20"/>
          <w:szCs w:val="20"/>
          <w:lang w:eastAsia="es-CO"/>
        </w:rPr>
        <w:t xml:space="preserve"> de diciembre de 2015</w:t>
      </w:r>
    </w:p>
    <w:p w:rsidR="00D90D5A" w:rsidRPr="00D90D5A" w:rsidRDefault="00D90D5A" w:rsidP="00F20AB0">
      <w:pPr>
        <w:autoSpaceDE w:val="0"/>
        <w:autoSpaceDN w:val="0"/>
        <w:adjustRightInd w:val="0"/>
        <w:rPr>
          <w:rFonts w:ascii="Arial" w:eastAsia="Calibri" w:hAnsi="Arial" w:cs="Arial"/>
          <w:sz w:val="20"/>
          <w:szCs w:val="20"/>
          <w:lang w:eastAsia="en-US"/>
        </w:rPr>
      </w:pPr>
      <w:r w:rsidRPr="00D90D5A">
        <w:rPr>
          <w:rFonts w:ascii="Arial" w:hAnsi="Arial" w:cs="Arial"/>
          <w:color w:val="000000"/>
          <w:sz w:val="20"/>
          <w:szCs w:val="20"/>
          <w:lang w:eastAsia="es-CO"/>
        </w:rPr>
        <w:t xml:space="preserve">Publicación Adjudicación: </w:t>
      </w:r>
      <w:r w:rsidR="000F51D1">
        <w:rPr>
          <w:rFonts w:ascii="Arial" w:hAnsi="Arial" w:cs="Arial"/>
          <w:color w:val="000000"/>
          <w:sz w:val="20"/>
          <w:szCs w:val="20"/>
          <w:lang w:eastAsia="es-CO"/>
        </w:rPr>
        <w:t>Jueves 3 de diciembre</w:t>
      </w:r>
      <w:r w:rsidRPr="00D90D5A">
        <w:rPr>
          <w:rFonts w:ascii="Arial" w:hAnsi="Arial" w:cs="Arial"/>
          <w:color w:val="000000"/>
          <w:sz w:val="20"/>
          <w:szCs w:val="20"/>
          <w:lang w:eastAsia="es-CO"/>
        </w:rPr>
        <w:t xml:space="preserve"> de 2015</w:t>
      </w:r>
    </w:p>
    <w:p w:rsidR="001904C0" w:rsidRPr="00D90D5A" w:rsidRDefault="001904C0" w:rsidP="009F7504">
      <w:pPr>
        <w:rPr>
          <w:rFonts w:ascii="Arial" w:eastAsia="Calibri" w:hAnsi="Arial" w:cs="Arial"/>
          <w:sz w:val="20"/>
          <w:szCs w:val="20"/>
          <w:lang w:eastAsia="en-US"/>
        </w:rPr>
      </w:pPr>
    </w:p>
    <w:p w:rsidR="001904C0" w:rsidRPr="00D90D5A" w:rsidRDefault="001550C0" w:rsidP="009F7504">
      <w:pPr>
        <w:rPr>
          <w:rFonts w:ascii="Arial" w:eastAsia="Calibri" w:hAnsi="Arial" w:cs="Arial"/>
          <w:b/>
          <w:sz w:val="20"/>
          <w:szCs w:val="20"/>
          <w:lang w:eastAsia="en-US"/>
        </w:rPr>
      </w:pPr>
      <w:r w:rsidRPr="00D90D5A">
        <w:rPr>
          <w:rFonts w:ascii="Arial" w:eastAsia="Calibri" w:hAnsi="Arial" w:cs="Arial"/>
          <w:b/>
          <w:sz w:val="20"/>
          <w:szCs w:val="20"/>
          <w:lang w:eastAsia="en-US"/>
        </w:rPr>
        <w:t>IMPORTANTE</w:t>
      </w:r>
    </w:p>
    <w:p w:rsidR="00B97793" w:rsidRPr="00D90D5A" w:rsidRDefault="001550C0" w:rsidP="001550C0">
      <w:pPr>
        <w:jc w:val="both"/>
        <w:rPr>
          <w:rFonts w:ascii="Arial" w:eastAsia="Calibri" w:hAnsi="Arial" w:cs="Arial"/>
          <w:sz w:val="20"/>
          <w:szCs w:val="20"/>
          <w:lang w:eastAsia="en-US"/>
        </w:rPr>
      </w:pPr>
      <w:r w:rsidRPr="00D90D5A">
        <w:rPr>
          <w:rFonts w:ascii="Arial" w:eastAsia="Calibri" w:hAnsi="Arial" w:cs="Arial"/>
          <w:sz w:val="20"/>
          <w:szCs w:val="20"/>
          <w:lang w:eastAsia="en-US"/>
        </w:rPr>
        <w:t xml:space="preserve">Adjuntar la oferta </w:t>
      </w:r>
      <w:r w:rsidR="008C3AF3" w:rsidRPr="00D90D5A">
        <w:rPr>
          <w:rFonts w:ascii="Arial" w:eastAsia="Calibri" w:hAnsi="Arial" w:cs="Arial"/>
          <w:sz w:val="20"/>
          <w:szCs w:val="20"/>
          <w:lang w:eastAsia="en-US"/>
        </w:rPr>
        <w:t xml:space="preserve">completa, </w:t>
      </w:r>
      <w:r w:rsidRPr="00D90D5A">
        <w:rPr>
          <w:rFonts w:ascii="Arial" w:eastAsia="Calibri" w:hAnsi="Arial" w:cs="Arial"/>
          <w:sz w:val="20"/>
          <w:szCs w:val="20"/>
          <w:lang w:eastAsia="en-US"/>
        </w:rPr>
        <w:t>impresa debidamente foliada y organizada, con el valor unitario incluyendo IVA. (Insubsanable su presentación), esta misma información en medio digital USB en Excel 2003</w:t>
      </w:r>
      <w:r w:rsidR="008C3AF3" w:rsidRPr="00D90D5A">
        <w:rPr>
          <w:sz w:val="20"/>
          <w:szCs w:val="20"/>
        </w:rPr>
        <w:t xml:space="preserve"> </w:t>
      </w:r>
      <w:r w:rsidR="008C3AF3" w:rsidRPr="00D90D5A">
        <w:rPr>
          <w:rFonts w:ascii="Arial" w:eastAsia="Calibri" w:hAnsi="Arial" w:cs="Arial"/>
          <w:sz w:val="20"/>
          <w:szCs w:val="20"/>
          <w:lang w:eastAsia="en-US"/>
        </w:rPr>
        <w:t>y planos en archivo DWG</w:t>
      </w:r>
      <w:r w:rsidRPr="00D90D5A">
        <w:rPr>
          <w:rFonts w:ascii="Arial" w:eastAsia="Calibri" w:hAnsi="Arial" w:cs="Arial"/>
          <w:sz w:val="20"/>
          <w:szCs w:val="20"/>
          <w:lang w:eastAsia="en-US"/>
        </w:rPr>
        <w:t xml:space="preserve"> (Subsanable su presentación).</w:t>
      </w:r>
    </w:p>
    <w:p w:rsidR="00D90D5A" w:rsidRPr="00D90D5A" w:rsidRDefault="00D90D5A" w:rsidP="001550C0">
      <w:pPr>
        <w:jc w:val="both"/>
        <w:rPr>
          <w:rFonts w:ascii="Arial" w:eastAsia="Calibri" w:hAnsi="Arial" w:cs="Arial"/>
          <w:sz w:val="20"/>
          <w:szCs w:val="20"/>
          <w:lang w:eastAsia="en-US"/>
        </w:rPr>
      </w:pPr>
    </w:p>
    <w:p w:rsidR="00850CDA" w:rsidRPr="00D90D5A" w:rsidRDefault="00D90D5A" w:rsidP="009F7504">
      <w:pPr>
        <w:rPr>
          <w:rFonts w:ascii="Arial" w:eastAsia="Calibri" w:hAnsi="Arial" w:cs="Arial"/>
          <w:sz w:val="20"/>
          <w:szCs w:val="20"/>
          <w:lang w:eastAsia="en-US"/>
        </w:rPr>
      </w:pPr>
      <w:r w:rsidRPr="00D90D5A">
        <w:rPr>
          <w:rFonts w:ascii="Arial" w:eastAsia="Calibri" w:hAnsi="Arial" w:cs="Arial"/>
          <w:sz w:val="20"/>
          <w:szCs w:val="20"/>
          <w:lang w:eastAsia="en-US"/>
        </w:rPr>
        <w:t>Pereira</w:t>
      </w:r>
      <w:r w:rsidR="00850CDA" w:rsidRPr="00D90D5A">
        <w:rPr>
          <w:rFonts w:ascii="Arial" w:eastAsia="Calibri" w:hAnsi="Arial" w:cs="Arial"/>
          <w:sz w:val="20"/>
          <w:szCs w:val="20"/>
          <w:lang w:eastAsia="en-US"/>
        </w:rPr>
        <w:t xml:space="preserve">, </w:t>
      </w:r>
      <w:r w:rsidR="00992FB0" w:rsidRPr="00D90D5A">
        <w:rPr>
          <w:rFonts w:ascii="Arial" w:eastAsia="Calibri" w:hAnsi="Arial" w:cs="Arial"/>
          <w:sz w:val="20"/>
          <w:szCs w:val="20"/>
          <w:lang w:eastAsia="en-US"/>
        </w:rPr>
        <w:t>1</w:t>
      </w:r>
      <w:r w:rsidR="00663CD4">
        <w:rPr>
          <w:rFonts w:ascii="Arial" w:eastAsia="Calibri" w:hAnsi="Arial" w:cs="Arial"/>
          <w:sz w:val="20"/>
          <w:szCs w:val="20"/>
          <w:lang w:eastAsia="en-US"/>
        </w:rPr>
        <w:t>8</w:t>
      </w:r>
      <w:r w:rsidR="00992FB0" w:rsidRPr="00D90D5A">
        <w:rPr>
          <w:rFonts w:ascii="Arial" w:eastAsia="Calibri" w:hAnsi="Arial" w:cs="Arial"/>
          <w:sz w:val="20"/>
          <w:szCs w:val="20"/>
          <w:lang w:eastAsia="en-US"/>
        </w:rPr>
        <w:t xml:space="preserve"> de noviembre</w:t>
      </w:r>
      <w:r w:rsidR="00850CDA" w:rsidRPr="00D90D5A">
        <w:rPr>
          <w:rFonts w:ascii="Arial" w:eastAsia="Calibri" w:hAnsi="Arial" w:cs="Arial"/>
          <w:sz w:val="20"/>
          <w:szCs w:val="20"/>
          <w:lang w:eastAsia="en-US"/>
        </w:rPr>
        <w:t xml:space="preserve"> de 2015</w:t>
      </w:r>
    </w:p>
    <w:sectPr w:rsidR="00850CDA" w:rsidRPr="00D90D5A" w:rsidSect="00EE499B">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35E5"/>
    <w:multiLevelType w:val="hybridMultilevel"/>
    <w:tmpl w:val="7F542F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CA4A45"/>
    <w:multiLevelType w:val="hybridMultilevel"/>
    <w:tmpl w:val="1BAAA8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D42EB5"/>
    <w:multiLevelType w:val="hybridMultilevel"/>
    <w:tmpl w:val="48DA61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043203E"/>
    <w:multiLevelType w:val="hybridMultilevel"/>
    <w:tmpl w:val="2E9ED3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6D62A4"/>
    <w:multiLevelType w:val="hybridMultilevel"/>
    <w:tmpl w:val="EDA476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1A0C6F"/>
    <w:multiLevelType w:val="hybridMultilevel"/>
    <w:tmpl w:val="C62652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950EE"/>
    <w:multiLevelType w:val="hybridMultilevel"/>
    <w:tmpl w:val="888626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31791E"/>
    <w:multiLevelType w:val="multilevel"/>
    <w:tmpl w:val="5860EEE6"/>
    <w:lvl w:ilvl="0">
      <w:start w:val="19"/>
      <w:numFmt w:val="decimal"/>
      <w:lvlText w:val="%1"/>
      <w:lvlJc w:val="left"/>
      <w:pPr>
        <w:ind w:left="780" w:hanging="780"/>
      </w:pPr>
      <w:rPr>
        <w:rFonts w:hint="default"/>
      </w:rPr>
    </w:lvl>
    <w:lvl w:ilvl="1">
      <w:start w:val="1"/>
      <w:numFmt w:val="decimal"/>
      <w:lvlText w:val="%1.%2"/>
      <w:lvlJc w:val="left"/>
      <w:pPr>
        <w:ind w:left="860" w:hanging="780"/>
      </w:pPr>
      <w:rPr>
        <w:rFonts w:hint="default"/>
      </w:rPr>
    </w:lvl>
    <w:lvl w:ilvl="2">
      <w:start w:val="1"/>
      <w:numFmt w:val="decimal"/>
      <w:lvlText w:val="%1.%2.%3"/>
      <w:lvlJc w:val="left"/>
      <w:pPr>
        <w:ind w:left="940" w:hanging="780"/>
      </w:pPr>
      <w:rPr>
        <w:rFonts w:hint="default"/>
        <w:b/>
      </w:rPr>
    </w:lvl>
    <w:lvl w:ilvl="3">
      <w:start w:val="3"/>
      <w:numFmt w:val="decimal"/>
      <w:lvlText w:val="%1.%2.%3.%4"/>
      <w:lvlJc w:val="left"/>
      <w:pPr>
        <w:ind w:left="1020" w:hanging="7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8" w15:restartNumberingAfterBreak="0">
    <w:nsid w:val="25A56AAF"/>
    <w:multiLevelType w:val="hybridMultilevel"/>
    <w:tmpl w:val="56B4C208"/>
    <w:lvl w:ilvl="0" w:tplc="BC3825BE">
      <w:start w:val="1"/>
      <w:numFmt w:val="decimal"/>
      <w:lvlText w:val="%1."/>
      <w:lvlJc w:val="left"/>
      <w:pPr>
        <w:tabs>
          <w:tab w:val="num" w:pos="780"/>
        </w:tabs>
        <w:ind w:left="780" w:hanging="360"/>
      </w:pPr>
      <w:rPr>
        <w:rFonts w:ascii="Tahoma" w:hAnsi="Tahoma" w:cs="Tahoma" w:hint="default"/>
        <w:b/>
      </w:rPr>
    </w:lvl>
    <w:lvl w:ilvl="1" w:tplc="0C0A0009">
      <w:start w:val="1"/>
      <w:numFmt w:val="bullet"/>
      <w:lvlText w:val=""/>
      <w:lvlJc w:val="left"/>
      <w:pPr>
        <w:tabs>
          <w:tab w:val="num" w:pos="1500"/>
        </w:tabs>
        <w:ind w:left="1500" w:hanging="360"/>
      </w:pPr>
      <w:rPr>
        <w:rFonts w:ascii="Wingdings" w:hAnsi="Wingdings" w:hint="default"/>
        <w:b/>
      </w:rPr>
    </w:lvl>
    <w:lvl w:ilvl="2" w:tplc="3FD8C684">
      <w:start w:val="1"/>
      <w:numFmt w:val="decimal"/>
      <w:lvlText w:val="%3"/>
      <w:lvlJc w:val="left"/>
      <w:pPr>
        <w:ind w:left="2400" w:hanging="360"/>
      </w:pPr>
      <w:rPr>
        <w:rFonts w:hint="default"/>
      </w:r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9" w15:restartNumberingAfterBreak="0">
    <w:nsid w:val="2A1B7C2E"/>
    <w:multiLevelType w:val="hybridMultilevel"/>
    <w:tmpl w:val="2C54F140"/>
    <w:lvl w:ilvl="0" w:tplc="240A0003">
      <w:start w:val="1"/>
      <w:numFmt w:val="bullet"/>
      <w:lvlText w:val="o"/>
      <w:lvlJc w:val="left"/>
      <w:pPr>
        <w:ind w:left="750" w:hanging="360"/>
      </w:pPr>
      <w:rPr>
        <w:rFonts w:ascii="Courier New" w:hAnsi="Courier New" w:cs="Courier New"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10" w15:restartNumberingAfterBreak="0">
    <w:nsid w:val="31E42A2B"/>
    <w:multiLevelType w:val="hybridMultilevel"/>
    <w:tmpl w:val="C27474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537E18"/>
    <w:multiLevelType w:val="hybridMultilevel"/>
    <w:tmpl w:val="8B1AE26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A64F2C"/>
    <w:multiLevelType w:val="hybridMultilevel"/>
    <w:tmpl w:val="66DEAFBE"/>
    <w:lvl w:ilvl="0" w:tplc="240A000D">
      <w:start w:val="1"/>
      <w:numFmt w:val="bullet"/>
      <w:lvlText w:val=""/>
      <w:lvlJc w:val="left"/>
      <w:pPr>
        <w:ind w:left="1430" w:hanging="360"/>
      </w:pPr>
      <w:rPr>
        <w:rFonts w:ascii="Wingdings" w:hAnsi="Wingdings"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13" w15:restartNumberingAfterBreak="0">
    <w:nsid w:val="4515080A"/>
    <w:multiLevelType w:val="hybridMultilevel"/>
    <w:tmpl w:val="A6A0E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261176"/>
    <w:multiLevelType w:val="hybridMultilevel"/>
    <w:tmpl w:val="383CE0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53190"/>
    <w:multiLevelType w:val="hybridMultilevel"/>
    <w:tmpl w:val="20ACC086"/>
    <w:lvl w:ilvl="0" w:tplc="D1C2999A">
      <w:start w:val="1"/>
      <w:numFmt w:val="decimal"/>
      <w:lvlText w:val="%1."/>
      <w:lvlJc w:val="left"/>
      <w:pPr>
        <w:ind w:left="420" w:hanging="360"/>
      </w:pPr>
      <w:rPr>
        <w:rFonts w:hint="default"/>
        <w:sz w:val="24"/>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6" w15:restartNumberingAfterBreak="0">
    <w:nsid w:val="4C9E1A25"/>
    <w:multiLevelType w:val="hybridMultilevel"/>
    <w:tmpl w:val="6AE6882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589E71C5"/>
    <w:multiLevelType w:val="hybridMultilevel"/>
    <w:tmpl w:val="51D25542"/>
    <w:lvl w:ilvl="0" w:tplc="3998DDC4">
      <w:start w:val="1"/>
      <w:numFmt w:val="decimal"/>
      <w:lvlText w:val="%1-"/>
      <w:lvlJc w:val="left"/>
      <w:pPr>
        <w:ind w:left="810" w:hanging="360"/>
      </w:pPr>
      <w:rPr>
        <w:rFonts w:hint="default"/>
      </w:rPr>
    </w:lvl>
    <w:lvl w:ilvl="1" w:tplc="240A0019" w:tentative="1">
      <w:start w:val="1"/>
      <w:numFmt w:val="lowerLetter"/>
      <w:lvlText w:val="%2."/>
      <w:lvlJc w:val="left"/>
      <w:pPr>
        <w:ind w:left="1530" w:hanging="360"/>
      </w:pPr>
    </w:lvl>
    <w:lvl w:ilvl="2" w:tplc="240A001B" w:tentative="1">
      <w:start w:val="1"/>
      <w:numFmt w:val="lowerRoman"/>
      <w:lvlText w:val="%3."/>
      <w:lvlJc w:val="right"/>
      <w:pPr>
        <w:ind w:left="2250" w:hanging="180"/>
      </w:pPr>
    </w:lvl>
    <w:lvl w:ilvl="3" w:tplc="240A000F" w:tentative="1">
      <w:start w:val="1"/>
      <w:numFmt w:val="decimal"/>
      <w:lvlText w:val="%4."/>
      <w:lvlJc w:val="left"/>
      <w:pPr>
        <w:ind w:left="2970" w:hanging="360"/>
      </w:pPr>
    </w:lvl>
    <w:lvl w:ilvl="4" w:tplc="240A0019" w:tentative="1">
      <w:start w:val="1"/>
      <w:numFmt w:val="lowerLetter"/>
      <w:lvlText w:val="%5."/>
      <w:lvlJc w:val="left"/>
      <w:pPr>
        <w:ind w:left="3690" w:hanging="360"/>
      </w:pPr>
    </w:lvl>
    <w:lvl w:ilvl="5" w:tplc="240A001B" w:tentative="1">
      <w:start w:val="1"/>
      <w:numFmt w:val="lowerRoman"/>
      <w:lvlText w:val="%6."/>
      <w:lvlJc w:val="right"/>
      <w:pPr>
        <w:ind w:left="4410" w:hanging="180"/>
      </w:pPr>
    </w:lvl>
    <w:lvl w:ilvl="6" w:tplc="240A000F" w:tentative="1">
      <w:start w:val="1"/>
      <w:numFmt w:val="decimal"/>
      <w:lvlText w:val="%7."/>
      <w:lvlJc w:val="left"/>
      <w:pPr>
        <w:ind w:left="5130" w:hanging="360"/>
      </w:pPr>
    </w:lvl>
    <w:lvl w:ilvl="7" w:tplc="240A0019" w:tentative="1">
      <w:start w:val="1"/>
      <w:numFmt w:val="lowerLetter"/>
      <w:lvlText w:val="%8."/>
      <w:lvlJc w:val="left"/>
      <w:pPr>
        <w:ind w:left="5850" w:hanging="360"/>
      </w:pPr>
    </w:lvl>
    <w:lvl w:ilvl="8" w:tplc="240A001B" w:tentative="1">
      <w:start w:val="1"/>
      <w:numFmt w:val="lowerRoman"/>
      <w:lvlText w:val="%9."/>
      <w:lvlJc w:val="right"/>
      <w:pPr>
        <w:ind w:left="6570" w:hanging="180"/>
      </w:pPr>
    </w:lvl>
  </w:abstractNum>
  <w:abstractNum w:abstractNumId="18" w15:restartNumberingAfterBreak="0">
    <w:nsid w:val="59EB51A1"/>
    <w:multiLevelType w:val="hybridMultilevel"/>
    <w:tmpl w:val="E3061B2E"/>
    <w:lvl w:ilvl="0" w:tplc="BC3825BE">
      <w:start w:val="1"/>
      <w:numFmt w:val="decimal"/>
      <w:lvlText w:val="%1."/>
      <w:lvlJc w:val="left"/>
      <w:pPr>
        <w:tabs>
          <w:tab w:val="num" w:pos="780"/>
        </w:tabs>
        <w:ind w:left="780" w:hanging="360"/>
      </w:pPr>
      <w:rPr>
        <w:rFonts w:ascii="Tahoma" w:hAnsi="Tahoma" w:cs="Tahoma" w:hint="default"/>
        <w:b/>
      </w:rPr>
    </w:lvl>
    <w:lvl w:ilvl="1" w:tplc="0C0A0009">
      <w:start w:val="1"/>
      <w:numFmt w:val="bullet"/>
      <w:lvlText w:val=""/>
      <w:lvlJc w:val="left"/>
      <w:pPr>
        <w:tabs>
          <w:tab w:val="num" w:pos="1500"/>
        </w:tabs>
        <w:ind w:left="1500" w:hanging="360"/>
      </w:pPr>
      <w:rPr>
        <w:rFonts w:ascii="Wingdings" w:hAnsi="Wingdings" w:hint="default"/>
        <w:b/>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9" w15:restartNumberingAfterBreak="0">
    <w:nsid w:val="5D153F83"/>
    <w:multiLevelType w:val="hybridMultilevel"/>
    <w:tmpl w:val="E2129068"/>
    <w:lvl w:ilvl="0" w:tplc="F65A6CA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8E6A6C"/>
    <w:multiLevelType w:val="hybridMultilevel"/>
    <w:tmpl w:val="2CA03ECA"/>
    <w:lvl w:ilvl="0" w:tplc="0C0A000F">
      <w:start w:val="1"/>
      <w:numFmt w:val="decimal"/>
      <w:lvlText w:val="%1."/>
      <w:lvlJc w:val="left"/>
      <w:pPr>
        <w:ind w:left="360"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1" w15:restartNumberingAfterBreak="0">
    <w:nsid w:val="71732099"/>
    <w:multiLevelType w:val="multilevel"/>
    <w:tmpl w:val="C3CA98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D2129E"/>
    <w:multiLevelType w:val="hybridMultilevel"/>
    <w:tmpl w:val="B9882AA0"/>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4F279E"/>
    <w:multiLevelType w:val="hybridMultilevel"/>
    <w:tmpl w:val="312A6934"/>
    <w:lvl w:ilvl="0" w:tplc="0C0A0001">
      <w:start w:val="1"/>
      <w:numFmt w:val="bullet"/>
      <w:lvlText w:val=""/>
      <w:lvlJc w:val="left"/>
      <w:pPr>
        <w:tabs>
          <w:tab w:val="num" w:pos="1500"/>
        </w:tabs>
        <w:ind w:left="1500" w:hanging="360"/>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16"/>
  </w:num>
  <w:num w:numId="6">
    <w:abstractNumId w:val="2"/>
  </w:num>
  <w:num w:numId="7">
    <w:abstractNumId w:val="11"/>
  </w:num>
  <w:num w:numId="8">
    <w:abstractNumId w:val="23"/>
  </w:num>
  <w:num w:numId="9">
    <w:abstractNumId w:val="22"/>
  </w:num>
  <w:num w:numId="10">
    <w:abstractNumId w:val="14"/>
  </w:num>
  <w:num w:numId="11">
    <w:abstractNumId w:val="18"/>
  </w:num>
  <w:num w:numId="12">
    <w:abstractNumId w:val="19"/>
  </w:num>
  <w:num w:numId="13">
    <w:abstractNumId w:val="1"/>
  </w:num>
  <w:num w:numId="14">
    <w:abstractNumId w:val="7"/>
  </w:num>
  <w:num w:numId="15">
    <w:abstractNumId w:val="6"/>
  </w:num>
  <w:num w:numId="16">
    <w:abstractNumId w:val="20"/>
  </w:num>
  <w:num w:numId="17">
    <w:abstractNumId w:val="15"/>
  </w:num>
  <w:num w:numId="18">
    <w:abstractNumId w:val="3"/>
  </w:num>
  <w:num w:numId="19">
    <w:abstractNumId w:val="10"/>
  </w:num>
  <w:num w:numId="20">
    <w:abstractNumId w:val="17"/>
  </w:num>
  <w:num w:numId="21">
    <w:abstractNumId w:val="12"/>
  </w:num>
  <w:num w:numId="22">
    <w:abstractNumId w:val="21"/>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2"/>
    <w:rsid w:val="00010734"/>
    <w:rsid w:val="00021F97"/>
    <w:rsid w:val="0003072B"/>
    <w:rsid w:val="00037442"/>
    <w:rsid w:val="00040145"/>
    <w:rsid w:val="00047DB9"/>
    <w:rsid w:val="00060AD7"/>
    <w:rsid w:val="000612F8"/>
    <w:rsid w:val="00072D29"/>
    <w:rsid w:val="000737B8"/>
    <w:rsid w:val="000767DE"/>
    <w:rsid w:val="000818C3"/>
    <w:rsid w:val="000B011F"/>
    <w:rsid w:val="000B67AF"/>
    <w:rsid w:val="000D22DD"/>
    <w:rsid w:val="000D668D"/>
    <w:rsid w:val="000E0046"/>
    <w:rsid w:val="000E3822"/>
    <w:rsid w:val="000F3C4B"/>
    <w:rsid w:val="000F51D1"/>
    <w:rsid w:val="000F54D9"/>
    <w:rsid w:val="00110FA0"/>
    <w:rsid w:val="00150B19"/>
    <w:rsid w:val="00151BFB"/>
    <w:rsid w:val="001550C0"/>
    <w:rsid w:val="0017067B"/>
    <w:rsid w:val="00175439"/>
    <w:rsid w:val="0018128D"/>
    <w:rsid w:val="001904C0"/>
    <w:rsid w:val="00193FE1"/>
    <w:rsid w:val="00195D9F"/>
    <w:rsid w:val="001C2AD2"/>
    <w:rsid w:val="001C6777"/>
    <w:rsid w:val="001C6A6F"/>
    <w:rsid w:val="001F4F33"/>
    <w:rsid w:val="001F64FC"/>
    <w:rsid w:val="00216911"/>
    <w:rsid w:val="00216FAF"/>
    <w:rsid w:val="00233B4E"/>
    <w:rsid w:val="00233C3D"/>
    <w:rsid w:val="00234AA4"/>
    <w:rsid w:val="0024681B"/>
    <w:rsid w:val="00260AF8"/>
    <w:rsid w:val="002635D3"/>
    <w:rsid w:val="002709CB"/>
    <w:rsid w:val="00277731"/>
    <w:rsid w:val="00291524"/>
    <w:rsid w:val="00291DB8"/>
    <w:rsid w:val="00292A08"/>
    <w:rsid w:val="00294230"/>
    <w:rsid w:val="002A1F9D"/>
    <w:rsid w:val="002B38BB"/>
    <w:rsid w:val="002E0B82"/>
    <w:rsid w:val="002E2F16"/>
    <w:rsid w:val="002F70EB"/>
    <w:rsid w:val="002F76F0"/>
    <w:rsid w:val="00304E80"/>
    <w:rsid w:val="00316EB1"/>
    <w:rsid w:val="00346496"/>
    <w:rsid w:val="00360753"/>
    <w:rsid w:val="00373615"/>
    <w:rsid w:val="00377BB2"/>
    <w:rsid w:val="00390FE8"/>
    <w:rsid w:val="00397777"/>
    <w:rsid w:val="003A35DB"/>
    <w:rsid w:val="003A5671"/>
    <w:rsid w:val="003B2B72"/>
    <w:rsid w:val="003B33DA"/>
    <w:rsid w:val="003C7728"/>
    <w:rsid w:val="003D4BFC"/>
    <w:rsid w:val="003E37A3"/>
    <w:rsid w:val="003E646E"/>
    <w:rsid w:val="003E682E"/>
    <w:rsid w:val="003F1EA1"/>
    <w:rsid w:val="003F5DC1"/>
    <w:rsid w:val="0040087D"/>
    <w:rsid w:val="00411494"/>
    <w:rsid w:val="0041307D"/>
    <w:rsid w:val="00415EF7"/>
    <w:rsid w:val="004340B4"/>
    <w:rsid w:val="00441ED5"/>
    <w:rsid w:val="00444037"/>
    <w:rsid w:val="00450A73"/>
    <w:rsid w:val="00455729"/>
    <w:rsid w:val="00457834"/>
    <w:rsid w:val="00466171"/>
    <w:rsid w:val="0046625F"/>
    <w:rsid w:val="00467264"/>
    <w:rsid w:val="00467309"/>
    <w:rsid w:val="00482FD6"/>
    <w:rsid w:val="004877DD"/>
    <w:rsid w:val="004A3563"/>
    <w:rsid w:val="004A78AB"/>
    <w:rsid w:val="004B7FD0"/>
    <w:rsid w:val="004D6E16"/>
    <w:rsid w:val="004E5290"/>
    <w:rsid w:val="004E5EF7"/>
    <w:rsid w:val="004E6506"/>
    <w:rsid w:val="004F2388"/>
    <w:rsid w:val="004F5584"/>
    <w:rsid w:val="004F64DA"/>
    <w:rsid w:val="00504770"/>
    <w:rsid w:val="005106A9"/>
    <w:rsid w:val="005166D4"/>
    <w:rsid w:val="005204D5"/>
    <w:rsid w:val="00520BAC"/>
    <w:rsid w:val="00545144"/>
    <w:rsid w:val="00550B8F"/>
    <w:rsid w:val="00551C33"/>
    <w:rsid w:val="0056365C"/>
    <w:rsid w:val="00570CFC"/>
    <w:rsid w:val="005714F0"/>
    <w:rsid w:val="00572DC0"/>
    <w:rsid w:val="00593C57"/>
    <w:rsid w:val="005A5C74"/>
    <w:rsid w:val="005A7B11"/>
    <w:rsid w:val="005C023E"/>
    <w:rsid w:val="005C3CE6"/>
    <w:rsid w:val="005D027D"/>
    <w:rsid w:val="005E336E"/>
    <w:rsid w:val="005F22B1"/>
    <w:rsid w:val="005F4378"/>
    <w:rsid w:val="005F61C4"/>
    <w:rsid w:val="00606C49"/>
    <w:rsid w:val="006121A7"/>
    <w:rsid w:val="00621E49"/>
    <w:rsid w:val="00622505"/>
    <w:rsid w:val="00625B74"/>
    <w:rsid w:val="0062612C"/>
    <w:rsid w:val="006311D7"/>
    <w:rsid w:val="00633307"/>
    <w:rsid w:val="0064261F"/>
    <w:rsid w:val="00642DB6"/>
    <w:rsid w:val="00646EFF"/>
    <w:rsid w:val="00655D26"/>
    <w:rsid w:val="00656AA9"/>
    <w:rsid w:val="00663CD4"/>
    <w:rsid w:val="0067653E"/>
    <w:rsid w:val="00680A67"/>
    <w:rsid w:val="00682203"/>
    <w:rsid w:val="00687BC2"/>
    <w:rsid w:val="00690A68"/>
    <w:rsid w:val="006A30C8"/>
    <w:rsid w:val="006A5334"/>
    <w:rsid w:val="006C3D68"/>
    <w:rsid w:val="006D222A"/>
    <w:rsid w:val="006D6950"/>
    <w:rsid w:val="006E04F4"/>
    <w:rsid w:val="006F1210"/>
    <w:rsid w:val="006F4C63"/>
    <w:rsid w:val="006F79F4"/>
    <w:rsid w:val="00704F6B"/>
    <w:rsid w:val="007074B5"/>
    <w:rsid w:val="00710C80"/>
    <w:rsid w:val="007213E5"/>
    <w:rsid w:val="00721F7F"/>
    <w:rsid w:val="00732BD0"/>
    <w:rsid w:val="00737F43"/>
    <w:rsid w:val="00742073"/>
    <w:rsid w:val="007505BF"/>
    <w:rsid w:val="00751B7F"/>
    <w:rsid w:val="00783EF2"/>
    <w:rsid w:val="0078460F"/>
    <w:rsid w:val="007924CF"/>
    <w:rsid w:val="00793095"/>
    <w:rsid w:val="007944FA"/>
    <w:rsid w:val="00794AA8"/>
    <w:rsid w:val="007A4ED0"/>
    <w:rsid w:val="007B08DC"/>
    <w:rsid w:val="007B54FD"/>
    <w:rsid w:val="007B5596"/>
    <w:rsid w:val="007C2C98"/>
    <w:rsid w:val="007C3D81"/>
    <w:rsid w:val="007D7353"/>
    <w:rsid w:val="007F3FD6"/>
    <w:rsid w:val="00807693"/>
    <w:rsid w:val="00812195"/>
    <w:rsid w:val="00817F22"/>
    <w:rsid w:val="00850CDA"/>
    <w:rsid w:val="00855836"/>
    <w:rsid w:val="008732AB"/>
    <w:rsid w:val="0088723D"/>
    <w:rsid w:val="008A7198"/>
    <w:rsid w:val="008B10AB"/>
    <w:rsid w:val="008B5E04"/>
    <w:rsid w:val="008C3AF3"/>
    <w:rsid w:val="008D2179"/>
    <w:rsid w:val="008E50D6"/>
    <w:rsid w:val="008F150D"/>
    <w:rsid w:val="009017B6"/>
    <w:rsid w:val="00912C3F"/>
    <w:rsid w:val="00915C8B"/>
    <w:rsid w:val="009272D0"/>
    <w:rsid w:val="009349C6"/>
    <w:rsid w:val="00934A8E"/>
    <w:rsid w:val="009359C8"/>
    <w:rsid w:val="00935C5A"/>
    <w:rsid w:val="009377CB"/>
    <w:rsid w:val="00942759"/>
    <w:rsid w:val="0094285B"/>
    <w:rsid w:val="0094500D"/>
    <w:rsid w:val="00950B3B"/>
    <w:rsid w:val="00950FB4"/>
    <w:rsid w:val="009516CD"/>
    <w:rsid w:val="009527CC"/>
    <w:rsid w:val="00954122"/>
    <w:rsid w:val="00964906"/>
    <w:rsid w:val="009678E6"/>
    <w:rsid w:val="00987EDB"/>
    <w:rsid w:val="00992FB0"/>
    <w:rsid w:val="00996AA7"/>
    <w:rsid w:val="009A6690"/>
    <w:rsid w:val="009B28D3"/>
    <w:rsid w:val="009E2B74"/>
    <w:rsid w:val="009E440A"/>
    <w:rsid w:val="009F0554"/>
    <w:rsid w:val="009F324F"/>
    <w:rsid w:val="009F454E"/>
    <w:rsid w:val="009F7504"/>
    <w:rsid w:val="00A1083D"/>
    <w:rsid w:val="00A2354E"/>
    <w:rsid w:val="00A264B0"/>
    <w:rsid w:val="00A501C0"/>
    <w:rsid w:val="00A503EC"/>
    <w:rsid w:val="00A55BE6"/>
    <w:rsid w:val="00A57B1D"/>
    <w:rsid w:val="00A65DF7"/>
    <w:rsid w:val="00A66CC8"/>
    <w:rsid w:val="00A71E39"/>
    <w:rsid w:val="00A72557"/>
    <w:rsid w:val="00A81B93"/>
    <w:rsid w:val="00A8353C"/>
    <w:rsid w:val="00A8732B"/>
    <w:rsid w:val="00A90249"/>
    <w:rsid w:val="00A96B54"/>
    <w:rsid w:val="00A97036"/>
    <w:rsid w:val="00AA6642"/>
    <w:rsid w:val="00AB56CD"/>
    <w:rsid w:val="00AE2FFC"/>
    <w:rsid w:val="00AF04C1"/>
    <w:rsid w:val="00AF3A55"/>
    <w:rsid w:val="00AF3DAA"/>
    <w:rsid w:val="00AF54F8"/>
    <w:rsid w:val="00AF7920"/>
    <w:rsid w:val="00B113FB"/>
    <w:rsid w:val="00B211D3"/>
    <w:rsid w:val="00B215C6"/>
    <w:rsid w:val="00B24B7A"/>
    <w:rsid w:val="00B24FC6"/>
    <w:rsid w:val="00B25F93"/>
    <w:rsid w:val="00B41B6E"/>
    <w:rsid w:val="00B75338"/>
    <w:rsid w:val="00B803F2"/>
    <w:rsid w:val="00B92D1F"/>
    <w:rsid w:val="00B92DAB"/>
    <w:rsid w:val="00B97793"/>
    <w:rsid w:val="00BB0497"/>
    <w:rsid w:val="00BB6151"/>
    <w:rsid w:val="00BC0C26"/>
    <w:rsid w:val="00BC3E2A"/>
    <w:rsid w:val="00BD6734"/>
    <w:rsid w:val="00C02A89"/>
    <w:rsid w:val="00C11881"/>
    <w:rsid w:val="00C16215"/>
    <w:rsid w:val="00C16D92"/>
    <w:rsid w:val="00C30D7C"/>
    <w:rsid w:val="00C314E7"/>
    <w:rsid w:val="00C31CFD"/>
    <w:rsid w:val="00C34552"/>
    <w:rsid w:val="00C461B2"/>
    <w:rsid w:val="00C50BE6"/>
    <w:rsid w:val="00C57592"/>
    <w:rsid w:val="00C6199B"/>
    <w:rsid w:val="00C666A9"/>
    <w:rsid w:val="00C66B4D"/>
    <w:rsid w:val="00C72A0E"/>
    <w:rsid w:val="00C8042C"/>
    <w:rsid w:val="00C94FE9"/>
    <w:rsid w:val="00CA77CF"/>
    <w:rsid w:val="00CC1F47"/>
    <w:rsid w:val="00CC7DF8"/>
    <w:rsid w:val="00CD12F1"/>
    <w:rsid w:val="00CD49FE"/>
    <w:rsid w:val="00CE191B"/>
    <w:rsid w:val="00CE461F"/>
    <w:rsid w:val="00D02C54"/>
    <w:rsid w:val="00D069C0"/>
    <w:rsid w:val="00D12BF3"/>
    <w:rsid w:val="00D21130"/>
    <w:rsid w:val="00D3391C"/>
    <w:rsid w:val="00D35483"/>
    <w:rsid w:val="00D3667E"/>
    <w:rsid w:val="00D44104"/>
    <w:rsid w:val="00D537F2"/>
    <w:rsid w:val="00D763DD"/>
    <w:rsid w:val="00D77CED"/>
    <w:rsid w:val="00D77E06"/>
    <w:rsid w:val="00D90D5A"/>
    <w:rsid w:val="00DC6666"/>
    <w:rsid w:val="00DC7BB4"/>
    <w:rsid w:val="00DD5A48"/>
    <w:rsid w:val="00DE06CB"/>
    <w:rsid w:val="00DE0CEA"/>
    <w:rsid w:val="00DF4F00"/>
    <w:rsid w:val="00E0637F"/>
    <w:rsid w:val="00E14629"/>
    <w:rsid w:val="00E14C23"/>
    <w:rsid w:val="00E22D5A"/>
    <w:rsid w:val="00E23DDC"/>
    <w:rsid w:val="00E248B0"/>
    <w:rsid w:val="00E3595D"/>
    <w:rsid w:val="00E44FE3"/>
    <w:rsid w:val="00E46E3F"/>
    <w:rsid w:val="00E60A79"/>
    <w:rsid w:val="00E62E27"/>
    <w:rsid w:val="00E73D62"/>
    <w:rsid w:val="00E810A0"/>
    <w:rsid w:val="00E83B29"/>
    <w:rsid w:val="00E8635B"/>
    <w:rsid w:val="00E863D9"/>
    <w:rsid w:val="00E902FA"/>
    <w:rsid w:val="00E905FC"/>
    <w:rsid w:val="00E93032"/>
    <w:rsid w:val="00E931E4"/>
    <w:rsid w:val="00E954F3"/>
    <w:rsid w:val="00E97DF9"/>
    <w:rsid w:val="00EA1692"/>
    <w:rsid w:val="00EA4AA2"/>
    <w:rsid w:val="00EA6E13"/>
    <w:rsid w:val="00EB0CB6"/>
    <w:rsid w:val="00EB4D90"/>
    <w:rsid w:val="00EB5B27"/>
    <w:rsid w:val="00EB6216"/>
    <w:rsid w:val="00ED0B51"/>
    <w:rsid w:val="00ED110D"/>
    <w:rsid w:val="00EE499B"/>
    <w:rsid w:val="00EE5608"/>
    <w:rsid w:val="00F00D52"/>
    <w:rsid w:val="00F06AA9"/>
    <w:rsid w:val="00F139BC"/>
    <w:rsid w:val="00F15E58"/>
    <w:rsid w:val="00F20AB0"/>
    <w:rsid w:val="00F309FF"/>
    <w:rsid w:val="00F41AD9"/>
    <w:rsid w:val="00F5084F"/>
    <w:rsid w:val="00F50A01"/>
    <w:rsid w:val="00F55CAB"/>
    <w:rsid w:val="00F66861"/>
    <w:rsid w:val="00F75E29"/>
    <w:rsid w:val="00F8117D"/>
    <w:rsid w:val="00F81563"/>
    <w:rsid w:val="00F826DE"/>
    <w:rsid w:val="00FA486A"/>
    <w:rsid w:val="00FB0EF1"/>
    <w:rsid w:val="00FC026E"/>
    <w:rsid w:val="00FC302B"/>
    <w:rsid w:val="00FC43D9"/>
    <w:rsid w:val="00FC6AE2"/>
    <w:rsid w:val="00FE4412"/>
    <w:rsid w:val="00FE4F51"/>
    <w:rsid w:val="00FF6526"/>
    <w:rsid w:val="00FF6B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9215CB-16FA-4A29-8DDC-CDD8666E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37F"/>
    <w:rPr>
      <w:sz w:val="24"/>
      <w:szCs w:val="24"/>
      <w:lang w:eastAsia="es-ES"/>
    </w:rPr>
  </w:style>
  <w:style w:type="paragraph" w:styleId="Ttulo2">
    <w:name w:val="heading 2"/>
    <w:basedOn w:val="Normal"/>
    <w:next w:val="Normal"/>
    <w:qFormat/>
    <w:rsid w:val="007D735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5A7B11"/>
    <w:pPr>
      <w:spacing w:before="100" w:beforeAutospacing="1" w:after="100" w:afterAutospacing="1"/>
    </w:pPr>
    <w:rPr>
      <w:lang w:val="es-ES"/>
    </w:rPr>
  </w:style>
  <w:style w:type="paragraph" w:styleId="Textoindependiente">
    <w:name w:val="Body Text"/>
    <w:basedOn w:val="Normal"/>
    <w:link w:val="TextoindependienteCar"/>
    <w:rsid w:val="00F66861"/>
    <w:pPr>
      <w:jc w:val="both"/>
    </w:pPr>
    <w:rPr>
      <w:rFonts w:ascii="Arial" w:eastAsia="MS Mincho" w:hAnsi="Arial"/>
      <w:szCs w:val="20"/>
      <w:lang w:val="es-ES_tradnl"/>
    </w:rPr>
  </w:style>
  <w:style w:type="character" w:customStyle="1" w:styleId="TextoindependienteCar">
    <w:name w:val="Texto independiente Car"/>
    <w:link w:val="Textoindependiente"/>
    <w:rsid w:val="00F66861"/>
    <w:rPr>
      <w:rFonts w:ascii="Arial" w:eastAsia="MS Mincho" w:hAnsi="Arial"/>
      <w:sz w:val="24"/>
      <w:lang w:val="es-ES_tradnl" w:eastAsia="es-ES"/>
    </w:rPr>
  </w:style>
  <w:style w:type="character" w:styleId="Hipervnculo">
    <w:name w:val="Hyperlink"/>
    <w:uiPriority w:val="99"/>
    <w:unhideWhenUsed/>
    <w:rsid w:val="00AB56CD"/>
    <w:rPr>
      <w:color w:val="0000FF"/>
      <w:u w:val="single"/>
    </w:rPr>
  </w:style>
  <w:style w:type="paragraph" w:styleId="Textodeglobo">
    <w:name w:val="Balloon Text"/>
    <w:basedOn w:val="Normal"/>
    <w:link w:val="TextodegloboCar"/>
    <w:rsid w:val="00C461B2"/>
    <w:rPr>
      <w:rFonts w:ascii="Tahoma" w:hAnsi="Tahoma" w:cs="Tahoma"/>
      <w:sz w:val="16"/>
      <w:szCs w:val="16"/>
    </w:rPr>
  </w:style>
  <w:style w:type="character" w:customStyle="1" w:styleId="TextodegloboCar">
    <w:name w:val="Texto de globo Car"/>
    <w:link w:val="Textodeglobo"/>
    <w:rsid w:val="00C461B2"/>
    <w:rPr>
      <w:rFonts w:ascii="Tahoma" w:hAnsi="Tahoma" w:cs="Tahoma"/>
      <w:sz w:val="16"/>
      <w:szCs w:val="16"/>
      <w:lang w:val="fr-FR" w:eastAsia="es-ES"/>
    </w:rPr>
  </w:style>
  <w:style w:type="paragraph" w:styleId="Prrafodelista">
    <w:name w:val="List Paragraph"/>
    <w:basedOn w:val="Normal"/>
    <w:uiPriority w:val="34"/>
    <w:qFormat/>
    <w:rsid w:val="00B113FB"/>
    <w:pPr>
      <w:ind w:left="708"/>
    </w:pPr>
  </w:style>
  <w:style w:type="character" w:customStyle="1" w:styleId="apple-converted-space">
    <w:name w:val="apple-converted-space"/>
    <w:basedOn w:val="Fuentedeprrafopredeter"/>
    <w:rsid w:val="00E24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69254">
      <w:bodyDiv w:val="1"/>
      <w:marLeft w:val="0"/>
      <w:marRight w:val="0"/>
      <w:marTop w:val="0"/>
      <w:marBottom w:val="0"/>
      <w:divBdr>
        <w:top w:val="none" w:sz="0" w:space="0" w:color="auto"/>
        <w:left w:val="none" w:sz="0" w:space="0" w:color="auto"/>
        <w:bottom w:val="none" w:sz="0" w:space="0" w:color="auto"/>
        <w:right w:val="none" w:sz="0" w:space="0" w:color="auto"/>
      </w:divBdr>
    </w:div>
    <w:div w:id="564797611">
      <w:bodyDiv w:val="1"/>
      <w:marLeft w:val="0"/>
      <w:marRight w:val="0"/>
      <w:marTop w:val="0"/>
      <w:marBottom w:val="0"/>
      <w:divBdr>
        <w:top w:val="none" w:sz="0" w:space="0" w:color="auto"/>
        <w:left w:val="none" w:sz="0" w:space="0" w:color="auto"/>
        <w:bottom w:val="none" w:sz="0" w:space="0" w:color="auto"/>
        <w:right w:val="none" w:sz="0" w:space="0" w:color="auto"/>
      </w:divBdr>
    </w:div>
    <w:div w:id="692001313">
      <w:bodyDiv w:val="1"/>
      <w:marLeft w:val="0"/>
      <w:marRight w:val="0"/>
      <w:marTop w:val="0"/>
      <w:marBottom w:val="0"/>
      <w:divBdr>
        <w:top w:val="none" w:sz="0" w:space="0" w:color="auto"/>
        <w:left w:val="none" w:sz="0" w:space="0" w:color="auto"/>
        <w:bottom w:val="none" w:sz="0" w:space="0" w:color="auto"/>
        <w:right w:val="none" w:sz="0" w:space="0" w:color="auto"/>
      </w:divBdr>
    </w:div>
    <w:div w:id="748618464">
      <w:bodyDiv w:val="1"/>
      <w:marLeft w:val="0"/>
      <w:marRight w:val="0"/>
      <w:marTop w:val="0"/>
      <w:marBottom w:val="0"/>
      <w:divBdr>
        <w:top w:val="none" w:sz="0" w:space="0" w:color="auto"/>
        <w:left w:val="none" w:sz="0" w:space="0" w:color="auto"/>
        <w:bottom w:val="none" w:sz="0" w:space="0" w:color="auto"/>
        <w:right w:val="none" w:sz="0" w:space="0" w:color="auto"/>
      </w:divBdr>
    </w:div>
    <w:div w:id="1263341222">
      <w:bodyDiv w:val="1"/>
      <w:marLeft w:val="0"/>
      <w:marRight w:val="0"/>
      <w:marTop w:val="0"/>
      <w:marBottom w:val="0"/>
      <w:divBdr>
        <w:top w:val="none" w:sz="0" w:space="0" w:color="auto"/>
        <w:left w:val="none" w:sz="0" w:space="0" w:color="auto"/>
        <w:bottom w:val="none" w:sz="0" w:space="0" w:color="auto"/>
        <w:right w:val="none" w:sz="0" w:space="0" w:color="auto"/>
      </w:divBdr>
    </w:div>
    <w:div w:id="1413815472">
      <w:bodyDiv w:val="1"/>
      <w:marLeft w:val="0"/>
      <w:marRight w:val="0"/>
      <w:marTop w:val="0"/>
      <w:marBottom w:val="0"/>
      <w:divBdr>
        <w:top w:val="none" w:sz="0" w:space="0" w:color="auto"/>
        <w:left w:val="none" w:sz="0" w:space="0" w:color="auto"/>
        <w:bottom w:val="none" w:sz="0" w:space="0" w:color="auto"/>
        <w:right w:val="none" w:sz="0" w:space="0" w:color="auto"/>
      </w:divBdr>
    </w:div>
    <w:div w:id="1471899611">
      <w:bodyDiv w:val="1"/>
      <w:marLeft w:val="0"/>
      <w:marRight w:val="0"/>
      <w:marTop w:val="0"/>
      <w:marBottom w:val="0"/>
      <w:divBdr>
        <w:top w:val="none" w:sz="0" w:space="0" w:color="auto"/>
        <w:left w:val="none" w:sz="0" w:space="0" w:color="auto"/>
        <w:bottom w:val="none" w:sz="0" w:space="0" w:color="auto"/>
        <w:right w:val="none" w:sz="0" w:space="0" w:color="auto"/>
      </w:divBdr>
      <w:divsChild>
        <w:div w:id="335613003">
          <w:marLeft w:val="0"/>
          <w:marRight w:val="0"/>
          <w:marTop w:val="0"/>
          <w:marBottom w:val="0"/>
          <w:divBdr>
            <w:top w:val="none" w:sz="0" w:space="0" w:color="auto"/>
            <w:left w:val="none" w:sz="0" w:space="0" w:color="auto"/>
            <w:bottom w:val="none" w:sz="0" w:space="0" w:color="auto"/>
            <w:right w:val="none" w:sz="0" w:space="0" w:color="auto"/>
          </w:divBdr>
        </w:div>
        <w:div w:id="359622879">
          <w:marLeft w:val="0"/>
          <w:marRight w:val="0"/>
          <w:marTop w:val="0"/>
          <w:marBottom w:val="0"/>
          <w:divBdr>
            <w:top w:val="none" w:sz="0" w:space="0" w:color="auto"/>
            <w:left w:val="none" w:sz="0" w:space="0" w:color="auto"/>
            <w:bottom w:val="none" w:sz="0" w:space="0" w:color="auto"/>
            <w:right w:val="none" w:sz="0" w:space="0" w:color="auto"/>
          </w:divBdr>
        </w:div>
        <w:div w:id="1698698737">
          <w:marLeft w:val="0"/>
          <w:marRight w:val="0"/>
          <w:marTop w:val="0"/>
          <w:marBottom w:val="0"/>
          <w:divBdr>
            <w:top w:val="none" w:sz="0" w:space="0" w:color="auto"/>
            <w:left w:val="none" w:sz="0" w:space="0" w:color="auto"/>
            <w:bottom w:val="none" w:sz="0" w:space="0" w:color="auto"/>
            <w:right w:val="none" w:sz="0" w:space="0" w:color="auto"/>
          </w:divBdr>
        </w:div>
      </w:divsChild>
    </w:div>
    <w:div w:id="1577662920">
      <w:bodyDiv w:val="1"/>
      <w:marLeft w:val="0"/>
      <w:marRight w:val="0"/>
      <w:marTop w:val="0"/>
      <w:marBottom w:val="0"/>
      <w:divBdr>
        <w:top w:val="none" w:sz="0" w:space="0" w:color="auto"/>
        <w:left w:val="none" w:sz="0" w:space="0" w:color="auto"/>
        <w:bottom w:val="none" w:sz="0" w:space="0" w:color="auto"/>
        <w:right w:val="none" w:sz="0" w:space="0" w:color="auto"/>
      </w:divBdr>
    </w:div>
    <w:div w:id="20070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904</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UNIVERSIDAD TECNOLÓGICA DE PEREIRA</vt:lpstr>
    </vt:vector>
  </TitlesOfParts>
  <Company>UTP</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TECNOLÓGICA DE PEREIRA</dc:title>
  <dc:creator>Alba Luz_2</dc:creator>
  <cp:lastModifiedBy>Usuario UTP</cp:lastModifiedBy>
  <cp:revision>6</cp:revision>
  <cp:lastPrinted>2015-11-18T20:36:00Z</cp:lastPrinted>
  <dcterms:created xsi:type="dcterms:W3CDTF">2015-11-17T22:08:00Z</dcterms:created>
  <dcterms:modified xsi:type="dcterms:W3CDTF">2015-11-18T20:48:00Z</dcterms:modified>
</cp:coreProperties>
</file>