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2F" w:rsidRPr="00152DDE" w:rsidRDefault="00152DDE" w:rsidP="00152DDE">
      <w:pPr>
        <w:jc w:val="center"/>
        <w:rPr>
          <w:b/>
        </w:rPr>
      </w:pPr>
      <w:r w:rsidRPr="00152DDE">
        <w:rPr>
          <w:b/>
        </w:rPr>
        <w:t>ADENDA 1</w:t>
      </w:r>
    </w:p>
    <w:p w:rsidR="00152DDE" w:rsidRPr="00152DDE" w:rsidRDefault="00152DDE" w:rsidP="00152DDE">
      <w:pPr>
        <w:jc w:val="center"/>
        <w:rPr>
          <w:b/>
        </w:rPr>
      </w:pPr>
      <w:r w:rsidRPr="00152DDE">
        <w:rPr>
          <w:b/>
        </w:rPr>
        <w:t>INVITACIÓN A COTIZAR BS/50 DE 2016</w:t>
      </w:r>
    </w:p>
    <w:p w:rsidR="00152DDE" w:rsidRDefault="00152DDE" w:rsidP="00152DDE">
      <w:pPr>
        <w:jc w:val="both"/>
      </w:pPr>
    </w:p>
    <w:p w:rsidR="00152DDE" w:rsidRDefault="00152DDE" w:rsidP="00152DDE">
      <w:pPr>
        <w:jc w:val="both"/>
      </w:pPr>
    </w:p>
    <w:p w:rsidR="00152DDE" w:rsidRDefault="00152DDE" w:rsidP="00152DDE">
      <w:pPr>
        <w:jc w:val="both"/>
      </w:pPr>
      <w:r w:rsidRPr="00152DDE">
        <w:rPr>
          <w:b/>
        </w:rPr>
        <w:t>1 -</w:t>
      </w:r>
      <w:r>
        <w:t xml:space="preserve"> </w:t>
      </w:r>
      <w:r w:rsidRPr="00152DDE">
        <w:t xml:space="preserve">Se solicita que las especificaciones técnicas sean más generales, sin que se especifiquen nombres o modelos de equipos, que solo favorecerían a una marca: </w:t>
      </w:r>
      <w:proofErr w:type="spellStart"/>
      <w:r w:rsidRPr="00152DDE">
        <w:t>Thermo</w:t>
      </w:r>
      <w:proofErr w:type="spellEnd"/>
      <w:r w:rsidRPr="00152DDE">
        <w:t xml:space="preserve"> </w:t>
      </w:r>
      <w:proofErr w:type="spellStart"/>
      <w:r w:rsidRPr="00152DDE">
        <w:t>Scientific</w:t>
      </w:r>
      <w:proofErr w:type="spellEnd"/>
      <w:r w:rsidRPr="00152DDE">
        <w:t>. Dejando por fuera de este proceso a otras marcas de alto reconocimiento y trayectoria en el mercado, con lo cual se le está quitando la posibilidad a la Universidad de realizar una escogencia más abierta y con mayor número de participantes de alta calidad.</w:t>
      </w:r>
    </w:p>
    <w:p w:rsidR="00152DDE" w:rsidRPr="00411C15" w:rsidRDefault="00152DDE" w:rsidP="00152DDE">
      <w:pPr>
        <w:jc w:val="both"/>
        <w:rPr>
          <w:b/>
        </w:rPr>
      </w:pPr>
      <w:r w:rsidRPr="00152DDE">
        <w:rPr>
          <w:b/>
          <w:u w:val="single"/>
        </w:rPr>
        <w:t>Respuesta:</w:t>
      </w:r>
      <w:r w:rsidRPr="00152DDE">
        <w:rPr>
          <w:b/>
        </w:rPr>
        <w:t xml:space="preserve"> </w:t>
      </w:r>
      <w:r w:rsidR="00411C15">
        <w:t xml:space="preserve">Se incluye la marca </w:t>
      </w:r>
      <w:proofErr w:type="spellStart"/>
      <w:r w:rsidR="00411C15">
        <w:t>Agilent</w:t>
      </w:r>
      <w:proofErr w:type="spellEnd"/>
      <w:r w:rsidR="00411C15">
        <w:t xml:space="preserve"> o </w:t>
      </w:r>
      <w:proofErr w:type="spellStart"/>
      <w:r w:rsidR="00411C15">
        <w:t>Shimadzu</w:t>
      </w:r>
      <w:proofErr w:type="spellEnd"/>
      <w:r w:rsidR="00411C15">
        <w:t>, siempre y cuando se cumplan los requisitos mínimos solicitados y que la tecnología ofertada sea “equivalente o superior”.</w:t>
      </w:r>
      <w:r w:rsidR="00411C15" w:rsidRPr="00152DDE">
        <w:rPr>
          <w:b/>
        </w:rPr>
        <w:t xml:space="preserve"> Ver Anexo Modificado</w:t>
      </w:r>
      <w:r w:rsidR="00411C15">
        <w:rPr>
          <w:b/>
        </w:rPr>
        <w:t>.</w:t>
      </w:r>
    </w:p>
    <w:p w:rsidR="00152DDE" w:rsidRPr="00152DDE" w:rsidRDefault="00152DDE" w:rsidP="00152DDE">
      <w:pPr>
        <w:jc w:val="both"/>
        <w:rPr>
          <w:b/>
        </w:rPr>
      </w:pPr>
      <w:r w:rsidRPr="00152DDE">
        <w:rPr>
          <w:b/>
        </w:rPr>
        <w:t>2-</w:t>
      </w:r>
      <w:r w:rsidRPr="00152DDE">
        <w:t xml:space="preserve"> Teniendo en cuenta que la tecnología del Detector de Masas es específica para cada marca, se solicita no especificar un solo tipo de tecnología, sino que se especifique esta configuración con la opción “similar o equivalente”, para permitir la participación de otras marcas en la licitación.</w:t>
      </w:r>
    </w:p>
    <w:p w:rsidR="00152DDE" w:rsidRPr="00152DDE" w:rsidRDefault="00152DDE" w:rsidP="00152DDE">
      <w:pPr>
        <w:jc w:val="both"/>
        <w:rPr>
          <w:b/>
        </w:rPr>
      </w:pPr>
      <w:r w:rsidRPr="00152DDE">
        <w:rPr>
          <w:b/>
          <w:u w:val="single"/>
        </w:rPr>
        <w:t>Respuesta:</w:t>
      </w:r>
      <w:r w:rsidRPr="00152DDE">
        <w:rPr>
          <w:b/>
        </w:rPr>
        <w:t xml:space="preserve"> </w:t>
      </w:r>
      <w:r>
        <w:t xml:space="preserve">Se incluye la marca </w:t>
      </w:r>
      <w:proofErr w:type="spellStart"/>
      <w:r>
        <w:t>Agilent</w:t>
      </w:r>
      <w:proofErr w:type="spellEnd"/>
      <w:r>
        <w:t xml:space="preserve"> o </w:t>
      </w:r>
      <w:proofErr w:type="spellStart"/>
      <w:r>
        <w:t>Shimadzu</w:t>
      </w:r>
      <w:proofErr w:type="spellEnd"/>
      <w:r>
        <w:t>, siempre y cuando se cumplan los requisitos mínimos solicitados y que la tecnología ofertada sea “equivalente o superior”.</w:t>
      </w:r>
      <w:r w:rsidRPr="00152DDE">
        <w:rPr>
          <w:b/>
        </w:rPr>
        <w:t xml:space="preserve"> Ver Anexo Modificado</w:t>
      </w:r>
      <w:r>
        <w:rPr>
          <w:b/>
        </w:rPr>
        <w:t>.</w:t>
      </w:r>
    </w:p>
    <w:p w:rsidR="00152DDE" w:rsidRDefault="00152DDE" w:rsidP="00152DDE">
      <w:pPr>
        <w:jc w:val="both"/>
      </w:pPr>
    </w:p>
    <w:p w:rsidR="00152DDE" w:rsidRDefault="00152DDE" w:rsidP="00152DDE">
      <w:pPr>
        <w:jc w:val="both"/>
        <w:rPr>
          <w:b/>
        </w:rPr>
      </w:pPr>
      <w:r>
        <w:rPr>
          <w:b/>
        </w:rPr>
        <w:t xml:space="preserve">3- </w:t>
      </w:r>
      <w:r w:rsidRPr="00152DDE">
        <w:t>¿Favor confirmar si el presupuesto de $251,029,800 incluye IVA?</w:t>
      </w:r>
    </w:p>
    <w:p w:rsidR="00152DDE" w:rsidRDefault="00152DDE" w:rsidP="00152DDE">
      <w:pPr>
        <w:jc w:val="both"/>
      </w:pPr>
      <w:r w:rsidRPr="00152DDE">
        <w:rPr>
          <w:b/>
          <w:u w:val="single"/>
        </w:rPr>
        <w:t>Respuesta:</w:t>
      </w:r>
      <w:r>
        <w:rPr>
          <w:b/>
          <w:u w:val="single"/>
        </w:rPr>
        <w:t xml:space="preserve"> </w:t>
      </w:r>
      <w:r>
        <w:t>Este presupuesto es IVA incluido.</w:t>
      </w:r>
    </w:p>
    <w:p w:rsidR="00152DDE" w:rsidRDefault="00152DDE" w:rsidP="00152DDE">
      <w:pPr>
        <w:jc w:val="both"/>
      </w:pPr>
    </w:p>
    <w:p w:rsidR="00152DDE" w:rsidRDefault="00152DDE" w:rsidP="00152DDE">
      <w:pPr>
        <w:jc w:val="both"/>
      </w:pPr>
      <w:r w:rsidRPr="00152DDE">
        <w:rPr>
          <w:b/>
        </w:rPr>
        <w:t>4-</w:t>
      </w:r>
      <w:r>
        <w:rPr>
          <w:b/>
        </w:rPr>
        <w:t xml:space="preserve"> </w:t>
      </w:r>
      <w:r w:rsidRPr="00152DDE">
        <w:t>Solicitamos muy respetuosamente se indique el presupuesto establecido para la compra del equipo.</w:t>
      </w:r>
    </w:p>
    <w:p w:rsidR="00152DDE" w:rsidRDefault="00152DDE" w:rsidP="00152DDE">
      <w:pPr>
        <w:jc w:val="both"/>
      </w:pPr>
      <w:r w:rsidRPr="00152DDE">
        <w:rPr>
          <w:b/>
          <w:u w:val="single"/>
        </w:rPr>
        <w:t>Respuesta:</w:t>
      </w:r>
      <w:r>
        <w:rPr>
          <w:b/>
          <w:u w:val="single"/>
        </w:rPr>
        <w:t xml:space="preserve"> </w:t>
      </w:r>
      <w:r w:rsidRPr="00152DDE">
        <w:t>$251.029.800 IVA incluido.</w:t>
      </w:r>
    </w:p>
    <w:p w:rsidR="00152DDE" w:rsidRPr="00152DDE" w:rsidRDefault="00152DDE" w:rsidP="00152DDE">
      <w:pPr>
        <w:jc w:val="both"/>
      </w:pPr>
      <w:r w:rsidRPr="00152DDE">
        <w:rPr>
          <w:b/>
        </w:rPr>
        <w:t>5-</w:t>
      </w:r>
      <w:r w:rsidRPr="00152DDE">
        <w:t xml:space="preserve"> En el Anexo 1, presentación de la oferta: solicitamos se permitan presentar marcas alternativas a la estable</w:t>
      </w:r>
      <w:r w:rsidR="00144C90">
        <w:t xml:space="preserve">cida como </w:t>
      </w:r>
      <w:proofErr w:type="spellStart"/>
      <w:r w:rsidR="00144C90">
        <w:t>Thermo</w:t>
      </w:r>
      <w:proofErr w:type="spellEnd"/>
      <w:r w:rsidR="00144C90">
        <w:t xml:space="preserve"> </w:t>
      </w:r>
      <w:proofErr w:type="spellStart"/>
      <w:r w:rsidR="00144C90">
        <w:t>Scientific</w:t>
      </w:r>
      <w:proofErr w:type="spellEnd"/>
      <w:r w:rsidR="00144C90">
        <w:t xml:space="preserve">, </w:t>
      </w:r>
      <w:r w:rsidRPr="00152DDE">
        <w:t>que cumplan con características similares a las presentadas, garantizando la calidad e idoneidad de los equipos y la pluralidad de la invitación, solicitamos se modifiquen las especificaciones a:</w:t>
      </w:r>
      <w:r w:rsidR="00144C90">
        <w:t xml:space="preserve">                                                                                                                                                                                                                                                                                                                                                                                                                                                                                                                                                                                                                  </w:t>
      </w:r>
      <w:r w:rsidR="00363865">
        <w:t xml:space="preserve">                                                                                                                                                                                                                                                                                                                                                                                                                                                                                                                                                                                                                                                                                                                </w:t>
      </w:r>
    </w:p>
    <w:p w:rsidR="00152DDE" w:rsidRPr="00152DDE" w:rsidRDefault="00152DDE" w:rsidP="0091024F">
      <w:pPr>
        <w:pStyle w:val="Prrafodelista"/>
        <w:numPr>
          <w:ilvl w:val="0"/>
          <w:numId w:val="1"/>
        </w:numPr>
        <w:jc w:val="both"/>
      </w:pPr>
      <w:r w:rsidRPr="00152DDE">
        <w:t>DETECTOR SELECTIVO DE MASAS, CON BOMBA TURBOMOLECULAR. Modo: ionización de electrones por impacto electrónico (IE), con full SCAN, SIM y secuencial full SCAN/SIM</w:t>
      </w:r>
    </w:p>
    <w:p w:rsidR="00152DDE" w:rsidRPr="0091024F" w:rsidRDefault="00152DDE" w:rsidP="00152DDE">
      <w:pPr>
        <w:pStyle w:val="Prrafodelista"/>
        <w:numPr>
          <w:ilvl w:val="0"/>
          <w:numId w:val="1"/>
        </w:numPr>
        <w:jc w:val="both"/>
      </w:pPr>
      <w:r w:rsidRPr="0091024F">
        <w:t>Tipo de fuente de iones: con filamento dual, con temperatura programable hasta de 350°C.</w:t>
      </w:r>
    </w:p>
    <w:p w:rsidR="00152DDE" w:rsidRPr="0091024F" w:rsidRDefault="00152DDE" w:rsidP="00152DDE">
      <w:pPr>
        <w:pStyle w:val="Prrafodelista"/>
        <w:numPr>
          <w:ilvl w:val="0"/>
          <w:numId w:val="1"/>
        </w:numPr>
        <w:jc w:val="both"/>
      </w:pPr>
      <w:r w:rsidRPr="0091024F">
        <w:t xml:space="preserve">Filtro de masas: de </w:t>
      </w:r>
      <w:proofErr w:type="spellStart"/>
      <w:r w:rsidRPr="0091024F">
        <w:t>cuadrupolo</w:t>
      </w:r>
      <w:proofErr w:type="spellEnd"/>
      <w:r w:rsidRPr="0091024F">
        <w:t xml:space="preserve"> sencillo, que tenga tecnología para reducción de ruido de fondo.</w:t>
      </w:r>
    </w:p>
    <w:p w:rsidR="00152DDE" w:rsidRPr="0091024F" w:rsidRDefault="00152DDE" w:rsidP="00152DDE">
      <w:pPr>
        <w:pStyle w:val="Prrafodelista"/>
        <w:numPr>
          <w:ilvl w:val="0"/>
          <w:numId w:val="1"/>
        </w:numPr>
        <w:jc w:val="both"/>
      </w:pPr>
      <w:r w:rsidRPr="0091024F">
        <w:t>Estabilidad de la masa: Mejor que 0.1u/48 horas</w:t>
      </w:r>
    </w:p>
    <w:p w:rsidR="00152DDE" w:rsidRPr="0091024F" w:rsidRDefault="00152DDE" w:rsidP="00152DDE">
      <w:pPr>
        <w:pStyle w:val="Prrafodelista"/>
        <w:numPr>
          <w:ilvl w:val="0"/>
          <w:numId w:val="1"/>
        </w:numPr>
        <w:jc w:val="both"/>
      </w:pPr>
      <w:r w:rsidRPr="0091024F">
        <w:t xml:space="preserve">Detector: con </w:t>
      </w:r>
      <w:proofErr w:type="spellStart"/>
      <w:r w:rsidRPr="0091024F">
        <w:t>dínodo</w:t>
      </w:r>
      <w:proofErr w:type="spellEnd"/>
      <w:r w:rsidRPr="0091024F">
        <w:t xml:space="preserve"> multiplicador de electrones </w:t>
      </w:r>
    </w:p>
    <w:p w:rsidR="00152DDE" w:rsidRPr="0091024F" w:rsidRDefault="00152DDE" w:rsidP="00152DDE">
      <w:pPr>
        <w:pStyle w:val="Prrafodelista"/>
        <w:numPr>
          <w:ilvl w:val="0"/>
          <w:numId w:val="1"/>
        </w:numPr>
        <w:jc w:val="both"/>
      </w:pPr>
      <w:r w:rsidRPr="0091024F">
        <w:lastRenderedPageBreak/>
        <w:t xml:space="preserve">Rango de masas: 1.6 a 1050 </w:t>
      </w:r>
      <w:proofErr w:type="spellStart"/>
      <w:r w:rsidRPr="0091024F">
        <w:t>uma</w:t>
      </w:r>
      <w:proofErr w:type="spellEnd"/>
      <w:r w:rsidRPr="0091024F">
        <w:t xml:space="preserve"> o mejor con resolución de 1 </w:t>
      </w:r>
      <w:proofErr w:type="spellStart"/>
      <w:r w:rsidRPr="0091024F">
        <w:t>uma</w:t>
      </w:r>
      <w:proofErr w:type="spellEnd"/>
      <w:r w:rsidRPr="0091024F">
        <w:t>.</w:t>
      </w:r>
    </w:p>
    <w:p w:rsidR="00152DDE" w:rsidRPr="0091024F" w:rsidRDefault="00152DDE" w:rsidP="00152DDE">
      <w:pPr>
        <w:pStyle w:val="Prrafodelista"/>
        <w:numPr>
          <w:ilvl w:val="0"/>
          <w:numId w:val="1"/>
        </w:numPr>
        <w:jc w:val="both"/>
      </w:pPr>
      <w:r w:rsidRPr="0091024F">
        <w:t xml:space="preserve">Rata de Adquisición:12.500 </w:t>
      </w:r>
      <w:proofErr w:type="spellStart"/>
      <w:r w:rsidRPr="0091024F">
        <w:t>umas</w:t>
      </w:r>
      <w:proofErr w:type="spellEnd"/>
      <w:r w:rsidRPr="0091024F">
        <w:t>/</w:t>
      </w:r>
      <w:proofErr w:type="spellStart"/>
      <w:r w:rsidRPr="0091024F">
        <w:t>seg</w:t>
      </w:r>
      <w:proofErr w:type="spellEnd"/>
      <w:r w:rsidRPr="0091024F">
        <w:t xml:space="preserve"> o mejor</w:t>
      </w:r>
    </w:p>
    <w:p w:rsidR="00152DDE" w:rsidRPr="0091024F" w:rsidRDefault="00152DDE" w:rsidP="00152DDE">
      <w:pPr>
        <w:pStyle w:val="Prrafodelista"/>
        <w:numPr>
          <w:ilvl w:val="0"/>
          <w:numId w:val="1"/>
        </w:numPr>
        <w:jc w:val="both"/>
      </w:pPr>
      <w:r w:rsidRPr="0091024F">
        <w:t xml:space="preserve">Sistemas de bombeo: bomba </w:t>
      </w:r>
      <w:proofErr w:type="spellStart"/>
      <w:r w:rsidRPr="0091024F">
        <w:t>turbomolecular</w:t>
      </w:r>
      <w:proofErr w:type="spellEnd"/>
      <w:r w:rsidRPr="0091024F">
        <w:t xml:space="preserve"> 66 L/s o mejor. La bomba </w:t>
      </w:r>
      <w:proofErr w:type="spellStart"/>
      <w:r w:rsidRPr="0091024F">
        <w:t>turbomolecular</w:t>
      </w:r>
      <w:proofErr w:type="spellEnd"/>
      <w:r w:rsidRPr="0091024F">
        <w:t xml:space="preserve"> debe contar con el respaldo de una bomba mecánica con la capacidad necesaria para el correcto funcionamiento del equipo</w:t>
      </w:r>
    </w:p>
    <w:p w:rsidR="00152DDE" w:rsidRPr="0091024F" w:rsidRDefault="00152DDE" w:rsidP="00152DDE">
      <w:pPr>
        <w:pStyle w:val="Prrafodelista"/>
        <w:numPr>
          <w:ilvl w:val="0"/>
          <w:numId w:val="1"/>
        </w:numPr>
        <w:jc w:val="both"/>
      </w:pPr>
      <w:r w:rsidRPr="0091024F">
        <w:t>Energía del electrón: ajustable de 5-241.5 eV o mejor</w:t>
      </w:r>
    </w:p>
    <w:p w:rsidR="00152DDE" w:rsidRPr="0091024F" w:rsidRDefault="00152DDE" w:rsidP="0091024F">
      <w:pPr>
        <w:pStyle w:val="Prrafodelista"/>
        <w:numPr>
          <w:ilvl w:val="0"/>
          <w:numId w:val="1"/>
        </w:numPr>
        <w:jc w:val="both"/>
      </w:pPr>
      <w:r w:rsidRPr="0091024F">
        <w:t xml:space="preserve">Corriente de emisión: hasta 315 </w:t>
      </w:r>
      <w:proofErr w:type="spellStart"/>
      <w:r w:rsidRPr="0091024F">
        <w:t>μA</w:t>
      </w:r>
      <w:proofErr w:type="spellEnd"/>
      <w:r w:rsidRPr="0091024F">
        <w:t xml:space="preserve"> o mejor.</w:t>
      </w:r>
    </w:p>
    <w:p w:rsidR="00152DDE" w:rsidRPr="0091024F" w:rsidRDefault="00152DDE" w:rsidP="00152DDE">
      <w:pPr>
        <w:pStyle w:val="Prrafodelista"/>
        <w:numPr>
          <w:ilvl w:val="0"/>
          <w:numId w:val="1"/>
        </w:numPr>
        <w:jc w:val="both"/>
      </w:pPr>
      <w:r w:rsidRPr="0091024F">
        <w:t>COMPUTADOR con las capacidades necesarias para el correcto manejo del SW de control y análisis de datos.</w:t>
      </w:r>
    </w:p>
    <w:p w:rsidR="00152DDE" w:rsidRPr="0091024F" w:rsidRDefault="00152DDE" w:rsidP="00152DDE">
      <w:pPr>
        <w:pStyle w:val="Prrafodelista"/>
        <w:numPr>
          <w:ilvl w:val="0"/>
          <w:numId w:val="1"/>
        </w:numPr>
        <w:jc w:val="both"/>
      </w:pPr>
      <w:r w:rsidRPr="0091024F">
        <w:t>SISTEMA DE CROMATÓGRAFIA DE GASES, MÓDULO CON PUERTO DE INYECCIÓN SSL</w:t>
      </w:r>
    </w:p>
    <w:p w:rsidR="00152DDE" w:rsidRPr="0091024F" w:rsidRDefault="00152DDE" w:rsidP="00152DDE">
      <w:pPr>
        <w:pStyle w:val="Prrafodelista"/>
        <w:numPr>
          <w:ilvl w:val="0"/>
          <w:numId w:val="1"/>
        </w:numPr>
        <w:jc w:val="both"/>
      </w:pPr>
      <w:r w:rsidRPr="0091024F">
        <w:t>Módulo de puerto de inyección Split/</w:t>
      </w:r>
      <w:proofErr w:type="spellStart"/>
      <w:r w:rsidRPr="0091024F">
        <w:t>Splitless</w:t>
      </w:r>
      <w:proofErr w:type="spellEnd"/>
      <w:r w:rsidRPr="0091024F">
        <w:t xml:space="preserve">, debe incluir: cuerpo del inyector con Control Electrónico de Gas o tecnología superior con capacidad de operación en modo de presión y flujo constante, modo de presión y flujo programable, chequeo de fugas y evaluación de columna. El INYECTOR AUTOMATICO debe ser compatible con puertos de inyección SSL y PTV. El mismo puede instalarse tanto en el puerto de inyección frontal como posterior. Esta opción debe incluir todas las partes que permiten la instalación del inyector automático para cualquiera de los puertos. El inyector automático debe incluir: carrusel para 8 viales de muestra o mejor, viales para solventes 4 </w:t>
      </w:r>
      <w:proofErr w:type="spellStart"/>
      <w:r w:rsidRPr="0091024F">
        <w:t>mL</w:t>
      </w:r>
      <w:proofErr w:type="spellEnd"/>
      <w:r w:rsidRPr="0091024F">
        <w:t xml:space="preserve"> con tapas y </w:t>
      </w:r>
      <w:proofErr w:type="spellStart"/>
      <w:r w:rsidRPr="0091024F">
        <w:t>septa</w:t>
      </w:r>
      <w:proofErr w:type="spellEnd"/>
      <w:r w:rsidRPr="0091024F">
        <w:t xml:space="preserve"> (paquete por 4), cables y conectores, 1 x </w:t>
      </w:r>
      <w:proofErr w:type="spellStart"/>
      <w:r w:rsidRPr="0091024F">
        <w:t>microjeringa</w:t>
      </w:r>
      <w:proofErr w:type="spellEnd"/>
      <w:r w:rsidRPr="0091024F">
        <w:t xml:space="preserve"> de 10 </w:t>
      </w:r>
      <w:proofErr w:type="spellStart"/>
      <w:r w:rsidRPr="0091024F">
        <w:t>uL</w:t>
      </w:r>
      <w:proofErr w:type="spellEnd"/>
      <w:r w:rsidRPr="0091024F">
        <w:t xml:space="preserve"> con aguja 50 </w:t>
      </w:r>
      <w:proofErr w:type="spellStart"/>
      <w:r w:rsidRPr="0091024F">
        <w:t>mm.</w:t>
      </w:r>
      <w:proofErr w:type="spellEnd"/>
      <w:r w:rsidRPr="0091024F">
        <w:t xml:space="preserve"> </w:t>
      </w:r>
    </w:p>
    <w:p w:rsidR="00152DDE" w:rsidRPr="0091024F" w:rsidRDefault="00152DDE" w:rsidP="00152DDE">
      <w:pPr>
        <w:pStyle w:val="Prrafodelista"/>
        <w:jc w:val="both"/>
      </w:pPr>
    </w:p>
    <w:p w:rsidR="00152DDE" w:rsidRPr="0091024F" w:rsidRDefault="00152DDE" w:rsidP="00152DDE">
      <w:pPr>
        <w:pStyle w:val="Prrafodelista"/>
        <w:numPr>
          <w:ilvl w:val="0"/>
          <w:numId w:val="1"/>
        </w:numPr>
        <w:jc w:val="both"/>
      </w:pPr>
      <w:r w:rsidRPr="0091024F">
        <w:t>BIBLIOTECA (LIBRARY) NIST 14 MS. con 2014 NIST MS/MS Database Update</w:t>
      </w:r>
    </w:p>
    <w:p w:rsidR="00152DDE" w:rsidRPr="0091024F" w:rsidRDefault="00152DDE" w:rsidP="00152DDE">
      <w:pPr>
        <w:pStyle w:val="Prrafodelista"/>
        <w:numPr>
          <w:ilvl w:val="0"/>
          <w:numId w:val="1"/>
        </w:numPr>
        <w:jc w:val="both"/>
      </w:pPr>
      <w:r w:rsidRPr="0091024F">
        <w:t xml:space="preserve">GCMS SOFTWARE Y SISTEMA DE MANEJO DE DATOS </w:t>
      </w:r>
    </w:p>
    <w:p w:rsidR="00152DDE" w:rsidRPr="0091024F" w:rsidRDefault="00152DDE" w:rsidP="00152DDE">
      <w:pPr>
        <w:pStyle w:val="Prrafodelista"/>
        <w:numPr>
          <w:ilvl w:val="0"/>
          <w:numId w:val="1"/>
        </w:numPr>
        <w:jc w:val="both"/>
      </w:pPr>
      <w:r w:rsidRPr="0091024F">
        <w:t>UNA BANDEJA PARA 150 VIALES o mejor,</w:t>
      </w:r>
    </w:p>
    <w:p w:rsidR="00152DDE" w:rsidRPr="0091024F" w:rsidRDefault="00152DDE" w:rsidP="00152DDE">
      <w:pPr>
        <w:pStyle w:val="Prrafodelista"/>
        <w:numPr>
          <w:ilvl w:val="0"/>
          <w:numId w:val="1"/>
        </w:numPr>
        <w:jc w:val="both"/>
      </w:pPr>
      <w:r w:rsidRPr="0091024F">
        <w:t>UNA UPS DE 6KVA CON 5 MINUTOS DE AUTONOMÍA</w:t>
      </w:r>
    </w:p>
    <w:p w:rsidR="00152DDE" w:rsidRPr="0091024F" w:rsidRDefault="00152DDE" w:rsidP="00152DDE">
      <w:pPr>
        <w:pStyle w:val="Prrafodelista"/>
        <w:numPr>
          <w:ilvl w:val="0"/>
          <w:numId w:val="1"/>
        </w:numPr>
        <w:jc w:val="both"/>
      </w:pPr>
      <w:r w:rsidRPr="0091024F">
        <w:t>UNA COLUMNA CAPILAR FASE 5 DE 30 MTS</w:t>
      </w:r>
    </w:p>
    <w:p w:rsidR="00152DDE" w:rsidRPr="0091024F" w:rsidRDefault="00152DDE" w:rsidP="00152DDE">
      <w:pPr>
        <w:pStyle w:val="Prrafodelista"/>
        <w:numPr>
          <w:ilvl w:val="0"/>
          <w:numId w:val="1"/>
        </w:numPr>
        <w:jc w:val="both"/>
      </w:pPr>
      <w:r w:rsidRPr="0091024F">
        <w:t>100 VIALES CON TAPA ROSCA</w:t>
      </w:r>
    </w:p>
    <w:p w:rsidR="00152DDE" w:rsidRPr="0091024F" w:rsidRDefault="00152DDE" w:rsidP="00152DDE">
      <w:pPr>
        <w:pStyle w:val="Prrafodelista"/>
        <w:numPr>
          <w:ilvl w:val="0"/>
          <w:numId w:val="1"/>
        </w:numPr>
        <w:jc w:val="both"/>
      </w:pPr>
      <w:r w:rsidRPr="0091024F">
        <w:t>10 FERRULAS</w:t>
      </w:r>
    </w:p>
    <w:p w:rsidR="00152DDE" w:rsidRPr="0091024F" w:rsidRDefault="00152DDE" w:rsidP="00152DDE">
      <w:pPr>
        <w:pStyle w:val="Prrafodelista"/>
        <w:numPr>
          <w:ilvl w:val="0"/>
          <w:numId w:val="1"/>
        </w:numPr>
        <w:jc w:val="both"/>
      </w:pPr>
      <w:r w:rsidRPr="0091024F">
        <w:t>3 LINER</w:t>
      </w:r>
    </w:p>
    <w:p w:rsidR="0091024F" w:rsidRPr="0091024F" w:rsidRDefault="0091024F" w:rsidP="0091024F">
      <w:pPr>
        <w:jc w:val="both"/>
        <w:rPr>
          <w:b/>
        </w:rPr>
      </w:pPr>
      <w:r w:rsidRPr="00152DDE">
        <w:rPr>
          <w:b/>
          <w:u w:val="single"/>
        </w:rPr>
        <w:t>Respuesta:</w:t>
      </w:r>
      <w:r w:rsidRPr="0091024F">
        <w:t xml:space="preserve"> </w:t>
      </w:r>
      <w:r w:rsidR="00411C15">
        <w:t xml:space="preserve">Se incluye la marca </w:t>
      </w:r>
      <w:proofErr w:type="spellStart"/>
      <w:r w:rsidR="00411C15">
        <w:t>Agilent</w:t>
      </w:r>
      <w:proofErr w:type="spellEnd"/>
      <w:r w:rsidR="00411C15">
        <w:t xml:space="preserve"> o </w:t>
      </w:r>
      <w:proofErr w:type="spellStart"/>
      <w:r w:rsidR="00411C15">
        <w:t>Shimadzu</w:t>
      </w:r>
      <w:proofErr w:type="spellEnd"/>
      <w:r w:rsidR="00411C15">
        <w:t>, siempre y cuando se cumplan los requisitos mínimos solicitados y que la tecnología ofertada sea “equivalente o superior”.</w:t>
      </w:r>
      <w:r w:rsidR="00411C15" w:rsidRPr="00152DDE">
        <w:rPr>
          <w:b/>
        </w:rPr>
        <w:t xml:space="preserve"> Ver Anexo Modificado</w:t>
      </w:r>
      <w:r w:rsidR="00411C15">
        <w:rPr>
          <w:b/>
        </w:rPr>
        <w:t>.</w:t>
      </w:r>
    </w:p>
    <w:p w:rsidR="0091024F" w:rsidRPr="000018B7" w:rsidRDefault="0091024F" w:rsidP="0091024F">
      <w:pPr>
        <w:autoSpaceDE w:val="0"/>
        <w:autoSpaceDN w:val="0"/>
        <w:spacing w:after="0" w:line="240" w:lineRule="auto"/>
        <w:jc w:val="both"/>
        <w:rPr>
          <w:rFonts w:cs="Calibri"/>
          <w:color w:val="000000"/>
        </w:rPr>
      </w:pPr>
      <w:r>
        <w:rPr>
          <w:b/>
        </w:rPr>
        <w:t>6-</w:t>
      </w:r>
      <w:r w:rsidRPr="000018B7">
        <w:rPr>
          <w:rFonts w:cs="Calibri"/>
          <w:b/>
          <w:i/>
          <w:color w:val="000000"/>
        </w:rPr>
        <w:t xml:space="preserve"> </w:t>
      </w:r>
      <w:r w:rsidRPr="000018B7">
        <w:rPr>
          <w:rFonts w:cs="Calibri"/>
          <w:color w:val="000000"/>
        </w:rPr>
        <w:t>En aras de permitir la pluralidad de oferentes, se solicita sea permitido ofertar productos homólogos o con mejores especificaciones técnicas a los solicitados para el</w:t>
      </w:r>
      <w:r>
        <w:rPr>
          <w:rFonts w:cs="Calibri"/>
          <w:color w:val="000000"/>
        </w:rPr>
        <w:t xml:space="preserve"> equipo de </w:t>
      </w:r>
      <w:r w:rsidRPr="001E0734">
        <w:rPr>
          <w:rFonts w:cs="Calibri"/>
          <w:color w:val="000000"/>
        </w:rPr>
        <w:t xml:space="preserve">SISTEMA DE CROMATÓGRAFIA DE GASES/ ESPECTROMETRÍA DE MASAS GC/MS. </w:t>
      </w:r>
      <w:r w:rsidRPr="000018B7">
        <w:rPr>
          <w:rFonts w:cs="Calibri"/>
          <w:color w:val="000000"/>
        </w:rPr>
        <w:t xml:space="preserve"> </w:t>
      </w:r>
    </w:p>
    <w:p w:rsidR="0091024F" w:rsidRDefault="0091024F" w:rsidP="0091024F">
      <w:pPr>
        <w:autoSpaceDE w:val="0"/>
        <w:autoSpaceDN w:val="0"/>
        <w:spacing w:after="0" w:line="240" w:lineRule="auto"/>
        <w:jc w:val="both"/>
        <w:rPr>
          <w:rFonts w:cs="Calibri"/>
          <w:color w:val="000000"/>
        </w:rPr>
      </w:pPr>
    </w:p>
    <w:p w:rsidR="0091024F" w:rsidRDefault="0091024F" w:rsidP="0091024F">
      <w:pPr>
        <w:autoSpaceDE w:val="0"/>
        <w:autoSpaceDN w:val="0"/>
        <w:spacing w:after="0" w:line="240" w:lineRule="auto"/>
        <w:jc w:val="both"/>
        <w:rPr>
          <w:rFonts w:cs="Calibri"/>
          <w:b/>
          <w:i/>
          <w:color w:val="000000"/>
        </w:rPr>
      </w:pPr>
      <w:r>
        <w:rPr>
          <w:rFonts w:cs="Calibri"/>
          <w:b/>
          <w:i/>
          <w:color w:val="000000"/>
        </w:rPr>
        <w:t xml:space="preserve">El equipo que podemos ofrecer corresponde al Modelo QP-2020 Marca </w:t>
      </w:r>
      <w:proofErr w:type="spellStart"/>
      <w:r>
        <w:rPr>
          <w:rFonts w:cs="Calibri"/>
          <w:b/>
          <w:i/>
          <w:color w:val="000000"/>
        </w:rPr>
        <w:t>Shimadzu</w:t>
      </w:r>
      <w:proofErr w:type="spellEnd"/>
      <w:r>
        <w:rPr>
          <w:rFonts w:cs="Calibri"/>
          <w:b/>
          <w:i/>
          <w:color w:val="000000"/>
        </w:rPr>
        <w:t xml:space="preserve">. En el adjunto “GCMS-QP2020 </w:t>
      </w:r>
      <w:proofErr w:type="spellStart"/>
      <w:r>
        <w:rPr>
          <w:rFonts w:cs="Calibri"/>
          <w:b/>
          <w:i/>
          <w:color w:val="000000"/>
        </w:rPr>
        <w:t>Specification</w:t>
      </w:r>
      <w:proofErr w:type="spellEnd"/>
      <w:r>
        <w:rPr>
          <w:rFonts w:cs="Calibri"/>
          <w:b/>
          <w:i/>
          <w:color w:val="000000"/>
        </w:rPr>
        <w:t xml:space="preserve"> </w:t>
      </w:r>
      <w:proofErr w:type="spellStart"/>
      <w:r>
        <w:rPr>
          <w:rFonts w:cs="Calibri"/>
          <w:b/>
          <w:i/>
          <w:color w:val="000000"/>
        </w:rPr>
        <w:t>Sheet</w:t>
      </w:r>
      <w:proofErr w:type="spellEnd"/>
      <w:r>
        <w:rPr>
          <w:rFonts w:cs="Calibri"/>
          <w:b/>
          <w:i/>
          <w:color w:val="000000"/>
        </w:rPr>
        <w:t>” se encuentras sus especificaciones técnicas para su evaluación respectiva.</w:t>
      </w:r>
    </w:p>
    <w:p w:rsidR="0091024F" w:rsidRDefault="0091024F" w:rsidP="0091024F">
      <w:pPr>
        <w:autoSpaceDE w:val="0"/>
        <w:autoSpaceDN w:val="0"/>
        <w:spacing w:after="0" w:line="240" w:lineRule="auto"/>
        <w:jc w:val="both"/>
        <w:rPr>
          <w:rFonts w:cs="Calibri"/>
          <w:b/>
          <w:i/>
          <w:color w:val="000000"/>
        </w:rPr>
      </w:pPr>
      <w:r>
        <w:rPr>
          <w:rFonts w:cs="Calibri"/>
          <w:b/>
          <w:i/>
          <w:color w:val="000000"/>
        </w:rPr>
        <w:t>Adicionalmente informamos que este equipo cumple con el presupuesto establecido por la entidad para la compra del equipo.</w:t>
      </w:r>
    </w:p>
    <w:p w:rsidR="0091024F" w:rsidRDefault="0091024F" w:rsidP="0091024F">
      <w:pPr>
        <w:autoSpaceDE w:val="0"/>
        <w:autoSpaceDN w:val="0"/>
        <w:spacing w:after="0" w:line="240" w:lineRule="auto"/>
        <w:jc w:val="both"/>
        <w:rPr>
          <w:b/>
          <w:u w:val="single"/>
        </w:rPr>
      </w:pPr>
    </w:p>
    <w:p w:rsidR="00411C15" w:rsidRPr="00411C15" w:rsidRDefault="0091024F" w:rsidP="00411C15">
      <w:pPr>
        <w:jc w:val="both"/>
        <w:rPr>
          <w:b/>
        </w:rPr>
      </w:pPr>
      <w:r w:rsidRPr="00152DDE">
        <w:rPr>
          <w:b/>
          <w:u w:val="single"/>
        </w:rPr>
        <w:lastRenderedPageBreak/>
        <w:t>Respuesta:</w:t>
      </w:r>
      <w:r w:rsidRPr="0091024F">
        <w:t xml:space="preserve"> </w:t>
      </w:r>
      <w:r w:rsidR="00411C15">
        <w:t xml:space="preserve">Se incluye la marca </w:t>
      </w:r>
      <w:proofErr w:type="spellStart"/>
      <w:r w:rsidR="00411C15">
        <w:t>Agilent</w:t>
      </w:r>
      <w:proofErr w:type="spellEnd"/>
      <w:r w:rsidR="00411C15">
        <w:t xml:space="preserve"> o </w:t>
      </w:r>
      <w:proofErr w:type="spellStart"/>
      <w:r w:rsidR="00411C15">
        <w:t>Shimadzu</w:t>
      </w:r>
      <w:proofErr w:type="spellEnd"/>
      <w:r w:rsidR="00411C15">
        <w:t>, siempre y cuando se cumplan los requisitos mínimos solicitados y que la tecnología ofertada sea “equivalente o superior”.</w:t>
      </w:r>
      <w:r w:rsidR="00411C15" w:rsidRPr="00152DDE">
        <w:rPr>
          <w:b/>
        </w:rPr>
        <w:t xml:space="preserve"> Ver Anexo Modificado</w:t>
      </w:r>
      <w:r w:rsidR="00411C15">
        <w:rPr>
          <w:b/>
        </w:rPr>
        <w:t>.</w:t>
      </w:r>
    </w:p>
    <w:p w:rsidR="0091024F" w:rsidRPr="0091024F" w:rsidRDefault="0091024F" w:rsidP="0091024F">
      <w:pPr>
        <w:autoSpaceDE w:val="0"/>
        <w:autoSpaceDN w:val="0"/>
        <w:spacing w:after="0" w:line="240" w:lineRule="auto"/>
        <w:jc w:val="both"/>
        <w:rPr>
          <w:rFonts w:cs="Calibri"/>
          <w:b/>
          <w:i/>
          <w:color w:val="000000"/>
        </w:rPr>
      </w:pPr>
    </w:p>
    <w:p w:rsidR="00152DDE" w:rsidRDefault="00152DDE" w:rsidP="0091024F">
      <w:pPr>
        <w:jc w:val="both"/>
        <w:rPr>
          <w:b/>
        </w:rPr>
      </w:pPr>
      <w:bookmarkStart w:id="0" w:name="_GoBack"/>
      <w:bookmarkEnd w:id="0"/>
    </w:p>
    <w:p w:rsidR="0091024F" w:rsidRDefault="0091024F" w:rsidP="0091024F">
      <w:pPr>
        <w:jc w:val="both"/>
        <w:rPr>
          <w:b/>
        </w:rPr>
      </w:pPr>
    </w:p>
    <w:p w:rsidR="0091024F" w:rsidRPr="008F10DF" w:rsidRDefault="0091024F" w:rsidP="0091024F">
      <w:pPr>
        <w:jc w:val="both"/>
        <w:rPr>
          <w:b/>
        </w:rPr>
      </w:pPr>
      <w:r w:rsidRPr="008F10DF">
        <w:rPr>
          <w:rFonts w:eastAsia="Times New Roman" w:cs="Arial"/>
          <w:b/>
          <w:lang w:eastAsia="es-CO"/>
        </w:rPr>
        <w:t>Para recordar:</w:t>
      </w:r>
    </w:p>
    <w:p w:rsidR="0091024F" w:rsidRPr="008F10DF" w:rsidRDefault="0091024F" w:rsidP="0091024F">
      <w:pPr>
        <w:tabs>
          <w:tab w:val="left" w:pos="720"/>
        </w:tabs>
        <w:rPr>
          <w:rFonts w:eastAsia="Times New Roman" w:cs="Arial"/>
          <w:b/>
          <w:lang w:eastAsia="es-CO"/>
        </w:rPr>
      </w:pPr>
    </w:p>
    <w:p w:rsidR="0091024F" w:rsidRPr="008F10DF" w:rsidRDefault="0091024F" w:rsidP="0091024F">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Se recomienda a los participantes, ser muy cuidadosos con la presentación de todos los documentos exigidos y demás condiciones del documento de condiciones.</w:t>
      </w:r>
    </w:p>
    <w:p w:rsidR="0091024F" w:rsidRPr="008F10DF" w:rsidRDefault="0091024F" w:rsidP="0091024F">
      <w:pPr>
        <w:tabs>
          <w:tab w:val="left" w:pos="720"/>
        </w:tabs>
        <w:spacing w:after="0" w:line="240" w:lineRule="auto"/>
        <w:ind w:left="1428"/>
        <w:jc w:val="both"/>
        <w:rPr>
          <w:rFonts w:eastAsia="Times New Roman" w:cs="Arial"/>
          <w:lang w:eastAsia="es-CO"/>
        </w:rPr>
      </w:pPr>
    </w:p>
    <w:p w:rsidR="0091024F" w:rsidRPr="008F10DF" w:rsidRDefault="0091024F" w:rsidP="0091024F">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Deben ser puntuales con el cronograma propuesto. </w:t>
      </w:r>
    </w:p>
    <w:p w:rsidR="0091024F" w:rsidRPr="008F10DF" w:rsidRDefault="0091024F" w:rsidP="0091024F">
      <w:pPr>
        <w:tabs>
          <w:tab w:val="left" w:pos="720"/>
        </w:tabs>
        <w:spacing w:after="0" w:line="240" w:lineRule="auto"/>
        <w:ind w:left="1428"/>
        <w:jc w:val="both"/>
        <w:rPr>
          <w:rFonts w:eastAsia="Times New Roman" w:cs="Arial"/>
          <w:lang w:eastAsia="es-CO"/>
        </w:rPr>
      </w:pPr>
    </w:p>
    <w:p w:rsidR="0091024F" w:rsidRPr="008F10DF" w:rsidRDefault="0091024F" w:rsidP="0091024F">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Se recomienda leer detenidamente el contenido total del Documento de Condiciones, así como el contenido de la presente </w:t>
      </w:r>
      <w:r w:rsidRPr="008F10DF">
        <w:rPr>
          <w:rFonts w:eastAsia="Times New Roman" w:cs="Arial"/>
          <w:b/>
          <w:lang w:eastAsia="es-CO"/>
        </w:rPr>
        <w:t>ADENDA.</w:t>
      </w:r>
      <w:r w:rsidRPr="008F10DF">
        <w:rPr>
          <w:rFonts w:eastAsia="Times New Roman" w:cs="Arial"/>
          <w:lang w:eastAsia="es-CO"/>
        </w:rPr>
        <w:t xml:space="preserve">  </w:t>
      </w:r>
    </w:p>
    <w:p w:rsidR="0091024F" w:rsidRPr="008F10DF" w:rsidRDefault="0091024F" w:rsidP="0091024F">
      <w:pPr>
        <w:tabs>
          <w:tab w:val="left" w:pos="720"/>
        </w:tabs>
        <w:spacing w:after="0" w:line="240" w:lineRule="auto"/>
        <w:ind w:left="1428"/>
        <w:jc w:val="both"/>
        <w:rPr>
          <w:rFonts w:eastAsia="Times New Roman" w:cs="Arial"/>
          <w:lang w:eastAsia="es-CO"/>
        </w:rPr>
      </w:pPr>
    </w:p>
    <w:p w:rsidR="0091024F" w:rsidRPr="008F10DF" w:rsidRDefault="0091024F" w:rsidP="0091024F">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 xml:space="preserve">Para efectos de presentar la oferta, se requiere:   consultar todas las respuestas de la Adenda, la oferta económica debe presentarse en el </w:t>
      </w:r>
      <w:r w:rsidRPr="008F10DF">
        <w:rPr>
          <w:rFonts w:eastAsia="Times New Roman" w:cs="Arial"/>
          <w:b/>
          <w:lang w:eastAsia="es-CO"/>
        </w:rPr>
        <w:t>Anexo Modificado</w:t>
      </w:r>
      <w:r w:rsidRPr="008F10DF">
        <w:rPr>
          <w:rFonts w:eastAsia="Times New Roman" w:cs="Arial"/>
          <w:lang w:eastAsia="es-CO"/>
        </w:rPr>
        <w:t>, que se publica con la presente Adenda.</w:t>
      </w:r>
    </w:p>
    <w:p w:rsidR="0091024F" w:rsidRPr="008F10DF" w:rsidRDefault="0091024F" w:rsidP="0091024F">
      <w:pPr>
        <w:tabs>
          <w:tab w:val="left" w:pos="720"/>
        </w:tabs>
        <w:spacing w:after="0" w:line="240" w:lineRule="auto"/>
        <w:ind w:left="1428"/>
        <w:jc w:val="both"/>
        <w:rPr>
          <w:rFonts w:eastAsia="Times New Roman" w:cs="Arial"/>
          <w:lang w:eastAsia="es-CO"/>
        </w:rPr>
      </w:pPr>
    </w:p>
    <w:p w:rsidR="0091024F" w:rsidRPr="008F10DF" w:rsidRDefault="0091024F" w:rsidP="0091024F">
      <w:pPr>
        <w:numPr>
          <w:ilvl w:val="0"/>
          <w:numId w:val="2"/>
        </w:numPr>
        <w:tabs>
          <w:tab w:val="left" w:pos="720"/>
          <w:tab w:val="num" w:pos="1428"/>
        </w:tabs>
        <w:spacing w:after="0" w:line="240" w:lineRule="auto"/>
        <w:ind w:left="1428"/>
        <w:jc w:val="both"/>
        <w:rPr>
          <w:rFonts w:eastAsia="Times New Roman" w:cs="Arial"/>
          <w:lang w:eastAsia="es-CO"/>
        </w:rPr>
      </w:pPr>
      <w:r w:rsidRPr="008F10DF">
        <w:rPr>
          <w:rFonts w:eastAsia="Times New Roman" w:cs="Arial"/>
          <w:lang w:eastAsia="es-CO"/>
        </w:rPr>
        <w:t>Se recomienda, además, consultar permanentemente la Página Web de la Universidad, hasta el día del Cierre de la Invitación a efecto de verificar cualquier información o modificación adicional.</w:t>
      </w:r>
    </w:p>
    <w:p w:rsidR="0091024F" w:rsidRPr="008F10DF" w:rsidRDefault="0091024F" w:rsidP="0091024F">
      <w:pPr>
        <w:jc w:val="both"/>
        <w:rPr>
          <w:b/>
        </w:rPr>
      </w:pPr>
    </w:p>
    <w:p w:rsidR="0091024F" w:rsidRPr="00152DDE" w:rsidRDefault="0091024F" w:rsidP="0091024F">
      <w:pPr>
        <w:jc w:val="both"/>
        <w:rPr>
          <w:b/>
        </w:rPr>
      </w:pPr>
    </w:p>
    <w:sectPr w:rsidR="0091024F" w:rsidRPr="00152D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F49"/>
    <w:multiLevelType w:val="hybridMultilevel"/>
    <w:tmpl w:val="FC78129A"/>
    <w:lvl w:ilvl="0" w:tplc="0C0A0001">
      <w:start w:val="1"/>
      <w:numFmt w:val="bullet"/>
      <w:lvlText w:val=""/>
      <w:lvlJc w:val="left"/>
      <w:pPr>
        <w:tabs>
          <w:tab w:val="num" w:pos="36"/>
        </w:tabs>
        <w:ind w:left="36" w:hanging="360"/>
      </w:pPr>
      <w:rPr>
        <w:rFonts w:ascii="Symbol" w:hAnsi="Symbol" w:hint="default"/>
      </w:rPr>
    </w:lvl>
    <w:lvl w:ilvl="1" w:tplc="0C0A0003">
      <w:start w:val="1"/>
      <w:numFmt w:val="bullet"/>
      <w:lvlText w:val="o"/>
      <w:lvlJc w:val="left"/>
      <w:pPr>
        <w:tabs>
          <w:tab w:val="num" w:pos="756"/>
        </w:tabs>
        <w:ind w:left="756" w:hanging="360"/>
      </w:pPr>
      <w:rPr>
        <w:rFonts w:ascii="Courier New" w:hAnsi="Courier New" w:cs="Courier New" w:hint="default"/>
      </w:rPr>
    </w:lvl>
    <w:lvl w:ilvl="2" w:tplc="0C0A0005">
      <w:start w:val="1"/>
      <w:numFmt w:val="bullet"/>
      <w:lvlText w:val=""/>
      <w:lvlJc w:val="left"/>
      <w:pPr>
        <w:tabs>
          <w:tab w:val="num" w:pos="1476"/>
        </w:tabs>
        <w:ind w:left="1476" w:hanging="360"/>
      </w:pPr>
      <w:rPr>
        <w:rFonts w:ascii="Wingdings" w:hAnsi="Wingdings" w:hint="default"/>
      </w:rPr>
    </w:lvl>
    <w:lvl w:ilvl="3" w:tplc="0C0A0001">
      <w:start w:val="1"/>
      <w:numFmt w:val="bullet"/>
      <w:lvlText w:val=""/>
      <w:lvlJc w:val="left"/>
      <w:pPr>
        <w:tabs>
          <w:tab w:val="num" w:pos="2196"/>
        </w:tabs>
        <w:ind w:left="2196" w:hanging="360"/>
      </w:pPr>
      <w:rPr>
        <w:rFonts w:ascii="Symbol" w:hAnsi="Symbol" w:hint="default"/>
      </w:rPr>
    </w:lvl>
    <w:lvl w:ilvl="4" w:tplc="0C0A0003">
      <w:start w:val="1"/>
      <w:numFmt w:val="bullet"/>
      <w:lvlText w:val="o"/>
      <w:lvlJc w:val="left"/>
      <w:pPr>
        <w:tabs>
          <w:tab w:val="num" w:pos="2916"/>
        </w:tabs>
        <w:ind w:left="2916" w:hanging="360"/>
      </w:pPr>
      <w:rPr>
        <w:rFonts w:ascii="Courier New" w:hAnsi="Courier New" w:cs="Courier New" w:hint="default"/>
      </w:rPr>
    </w:lvl>
    <w:lvl w:ilvl="5" w:tplc="0C0A0005">
      <w:start w:val="1"/>
      <w:numFmt w:val="bullet"/>
      <w:lvlText w:val=""/>
      <w:lvlJc w:val="left"/>
      <w:pPr>
        <w:tabs>
          <w:tab w:val="num" w:pos="3636"/>
        </w:tabs>
        <w:ind w:left="3636" w:hanging="360"/>
      </w:pPr>
      <w:rPr>
        <w:rFonts w:ascii="Wingdings" w:hAnsi="Wingdings" w:hint="default"/>
      </w:rPr>
    </w:lvl>
    <w:lvl w:ilvl="6" w:tplc="0C0A0001">
      <w:start w:val="1"/>
      <w:numFmt w:val="bullet"/>
      <w:lvlText w:val=""/>
      <w:lvlJc w:val="left"/>
      <w:pPr>
        <w:tabs>
          <w:tab w:val="num" w:pos="4356"/>
        </w:tabs>
        <w:ind w:left="4356" w:hanging="360"/>
      </w:pPr>
      <w:rPr>
        <w:rFonts w:ascii="Symbol" w:hAnsi="Symbol" w:hint="default"/>
      </w:rPr>
    </w:lvl>
    <w:lvl w:ilvl="7" w:tplc="0C0A0003">
      <w:start w:val="1"/>
      <w:numFmt w:val="bullet"/>
      <w:lvlText w:val="o"/>
      <w:lvlJc w:val="left"/>
      <w:pPr>
        <w:tabs>
          <w:tab w:val="num" w:pos="5076"/>
        </w:tabs>
        <w:ind w:left="5076" w:hanging="360"/>
      </w:pPr>
      <w:rPr>
        <w:rFonts w:ascii="Courier New" w:hAnsi="Courier New" w:cs="Courier New" w:hint="default"/>
      </w:rPr>
    </w:lvl>
    <w:lvl w:ilvl="8" w:tplc="0C0A0005">
      <w:start w:val="1"/>
      <w:numFmt w:val="bullet"/>
      <w:lvlText w:val=""/>
      <w:lvlJc w:val="left"/>
      <w:pPr>
        <w:tabs>
          <w:tab w:val="num" w:pos="5796"/>
        </w:tabs>
        <w:ind w:left="5796" w:hanging="360"/>
      </w:pPr>
      <w:rPr>
        <w:rFonts w:ascii="Wingdings" w:hAnsi="Wingdings" w:hint="default"/>
      </w:rPr>
    </w:lvl>
  </w:abstractNum>
  <w:abstractNum w:abstractNumId="1" w15:restartNumberingAfterBreak="0">
    <w:nsid w:val="57A178A1"/>
    <w:multiLevelType w:val="hybridMultilevel"/>
    <w:tmpl w:val="8828D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DE"/>
    <w:rsid w:val="00144C90"/>
    <w:rsid w:val="00152DDE"/>
    <w:rsid w:val="00363865"/>
    <w:rsid w:val="00411C15"/>
    <w:rsid w:val="0091024F"/>
    <w:rsid w:val="00DD2B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1D15"/>
  <w15:chartTrackingRefBased/>
  <w15:docId w15:val="{A3BB1981-1BD3-4C19-90EE-07CE0224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2DD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5348">
      <w:bodyDiv w:val="1"/>
      <w:marLeft w:val="0"/>
      <w:marRight w:val="0"/>
      <w:marTop w:val="0"/>
      <w:marBottom w:val="0"/>
      <w:divBdr>
        <w:top w:val="none" w:sz="0" w:space="0" w:color="auto"/>
        <w:left w:val="none" w:sz="0" w:space="0" w:color="auto"/>
        <w:bottom w:val="none" w:sz="0" w:space="0" w:color="auto"/>
        <w:right w:val="none" w:sz="0" w:space="0" w:color="auto"/>
      </w:divBdr>
    </w:div>
    <w:div w:id="1118403965">
      <w:bodyDiv w:val="1"/>
      <w:marLeft w:val="0"/>
      <w:marRight w:val="0"/>
      <w:marTop w:val="0"/>
      <w:marBottom w:val="0"/>
      <w:divBdr>
        <w:top w:val="none" w:sz="0" w:space="0" w:color="auto"/>
        <w:left w:val="none" w:sz="0" w:space="0" w:color="auto"/>
        <w:bottom w:val="none" w:sz="0" w:space="0" w:color="auto"/>
        <w:right w:val="none" w:sz="0" w:space="0" w:color="auto"/>
      </w:divBdr>
    </w:div>
    <w:div w:id="132542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1050</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2</cp:revision>
  <dcterms:created xsi:type="dcterms:W3CDTF">2016-09-26T20:31:00Z</dcterms:created>
  <dcterms:modified xsi:type="dcterms:W3CDTF">2016-09-27T20:16:00Z</dcterms:modified>
</cp:coreProperties>
</file>