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A2" w:rsidRPr="00730CE1" w:rsidRDefault="00C267A2" w:rsidP="00C267A2">
      <w:pPr>
        <w:jc w:val="center"/>
        <w:rPr>
          <w:b/>
        </w:rPr>
      </w:pPr>
      <w:r w:rsidRPr="00730CE1">
        <w:rPr>
          <w:b/>
        </w:rPr>
        <w:t xml:space="preserve">ACLARACIÓN DE DUDAS </w:t>
      </w:r>
    </w:p>
    <w:p w:rsidR="00C267A2" w:rsidRDefault="00C267A2" w:rsidP="00C267A2">
      <w:pPr>
        <w:jc w:val="center"/>
        <w:rPr>
          <w:b/>
        </w:rPr>
      </w:pPr>
      <w:r w:rsidRPr="00730CE1">
        <w:rPr>
          <w:b/>
        </w:rPr>
        <w:t>INVITACIÓN A COTIZAR BS/</w:t>
      </w:r>
      <w:r>
        <w:rPr>
          <w:b/>
        </w:rPr>
        <w:t>22</w:t>
      </w:r>
      <w:r w:rsidRPr="00730CE1">
        <w:rPr>
          <w:b/>
        </w:rPr>
        <w:t xml:space="preserve"> DE 2017</w:t>
      </w:r>
    </w:p>
    <w:p w:rsidR="00C267A2" w:rsidRPr="006C3B6A" w:rsidRDefault="00C267A2" w:rsidP="00C267A2">
      <w:pPr>
        <w:jc w:val="center"/>
        <w:rPr>
          <w:b/>
        </w:rPr>
      </w:pPr>
      <w:r w:rsidRPr="00C267A2">
        <w:rPr>
          <w:b/>
        </w:rPr>
        <w:t>COMPRA DE EQUIPOS Y ACCESORIOS AUDIOVISUALES</w:t>
      </w:r>
    </w:p>
    <w:p w:rsidR="00851E94" w:rsidRDefault="00851E94"/>
    <w:p w:rsidR="00C267A2" w:rsidRDefault="00C267A2" w:rsidP="00C267A2">
      <w:pPr>
        <w:jc w:val="both"/>
      </w:pPr>
    </w:p>
    <w:p w:rsidR="00C267A2" w:rsidRDefault="00C267A2" w:rsidP="00C267A2">
      <w:pPr>
        <w:jc w:val="both"/>
      </w:pPr>
      <w:r>
        <w:t>Teniendo en cuenta que algunos de los equipos incluidos en el proceso de Invitación a Cotizar BS/ 22 de 2017, incluyen instalación. La Universidad ha programado una visita con el fin de</w:t>
      </w:r>
      <w:r w:rsidR="00C318DC">
        <w:t xml:space="preserve"> que los proveedores interesados puedan </w:t>
      </w:r>
      <w:r>
        <w:t>revisa</w:t>
      </w:r>
      <w:r w:rsidR="00C318DC">
        <w:t>r</w:t>
      </w:r>
      <w:r>
        <w:t xml:space="preserve"> los espacios donde serán instalados los equipos.</w:t>
      </w:r>
    </w:p>
    <w:p w:rsidR="00C267A2" w:rsidRDefault="00C267A2" w:rsidP="00C267A2">
      <w:pPr>
        <w:jc w:val="both"/>
      </w:pPr>
      <w:r>
        <w:t xml:space="preserve">La visita será el día miércoles 11 de octubre de 2017, Hora: 9:00 </w:t>
      </w:r>
      <w:proofErr w:type="spellStart"/>
      <w:r>
        <w:t>a.m</w:t>
      </w:r>
      <w:proofErr w:type="spellEnd"/>
      <w:r>
        <w:t>, Lugar: Facultad de Bellas Artes Oficina 12408 – Universidad Tecnológica de Pereira.</w:t>
      </w:r>
    </w:p>
    <w:p w:rsidR="00C267A2" w:rsidRDefault="00C267A2" w:rsidP="00C267A2">
      <w:pPr>
        <w:jc w:val="both"/>
      </w:pPr>
      <w:r>
        <w:t>Aquellos proveedores que no puedan asistir a la visita y que de igual forman deseen participar lo pueden hacer, solamente deben tener en cuenta que su oferta debe abarcar todo lo necesario para la entrega de los equipos que inc</w:t>
      </w:r>
      <w:r w:rsidR="00C318DC">
        <w:t>luyen</w:t>
      </w:r>
      <w:r>
        <w:t xml:space="preserve"> instalación.</w:t>
      </w:r>
    </w:p>
    <w:p w:rsidR="00C318DC" w:rsidRDefault="00C318DC" w:rsidP="00C267A2">
      <w:pPr>
        <w:jc w:val="both"/>
      </w:pPr>
      <w:bookmarkStart w:id="0" w:name="_GoBack"/>
      <w:bookmarkEnd w:id="0"/>
    </w:p>
    <w:p w:rsidR="00C318DC" w:rsidRDefault="00C318DC" w:rsidP="00C267A2">
      <w:pPr>
        <w:jc w:val="both"/>
      </w:pPr>
    </w:p>
    <w:p w:rsidR="00C318DC" w:rsidRPr="00323C4E" w:rsidRDefault="00C318DC" w:rsidP="00C318DC">
      <w:pPr>
        <w:jc w:val="center"/>
        <w:rPr>
          <w:rFonts w:cs="Arial"/>
          <w:b/>
        </w:rPr>
      </w:pPr>
      <w:r w:rsidRPr="00323C4E">
        <w:rPr>
          <w:rFonts w:cs="Arial"/>
          <w:b/>
        </w:rPr>
        <w:t>IMPORTANTE</w:t>
      </w:r>
    </w:p>
    <w:p w:rsidR="00C318DC" w:rsidRPr="00323C4E" w:rsidRDefault="00C318DC" w:rsidP="00C318DC">
      <w:pPr>
        <w:jc w:val="both"/>
        <w:rPr>
          <w:b/>
        </w:rPr>
      </w:pPr>
      <w:r w:rsidRPr="00323C4E">
        <w:rPr>
          <w:rFonts w:eastAsia="Times New Roman" w:cs="Arial"/>
          <w:b/>
          <w:lang w:eastAsia="es-CO"/>
        </w:rPr>
        <w:t>Para recordar:</w:t>
      </w:r>
    </w:p>
    <w:p w:rsidR="00C318DC" w:rsidRPr="00323C4E" w:rsidRDefault="00C318DC" w:rsidP="00C318DC">
      <w:pPr>
        <w:tabs>
          <w:tab w:val="left" w:pos="720"/>
        </w:tabs>
        <w:rPr>
          <w:rFonts w:eastAsia="Times New Roman" w:cs="Arial"/>
          <w:b/>
          <w:lang w:eastAsia="es-CO"/>
        </w:rPr>
      </w:pPr>
    </w:p>
    <w:p w:rsidR="00C318DC" w:rsidRPr="00323C4E" w:rsidRDefault="00C318DC" w:rsidP="00C318DC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>Se recomienda a los participantes, ser muy cuidadosos con la presentación de todos los documentos exigidos y demás condiciones del documento de condiciones.</w:t>
      </w:r>
    </w:p>
    <w:p w:rsidR="00C318DC" w:rsidRPr="00323C4E" w:rsidRDefault="00C318DC" w:rsidP="00C318DC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C318DC" w:rsidRPr="00323C4E" w:rsidRDefault="00C318DC" w:rsidP="00C318DC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Deben ser puntuales con el cronograma propuesto. </w:t>
      </w:r>
    </w:p>
    <w:p w:rsidR="00C318DC" w:rsidRPr="00323C4E" w:rsidRDefault="00C318DC" w:rsidP="00C318DC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C318DC" w:rsidRPr="00323C4E" w:rsidRDefault="00C318DC" w:rsidP="00C318DC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Se recomienda leer detenidamente el contenido total del Documento de Condiciones, así como el contenido de la presente </w:t>
      </w:r>
      <w:r w:rsidRPr="00323C4E">
        <w:rPr>
          <w:rFonts w:eastAsia="Times New Roman" w:cs="Arial"/>
          <w:b/>
          <w:lang w:eastAsia="es-CO"/>
        </w:rPr>
        <w:t>ADENDA.</w:t>
      </w:r>
      <w:r w:rsidRPr="00323C4E">
        <w:rPr>
          <w:rFonts w:eastAsia="Times New Roman" w:cs="Arial"/>
          <w:lang w:eastAsia="es-CO"/>
        </w:rPr>
        <w:t xml:space="preserve">  </w:t>
      </w:r>
    </w:p>
    <w:p w:rsidR="00C318DC" w:rsidRPr="00323C4E" w:rsidRDefault="00C318DC" w:rsidP="00C318DC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C318DC" w:rsidRPr="00323C4E" w:rsidRDefault="00C318DC" w:rsidP="00C318DC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Para efectos de presentar la oferta, se requiere:   consultar todas las respuestas de la Adenda, la oferta económica debe presentarse en el </w:t>
      </w:r>
      <w:r>
        <w:rPr>
          <w:rFonts w:eastAsia="Times New Roman" w:cs="Arial"/>
          <w:b/>
          <w:lang w:eastAsia="es-CO"/>
        </w:rPr>
        <w:t>Anexo.</w:t>
      </w:r>
    </w:p>
    <w:p w:rsidR="00C318DC" w:rsidRPr="00323C4E" w:rsidRDefault="00C318DC" w:rsidP="00C318DC">
      <w:pPr>
        <w:tabs>
          <w:tab w:val="left" w:pos="720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</w:p>
    <w:p w:rsidR="00C318DC" w:rsidRPr="00323C4E" w:rsidRDefault="00C318DC" w:rsidP="00C318DC">
      <w:pPr>
        <w:numPr>
          <w:ilvl w:val="0"/>
          <w:numId w:val="1"/>
        </w:numPr>
        <w:tabs>
          <w:tab w:val="left" w:pos="720"/>
          <w:tab w:val="num" w:pos="1428"/>
        </w:tabs>
        <w:spacing w:after="0" w:line="240" w:lineRule="auto"/>
        <w:ind w:left="1428"/>
        <w:jc w:val="both"/>
        <w:rPr>
          <w:rFonts w:eastAsia="Times New Roman" w:cs="Arial"/>
          <w:lang w:eastAsia="es-CO"/>
        </w:rPr>
      </w:pPr>
      <w:r w:rsidRPr="00323C4E">
        <w:rPr>
          <w:rFonts w:eastAsia="Times New Roman" w:cs="Arial"/>
          <w:lang w:eastAsia="es-CO"/>
        </w:rPr>
        <w:t xml:space="preserve">Se recomienda, además, consultar permanentemente </w:t>
      </w:r>
      <w:r>
        <w:rPr>
          <w:rFonts w:eastAsia="Times New Roman" w:cs="Arial"/>
          <w:lang w:eastAsia="es-CO"/>
        </w:rPr>
        <w:t xml:space="preserve">la página web de la Universidad </w:t>
      </w:r>
      <w:hyperlink r:id="rId5" w:history="1">
        <w:r w:rsidRPr="003D562E">
          <w:rPr>
            <w:rStyle w:val="Hipervnculo"/>
            <w:rFonts w:eastAsia="Times New Roman" w:cs="Arial"/>
            <w:lang w:eastAsia="es-CO"/>
          </w:rPr>
          <w:t>www.utp.edu.co</w:t>
        </w:r>
      </w:hyperlink>
      <w:r>
        <w:rPr>
          <w:rFonts w:eastAsia="Times New Roman" w:cs="Arial"/>
          <w:lang w:eastAsia="es-CO"/>
        </w:rPr>
        <w:t xml:space="preserve"> </w:t>
      </w:r>
      <w:r w:rsidRPr="00323C4E">
        <w:rPr>
          <w:rFonts w:eastAsia="Times New Roman" w:cs="Arial"/>
          <w:lang w:eastAsia="es-CO"/>
        </w:rPr>
        <w:t>, hasta el día del Cierre de la Invitación a efecto de verificar cualquier información o modificación adicional</w:t>
      </w:r>
      <w:r>
        <w:rPr>
          <w:rFonts w:eastAsia="Times New Roman" w:cs="Arial"/>
          <w:lang w:eastAsia="es-CO"/>
        </w:rPr>
        <w:t>.</w:t>
      </w:r>
    </w:p>
    <w:p w:rsidR="00C318DC" w:rsidRDefault="00C318DC" w:rsidP="00C267A2">
      <w:pPr>
        <w:jc w:val="both"/>
      </w:pPr>
    </w:p>
    <w:p w:rsidR="00C267A2" w:rsidRDefault="00C267A2" w:rsidP="00C267A2">
      <w:pPr>
        <w:jc w:val="both"/>
      </w:pPr>
    </w:p>
    <w:p w:rsidR="00C267A2" w:rsidRDefault="00C267A2"/>
    <w:sectPr w:rsidR="00C267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36"/>
        </w:tabs>
        <w:ind w:left="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A2"/>
    <w:rsid w:val="00851E94"/>
    <w:rsid w:val="009364C7"/>
    <w:rsid w:val="00C267A2"/>
    <w:rsid w:val="00C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318C"/>
  <w15:chartTrackingRefBased/>
  <w15:docId w15:val="{B7678626-0B00-468B-9A32-E250B51C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18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tp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2017-10-09T21:35:00Z</dcterms:created>
  <dcterms:modified xsi:type="dcterms:W3CDTF">2017-10-09T21:50:00Z</dcterms:modified>
</cp:coreProperties>
</file>