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E0" w:rsidRPr="00675670" w:rsidRDefault="002F144B" w:rsidP="002F144B">
      <w:pPr>
        <w:jc w:val="both"/>
        <w:rPr>
          <w:rFonts w:ascii="Century Gothic" w:hAnsi="Century Gothic"/>
          <w:sz w:val="24"/>
          <w:szCs w:val="24"/>
        </w:rPr>
      </w:pPr>
      <w:r w:rsidRPr="00675670">
        <w:rPr>
          <w:rFonts w:ascii="Century Gothic" w:hAnsi="Century Gothic"/>
          <w:sz w:val="24"/>
          <w:szCs w:val="24"/>
        </w:rPr>
        <w:t xml:space="preserve">Con el fin de tener una mayor claridad </w:t>
      </w:r>
      <w:r w:rsidR="00AD0076">
        <w:rPr>
          <w:rFonts w:ascii="Century Gothic" w:hAnsi="Century Gothic"/>
          <w:sz w:val="24"/>
          <w:szCs w:val="24"/>
        </w:rPr>
        <w:t>para la entrega de las ofertas</w:t>
      </w:r>
      <w:r w:rsidRPr="00675670">
        <w:rPr>
          <w:rFonts w:ascii="Century Gothic" w:hAnsi="Century Gothic"/>
          <w:sz w:val="24"/>
          <w:szCs w:val="24"/>
        </w:rPr>
        <w:t>, l</w:t>
      </w:r>
      <w:r w:rsidR="005960E0" w:rsidRPr="00675670">
        <w:rPr>
          <w:rFonts w:ascii="Century Gothic" w:hAnsi="Century Gothic"/>
          <w:sz w:val="24"/>
          <w:szCs w:val="24"/>
        </w:rPr>
        <w:t xml:space="preserve">a Universidad Tecnológica se permite </w:t>
      </w:r>
      <w:r w:rsidRPr="00675670">
        <w:rPr>
          <w:rFonts w:ascii="Century Gothic" w:hAnsi="Century Gothic"/>
          <w:sz w:val="24"/>
          <w:szCs w:val="24"/>
        </w:rPr>
        <w:t>aclarar y recordar</w:t>
      </w:r>
      <w:r w:rsidR="005960E0" w:rsidRPr="00675670">
        <w:rPr>
          <w:rFonts w:ascii="Century Gothic" w:hAnsi="Century Gothic"/>
          <w:sz w:val="24"/>
          <w:szCs w:val="24"/>
        </w:rPr>
        <w:t>:</w:t>
      </w:r>
    </w:p>
    <w:p w:rsidR="00946616" w:rsidRPr="00675670" w:rsidRDefault="00946616" w:rsidP="002F144B">
      <w:pPr>
        <w:jc w:val="both"/>
        <w:rPr>
          <w:rFonts w:ascii="Century Gothic" w:hAnsi="Century Gothic"/>
          <w:sz w:val="24"/>
          <w:szCs w:val="24"/>
        </w:rPr>
      </w:pPr>
    </w:p>
    <w:p w:rsidR="002F144B" w:rsidRPr="00675670" w:rsidRDefault="002F144B" w:rsidP="002F144B">
      <w:pPr>
        <w:pStyle w:val="Prrafodelista"/>
        <w:numPr>
          <w:ilvl w:val="0"/>
          <w:numId w:val="2"/>
        </w:numPr>
        <w:jc w:val="both"/>
        <w:rPr>
          <w:rFonts w:ascii="Century Gothic" w:eastAsia="Century Gothic" w:hAnsi="Century Gothic" w:cs="Century Gothic"/>
          <w:sz w:val="24"/>
          <w:szCs w:val="24"/>
        </w:rPr>
      </w:pPr>
      <w:r w:rsidRPr="00675670">
        <w:rPr>
          <w:rFonts w:ascii="Century Gothic" w:eastAsia="Century Gothic" w:hAnsi="Century Gothic" w:cs="Century Gothic"/>
          <w:sz w:val="24"/>
          <w:szCs w:val="24"/>
        </w:rPr>
        <w:t xml:space="preserve">El proveedor debe entregar cada paquete de documentos (Jurídicos, financiero y técnico) debidamente </w:t>
      </w:r>
      <w:r w:rsidRPr="005B2421">
        <w:rPr>
          <w:rFonts w:ascii="Century Gothic" w:eastAsia="Century Gothic" w:hAnsi="Century Gothic" w:cs="Century Gothic"/>
          <w:b/>
          <w:sz w:val="24"/>
          <w:szCs w:val="24"/>
        </w:rPr>
        <w:t>foliado</w:t>
      </w:r>
      <w:r w:rsidRPr="00675670">
        <w:rPr>
          <w:rFonts w:ascii="Century Gothic" w:eastAsia="Century Gothic" w:hAnsi="Century Gothic" w:cs="Century Gothic"/>
          <w:sz w:val="24"/>
          <w:szCs w:val="24"/>
        </w:rPr>
        <w:t>.</w:t>
      </w:r>
    </w:p>
    <w:p w:rsidR="002F144B" w:rsidRPr="00675670" w:rsidRDefault="002F144B" w:rsidP="002F144B">
      <w:pPr>
        <w:ind w:left="360"/>
        <w:jc w:val="both"/>
        <w:rPr>
          <w:rFonts w:ascii="Century Gothic" w:eastAsia="Century Gothic" w:hAnsi="Century Gothic" w:cs="Century Gothic"/>
          <w:sz w:val="24"/>
          <w:szCs w:val="24"/>
        </w:rPr>
      </w:pPr>
    </w:p>
    <w:p w:rsidR="002F144B" w:rsidRPr="001A7F68" w:rsidRDefault="002F144B" w:rsidP="002F144B">
      <w:pPr>
        <w:numPr>
          <w:ilvl w:val="0"/>
          <w:numId w:val="2"/>
        </w:numPr>
        <w:pBdr>
          <w:top w:val="nil"/>
          <w:left w:val="nil"/>
          <w:bottom w:val="nil"/>
          <w:right w:val="nil"/>
          <w:between w:val="nil"/>
        </w:pBdr>
        <w:spacing w:after="0" w:line="240" w:lineRule="auto"/>
        <w:jc w:val="both"/>
        <w:rPr>
          <w:rFonts w:ascii="Century Gothic" w:hAnsi="Century Gothic"/>
          <w:sz w:val="24"/>
          <w:szCs w:val="24"/>
        </w:rPr>
      </w:pPr>
      <w:r w:rsidRPr="00675670">
        <w:rPr>
          <w:rFonts w:ascii="Century Gothic" w:hAnsi="Century Gothic"/>
          <w:sz w:val="24"/>
          <w:szCs w:val="24"/>
        </w:rPr>
        <w:t>El Proveedor deb</w:t>
      </w:r>
      <w:r w:rsidR="005B2421">
        <w:rPr>
          <w:rFonts w:ascii="Century Gothic" w:hAnsi="Century Gothic"/>
          <w:sz w:val="24"/>
          <w:szCs w:val="24"/>
        </w:rPr>
        <w:t xml:space="preserve">e presentar la Oferta Económica </w:t>
      </w:r>
      <w:r w:rsidRPr="00675670">
        <w:rPr>
          <w:rFonts w:ascii="Century Gothic" w:hAnsi="Century Gothic"/>
          <w:sz w:val="24"/>
          <w:szCs w:val="24"/>
        </w:rPr>
        <w:t>en el Anexo1 Modificado</w:t>
      </w:r>
      <w:r w:rsidR="006F19F0">
        <w:rPr>
          <w:rFonts w:ascii="Century Gothic" w:hAnsi="Century Gothic"/>
          <w:sz w:val="24"/>
          <w:szCs w:val="24"/>
        </w:rPr>
        <w:t xml:space="preserve"> </w:t>
      </w:r>
      <w:r w:rsidR="005B2421">
        <w:rPr>
          <w:rFonts w:ascii="Century Gothic" w:hAnsi="Century Gothic"/>
          <w:sz w:val="24"/>
          <w:szCs w:val="24"/>
        </w:rPr>
        <w:t>(</w:t>
      </w:r>
      <w:proofErr w:type="spellStart"/>
      <w:r w:rsidR="005B2421">
        <w:rPr>
          <w:rFonts w:ascii="Century Gothic" w:hAnsi="Century Gothic"/>
          <w:sz w:val="24"/>
          <w:szCs w:val="24"/>
        </w:rPr>
        <w:t>pdf</w:t>
      </w:r>
      <w:proofErr w:type="spellEnd"/>
      <w:r w:rsidR="005B2421">
        <w:rPr>
          <w:rFonts w:ascii="Century Gothic" w:hAnsi="Century Gothic"/>
          <w:sz w:val="24"/>
          <w:szCs w:val="24"/>
        </w:rPr>
        <w:t>)</w:t>
      </w:r>
      <w:r w:rsidRPr="00675670">
        <w:rPr>
          <w:rFonts w:ascii="Century Gothic" w:hAnsi="Century Gothic"/>
          <w:sz w:val="24"/>
          <w:szCs w:val="24"/>
        </w:rPr>
        <w:t xml:space="preserve">. </w:t>
      </w:r>
      <w:r w:rsidRPr="001A7F68">
        <w:rPr>
          <w:rFonts w:ascii="Century Gothic" w:hAnsi="Century Gothic"/>
          <w:sz w:val="24"/>
          <w:szCs w:val="24"/>
        </w:rPr>
        <w:t>Además esta misma información debe entregarla en formato Excel en una memoria USB anexa a los documentos Técnicos.</w:t>
      </w:r>
      <w:r w:rsidR="006F19F0" w:rsidRPr="001A7F68">
        <w:rPr>
          <w:rFonts w:ascii="Century Gothic" w:hAnsi="Century Gothic"/>
          <w:sz w:val="24"/>
          <w:szCs w:val="24"/>
        </w:rPr>
        <w:t xml:space="preserve"> </w:t>
      </w:r>
    </w:p>
    <w:p w:rsidR="002F144B" w:rsidRPr="00675670" w:rsidRDefault="002F144B" w:rsidP="002F144B">
      <w:pPr>
        <w:ind w:left="567"/>
        <w:jc w:val="both"/>
        <w:rPr>
          <w:rFonts w:ascii="Century Gothic" w:hAnsi="Century Gothic"/>
          <w:sz w:val="24"/>
          <w:szCs w:val="24"/>
        </w:rPr>
      </w:pPr>
    </w:p>
    <w:p w:rsidR="00AB0DD4" w:rsidRPr="001A7F68" w:rsidRDefault="002F144B" w:rsidP="002F144B">
      <w:pPr>
        <w:pStyle w:val="Prrafodelista"/>
        <w:widowControl/>
        <w:numPr>
          <w:ilvl w:val="0"/>
          <w:numId w:val="2"/>
        </w:numPr>
        <w:spacing w:after="0" w:line="240" w:lineRule="auto"/>
        <w:jc w:val="both"/>
        <w:rPr>
          <w:rFonts w:ascii="Century Gothic" w:eastAsia="Times New Roman" w:hAnsi="Century Gothic" w:cs="Times New Roman"/>
          <w:b/>
          <w:color w:val="auto"/>
          <w:sz w:val="24"/>
          <w:szCs w:val="24"/>
        </w:rPr>
      </w:pPr>
      <w:r w:rsidRPr="00675670">
        <w:rPr>
          <w:rFonts w:ascii="Century Gothic" w:eastAsia="Times New Roman" w:hAnsi="Century Gothic" w:cs="Times New Roman"/>
          <w:color w:val="auto"/>
          <w:sz w:val="24"/>
          <w:szCs w:val="24"/>
        </w:rPr>
        <w:t>La memoria USB debe contener toda la información enviada en físico debi</w:t>
      </w:r>
      <w:r w:rsidR="005B2421">
        <w:rPr>
          <w:rFonts w:ascii="Century Gothic" w:eastAsia="Times New Roman" w:hAnsi="Century Gothic" w:cs="Times New Roman"/>
          <w:color w:val="auto"/>
          <w:sz w:val="24"/>
          <w:szCs w:val="24"/>
        </w:rPr>
        <w:t xml:space="preserve">damente organizada por paquete: </w:t>
      </w:r>
      <w:r w:rsidRPr="00675670">
        <w:rPr>
          <w:rFonts w:ascii="Century Gothic" w:eastAsia="Times New Roman" w:hAnsi="Century Gothic" w:cs="Times New Roman"/>
          <w:color w:val="auto"/>
          <w:sz w:val="24"/>
          <w:szCs w:val="24"/>
        </w:rPr>
        <w:t>Documentos Ju</w:t>
      </w:r>
      <w:r w:rsidR="00FB735E" w:rsidRPr="00675670">
        <w:rPr>
          <w:rFonts w:ascii="Century Gothic" w:eastAsia="Times New Roman" w:hAnsi="Century Gothic" w:cs="Times New Roman"/>
          <w:color w:val="auto"/>
          <w:sz w:val="24"/>
          <w:szCs w:val="24"/>
        </w:rPr>
        <w:t>rídicos, Financieros y Técnicos.</w:t>
      </w:r>
      <w:r w:rsidR="005B2421">
        <w:rPr>
          <w:rFonts w:ascii="Century Gothic" w:eastAsia="Times New Roman" w:hAnsi="Century Gothic" w:cs="Times New Roman"/>
          <w:color w:val="auto"/>
          <w:sz w:val="24"/>
          <w:szCs w:val="24"/>
        </w:rPr>
        <w:t xml:space="preserve"> </w:t>
      </w:r>
      <w:r w:rsidR="001A7F68">
        <w:rPr>
          <w:rFonts w:ascii="Century Gothic" w:eastAsia="Times New Roman" w:hAnsi="Century Gothic" w:cs="Times New Roman"/>
          <w:color w:val="auto"/>
          <w:sz w:val="24"/>
          <w:szCs w:val="24"/>
        </w:rPr>
        <w:t xml:space="preserve"> </w:t>
      </w:r>
      <w:r w:rsidR="001A7F68" w:rsidRPr="001A7F68">
        <w:rPr>
          <w:rFonts w:ascii="Century Gothic" w:hAnsi="Century Gothic"/>
          <w:b/>
          <w:sz w:val="24"/>
          <w:szCs w:val="24"/>
        </w:rPr>
        <w:t>Tal como lo entrega en físico, es decir cada documento escaneado por separado.</w:t>
      </w:r>
    </w:p>
    <w:p w:rsidR="006F19F0" w:rsidRPr="006F19F0" w:rsidRDefault="006F19F0" w:rsidP="006F19F0">
      <w:pPr>
        <w:pStyle w:val="Prrafodelista"/>
        <w:rPr>
          <w:rFonts w:ascii="Century Gothic" w:eastAsia="Times New Roman" w:hAnsi="Century Gothic" w:cs="Times New Roman"/>
          <w:color w:val="auto"/>
          <w:sz w:val="24"/>
          <w:szCs w:val="24"/>
        </w:rPr>
      </w:pPr>
    </w:p>
    <w:p w:rsidR="00675670" w:rsidRDefault="00675670" w:rsidP="002F144B">
      <w:pPr>
        <w:pStyle w:val="Prrafodelista"/>
        <w:numPr>
          <w:ilvl w:val="0"/>
          <w:numId w:val="2"/>
        </w:numPr>
        <w:jc w:val="both"/>
        <w:rPr>
          <w:rFonts w:ascii="Century Gothic" w:hAnsi="Century Gothic"/>
          <w:sz w:val="24"/>
          <w:szCs w:val="24"/>
        </w:rPr>
      </w:pPr>
      <w:r w:rsidRPr="00675670">
        <w:rPr>
          <w:rFonts w:ascii="Century Gothic" w:hAnsi="Century Gothic"/>
          <w:sz w:val="24"/>
          <w:szCs w:val="24"/>
        </w:rPr>
        <w:t>No se requiere</w:t>
      </w:r>
      <w:r w:rsidR="00134B02">
        <w:rPr>
          <w:rFonts w:ascii="Century Gothic" w:hAnsi="Century Gothic"/>
          <w:sz w:val="24"/>
          <w:szCs w:val="24"/>
        </w:rPr>
        <w:t xml:space="preserve"> adjuntar </w:t>
      </w:r>
      <w:r w:rsidRPr="00675670">
        <w:rPr>
          <w:rFonts w:ascii="Century Gothic" w:hAnsi="Century Gothic"/>
          <w:sz w:val="24"/>
          <w:szCs w:val="24"/>
        </w:rPr>
        <w:t>f</w:t>
      </w:r>
      <w:r w:rsidR="005B5F60">
        <w:rPr>
          <w:rFonts w:ascii="Century Gothic" w:hAnsi="Century Gothic"/>
          <w:sz w:val="24"/>
          <w:szCs w:val="24"/>
        </w:rPr>
        <w:t>ichas técnicas de los produc</w:t>
      </w:r>
      <w:r w:rsidR="00134B02">
        <w:rPr>
          <w:rFonts w:ascii="Century Gothic" w:hAnsi="Century Gothic"/>
          <w:sz w:val="24"/>
          <w:szCs w:val="24"/>
        </w:rPr>
        <w:t>tos para la presentación de la propuesta.</w:t>
      </w:r>
    </w:p>
    <w:p w:rsidR="001A7F68" w:rsidRPr="001A7F68" w:rsidRDefault="001A7F68" w:rsidP="001A7F68">
      <w:pPr>
        <w:jc w:val="both"/>
        <w:rPr>
          <w:rFonts w:ascii="Century Gothic" w:hAnsi="Century Gothic"/>
          <w:sz w:val="24"/>
          <w:szCs w:val="24"/>
        </w:rPr>
      </w:pPr>
    </w:p>
    <w:p w:rsidR="00AD0076" w:rsidRDefault="00CF6CFE" w:rsidP="00675670">
      <w:pPr>
        <w:pStyle w:val="Prrafodelista"/>
        <w:numPr>
          <w:ilvl w:val="0"/>
          <w:numId w:val="2"/>
        </w:numPr>
        <w:jc w:val="both"/>
        <w:rPr>
          <w:rFonts w:ascii="Century Gothic" w:hAnsi="Century Gothic"/>
          <w:sz w:val="24"/>
          <w:szCs w:val="24"/>
        </w:rPr>
      </w:pPr>
      <w:r>
        <w:rPr>
          <w:rFonts w:ascii="Century Gothic" w:hAnsi="Century Gothic"/>
          <w:sz w:val="24"/>
          <w:szCs w:val="24"/>
        </w:rPr>
        <w:t>PREGUNTA PROVEEDOR</w:t>
      </w:r>
    </w:p>
    <w:p w:rsidR="00CF6CFE" w:rsidRDefault="00CF6CFE" w:rsidP="00CF6CFE">
      <w:pPr>
        <w:pStyle w:val="Prrafodelista"/>
        <w:spacing w:after="0" w:line="240" w:lineRule="auto"/>
        <w:jc w:val="both"/>
        <w:rPr>
          <w:rFonts w:ascii="Arial" w:hAnsi="Arial" w:cs="Arial"/>
          <w:b/>
          <w:u w:val="single"/>
        </w:rPr>
      </w:pPr>
    </w:p>
    <w:p w:rsidR="00CF6CFE" w:rsidRDefault="00CF6CFE" w:rsidP="00CF6CFE">
      <w:pPr>
        <w:pStyle w:val="Prrafodelista"/>
        <w:spacing w:after="0" w:line="240" w:lineRule="auto"/>
        <w:jc w:val="both"/>
        <w:rPr>
          <w:rFonts w:ascii="Arial" w:hAnsi="Arial" w:cs="Arial"/>
          <w:b/>
          <w:u w:val="single"/>
        </w:rPr>
      </w:pPr>
      <w:bookmarkStart w:id="0" w:name="_GoBack"/>
      <w:bookmarkEnd w:id="0"/>
      <w:r>
        <w:rPr>
          <w:rFonts w:ascii="Arial" w:hAnsi="Arial" w:cs="Arial"/>
          <w:b/>
          <w:u w:val="single"/>
        </w:rPr>
        <w:t xml:space="preserve">RESPUESTAS A </w:t>
      </w:r>
      <w:r w:rsidRPr="003F6DF2">
        <w:rPr>
          <w:rFonts w:ascii="Arial" w:hAnsi="Arial" w:cs="Arial"/>
          <w:b/>
          <w:u w:val="single"/>
        </w:rPr>
        <w:t>OBSERVACIONES TECNICAS</w:t>
      </w:r>
    </w:p>
    <w:p w:rsidR="00CF6CFE" w:rsidRPr="00CF6CFE" w:rsidRDefault="00CF6CFE" w:rsidP="00CF6CFE">
      <w:pPr>
        <w:pStyle w:val="Prrafodelista"/>
        <w:spacing w:after="0" w:line="240" w:lineRule="auto"/>
        <w:jc w:val="both"/>
        <w:rPr>
          <w:rFonts w:ascii="Arial" w:hAnsi="Arial" w:cs="Arial"/>
          <w:b/>
          <w:u w:val="single"/>
        </w:rPr>
      </w:pPr>
    </w:p>
    <w:p w:rsidR="00CF6CFE" w:rsidRPr="00CF6CFE" w:rsidRDefault="00CF6CFE" w:rsidP="00CF6CFE">
      <w:pPr>
        <w:spacing w:after="0" w:line="240" w:lineRule="auto"/>
        <w:jc w:val="both"/>
        <w:rPr>
          <w:rFonts w:ascii="Arial" w:hAnsi="Arial" w:cs="Arial"/>
          <w:b/>
          <w:u w:val="single"/>
        </w:rPr>
      </w:pPr>
    </w:p>
    <w:p w:rsidR="00CF6CFE" w:rsidRPr="00CF6CFE" w:rsidRDefault="00CF6CFE" w:rsidP="00CF6CFE">
      <w:pPr>
        <w:pStyle w:val="Prrafodelista"/>
        <w:spacing w:after="0" w:line="240" w:lineRule="auto"/>
        <w:jc w:val="both"/>
        <w:rPr>
          <w:rFonts w:ascii="Century Gothic" w:eastAsia="Century Gothic" w:hAnsi="Century Gothic" w:cs="Century Gothic"/>
        </w:rPr>
      </w:pPr>
      <w:r w:rsidRPr="00CF6CFE">
        <w:rPr>
          <w:rFonts w:ascii="Century Gothic" w:eastAsia="Century Gothic" w:hAnsi="Century Gothic" w:cs="Century Gothic"/>
          <w:b/>
        </w:rPr>
        <w:t>ITEM 285</w:t>
      </w:r>
      <w:r w:rsidRPr="00CF6CFE">
        <w:rPr>
          <w:rFonts w:ascii="Century Gothic" w:eastAsia="Century Gothic" w:hAnsi="Century Gothic" w:cs="Century Gothic"/>
        </w:rPr>
        <w:t>: Confirmar si el producto que solicitan es el DR1108A.</w:t>
      </w:r>
    </w:p>
    <w:p w:rsidR="00CF6CFE" w:rsidRPr="00CF6CFE" w:rsidRDefault="00CF6CFE" w:rsidP="00CF6CFE">
      <w:pPr>
        <w:pStyle w:val="Prrafodelista"/>
        <w:spacing w:after="0" w:line="240" w:lineRule="auto"/>
        <w:jc w:val="both"/>
        <w:rPr>
          <w:rFonts w:ascii="Century Gothic" w:eastAsia="Century Gothic" w:hAnsi="Century Gothic" w:cs="Century Gothic"/>
        </w:rPr>
      </w:pPr>
    </w:p>
    <w:p w:rsidR="00CF6CFE" w:rsidRPr="00CF6CFE" w:rsidRDefault="00CF6CFE" w:rsidP="00CF6CFE">
      <w:pPr>
        <w:pStyle w:val="Prrafodelista"/>
        <w:spacing w:after="0" w:line="240" w:lineRule="auto"/>
        <w:jc w:val="both"/>
        <w:rPr>
          <w:rFonts w:ascii="Century Gothic" w:eastAsia="Century Gothic" w:hAnsi="Century Gothic" w:cs="Century Gothic"/>
        </w:rPr>
      </w:pPr>
      <w:r w:rsidRPr="00CF6CFE">
        <w:rPr>
          <w:rFonts w:ascii="Century Gothic" w:eastAsia="Century Gothic" w:hAnsi="Century Gothic" w:cs="Century Gothic"/>
          <w:b/>
          <w:u w:val="single"/>
        </w:rPr>
        <w:t xml:space="preserve">RESPUESTA: </w:t>
      </w:r>
      <w:r w:rsidRPr="00CF6CFE">
        <w:rPr>
          <w:rFonts w:ascii="Century Gothic" w:eastAsia="Century Gothic" w:hAnsi="Century Gothic" w:cs="Century Gothic"/>
        </w:rPr>
        <w:t>Se acepta la observación. El producto requerido es un sistema de identificación bioquímica para entero bacterias Gram negativas. Ver anexo 1 corregido.</w:t>
      </w:r>
    </w:p>
    <w:p w:rsidR="00CF6CFE" w:rsidRPr="00CF6CFE" w:rsidRDefault="00CF6CFE" w:rsidP="00CF6CFE">
      <w:pPr>
        <w:pStyle w:val="Prrafodelista"/>
        <w:spacing w:after="0" w:line="240" w:lineRule="auto"/>
        <w:jc w:val="both"/>
        <w:rPr>
          <w:rFonts w:ascii="Century Gothic" w:eastAsia="Century Gothic" w:hAnsi="Century Gothic" w:cs="Century Gothic"/>
        </w:rPr>
      </w:pPr>
    </w:p>
    <w:p w:rsidR="00CF6CFE" w:rsidRPr="00CF6CFE" w:rsidRDefault="00CF6CFE" w:rsidP="00CF6CFE">
      <w:pPr>
        <w:pStyle w:val="Prrafodelista"/>
        <w:spacing w:after="0" w:line="240" w:lineRule="auto"/>
        <w:jc w:val="both"/>
        <w:rPr>
          <w:rFonts w:ascii="Arial" w:hAnsi="Arial" w:cs="Arial"/>
          <w:b/>
        </w:rPr>
      </w:pPr>
      <w:r w:rsidRPr="00CF6CFE">
        <w:rPr>
          <w:rFonts w:ascii="Arial" w:hAnsi="Arial" w:cs="Arial"/>
          <w:b/>
        </w:rPr>
        <w:t xml:space="preserve">Según respuesta de las observaciones Fecha Publicación: 27 de febrero del 2018 el ítem 285 seria modificado, el cual en el momento se encuentra en blanco tal como se verificar en la siguiente imagen. </w:t>
      </w:r>
    </w:p>
    <w:p w:rsidR="00CF6CFE" w:rsidRPr="00CF6CFE" w:rsidRDefault="00CF6CFE" w:rsidP="00CF6CFE">
      <w:pPr>
        <w:pStyle w:val="Prrafodelista"/>
        <w:spacing w:after="0" w:line="240" w:lineRule="auto"/>
        <w:jc w:val="both"/>
        <w:rPr>
          <w:rFonts w:ascii="Century Gothic" w:eastAsia="Century Gothic" w:hAnsi="Century Gothic" w:cs="Century Gothic"/>
        </w:rPr>
      </w:pPr>
    </w:p>
    <w:p w:rsidR="00CF6CFE" w:rsidRPr="00CF6CFE" w:rsidRDefault="00CF6CFE" w:rsidP="00CF6CFE">
      <w:pPr>
        <w:pStyle w:val="Prrafodelista"/>
        <w:spacing w:after="0" w:line="240" w:lineRule="auto"/>
        <w:jc w:val="both"/>
        <w:rPr>
          <w:rFonts w:ascii="Century Gothic" w:eastAsia="Century Gothic" w:hAnsi="Century Gothic" w:cs="Century Gothic"/>
        </w:rPr>
      </w:pPr>
    </w:p>
    <w:p w:rsidR="00CF6CFE" w:rsidRPr="00CF6CFE" w:rsidRDefault="00CF6CFE" w:rsidP="00CF6CFE">
      <w:pPr>
        <w:pStyle w:val="Prrafodelista"/>
        <w:numPr>
          <w:ilvl w:val="0"/>
          <w:numId w:val="2"/>
        </w:numPr>
        <w:rPr>
          <w:rFonts w:ascii="Century Gothic" w:eastAsia="Century Gothic" w:hAnsi="Century Gothic" w:cs="Century Gothic"/>
        </w:rPr>
      </w:pPr>
      <w:r>
        <w:rPr>
          <w:noProof/>
        </w:rPr>
        <w:lastRenderedPageBreak/>
        <w:drawing>
          <wp:inline distT="0" distB="0" distL="0" distR="0" wp14:anchorId="76298802" wp14:editId="3253BD06">
            <wp:extent cx="2849526" cy="1511614"/>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5648"/>
                    <a:stretch/>
                  </pic:blipFill>
                  <pic:spPr bwMode="auto">
                    <a:xfrm>
                      <a:off x="0" y="0"/>
                      <a:ext cx="2860640" cy="1517510"/>
                    </a:xfrm>
                    <a:prstGeom prst="rect">
                      <a:avLst/>
                    </a:prstGeom>
                    <a:ln>
                      <a:noFill/>
                    </a:ln>
                    <a:extLst>
                      <a:ext uri="{53640926-AAD7-44D8-BBD7-CCE9431645EC}">
                        <a14:shadowObscured xmlns:a14="http://schemas.microsoft.com/office/drawing/2010/main"/>
                      </a:ext>
                    </a:extLst>
                  </pic:spPr>
                </pic:pic>
              </a:graphicData>
            </a:graphic>
          </wp:inline>
        </w:drawing>
      </w:r>
    </w:p>
    <w:p w:rsidR="00AD0076" w:rsidRPr="00CF6CFE" w:rsidRDefault="00AD0076" w:rsidP="00CF6CFE">
      <w:pPr>
        <w:ind w:left="360"/>
        <w:rPr>
          <w:rFonts w:ascii="Century Gothic" w:hAnsi="Century Gothic"/>
          <w:sz w:val="24"/>
          <w:szCs w:val="24"/>
        </w:rPr>
      </w:pPr>
    </w:p>
    <w:p w:rsidR="00675670" w:rsidRPr="00675670" w:rsidRDefault="00CF6CFE" w:rsidP="00675670">
      <w:pPr>
        <w:pStyle w:val="Sinespaciado"/>
        <w:jc w:val="both"/>
        <w:rPr>
          <w:rFonts w:ascii="Century Gothic" w:hAnsi="Century Gothic" w:cs="Arial"/>
          <w:sz w:val="24"/>
          <w:szCs w:val="24"/>
        </w:rPr>
      </w:pPr>
      <w:r w:rsidRPr="00CF6CFE">
        <w:rPr>
          <w:rFonts w:ascii="Century Gothic" w:hAnsi="Century Gothic" w:cs="Arial"/>
          <w:b/>
          <w:sz w:val="24"/>
          <w:szCs w:val="24"/>
        </w:rPr>
        <w:t>RESPUESTA:</w:t>
      </w:r>
      <w:r>
        <w:rPr>
          <w:rFonts w:ascii="Century Gothic" w:hAnsi="Century Gothic" w:cs="Arial"/>
          <w:sz w:val="24"/>
          <w:szCs w:val="24"/>
        </w:rPr>
        <w:t xml:space="preserve"> </w:t>
      </w:r>
      <w:r w:rsidR="00675670" w:rsidRPr="00675670">
        <w:rPr>
          <w:rFonts w:ascii="Century Gothic" w:hAnsi="Century Gothic" w:cs="Arial"/>
          <w:sz w:val="24"/>
          <w:szCs w:val="24"/>
        </w:rPr>
        <w:t xml:space="preserve">En las respuestas dadas por la Universidad a través de  la adenda publicada se respondió a la pregunta referente al subítem  238, donde se nos manifestaba que el producto solicitado estaba descontinuado. Por ello se consultaba si correspondía al producto DR1108A Látex Salmonella x 100 pruebas. La Universidad en el anexo 1 corregido modifico y quedo  el producto DR1108A. En la misma adenda se preguntó por el subítem 285. El cual correspondía al mismo producto DR1108, para evitar duplicidad se eliminó el nombre del producto, sin eliminar las celdas para evitar que se nos afecte la numeración interna del anexo. Por tal razón no hay un error, simplemente el subítem 285 queda en blanco para evitar tener productos repetidos. </w:t>
      </w:r>
    </w:p>
    <w:p w:rsidR="00675670" w:rsidRDefault="00675670" w:rsidP="00675670">
      <w:pPr>
        <w:pStyle w:val="Prrafodelista"/>
        <w:jc w:val="both"/>
        <w:rPr>
          <w:rFonts w:ascii="Century Gothic" w:hAnsi="Century Gothic"/>
          <w:sz w:val="24"/>
          <w:szCs w:val="24"/>
        </w:rPr>
      </w:pPr>
    </w:p>
    <w:p w:rsidR="00675670" w:rsidRPr="00AD0076" w:rsidRDefault="00675670" w:rsidP="00AD0076">
      <w:pPr>
        <w:pStyle w:val="Prrafodelista"/>
        <w:numPr>
          <w:ilvl w:val="0"/>
          <w:numId w:val="4"/>
        </w:numPr>
        <w:spacing w:line="240" w:lineRule="auto"/>
        <w:rPr>
          <w:rFonts w:ascii="Century Gothic" w:eastAsia="Century Gothic" w:hAnsi="Century Gothic" w:cs="Century Gothic"/>
          <w:b/>
          <w:sz w:val="24"/>
          <w:szCs w:val="24"/>
        </w:rPr>
      </w:pPr>
      <w:r w:rsidRPr="00AD0076">
        <w:rPr>
          <w:rFonts w:ascii="Century Gothic" w:eastAsia="Century Gothic" w:hAnsi="Century Gothic" w:cs="Century Gothic"/>
          <w:b/>
          <w:sz w:val="24"/>
          <w:szCs w:val="24"/>
        </w:rPr>
        <w:t>ITEM 193</w:t>
      </w:r>
      <w:r w:rsidRPr="00AD0076">
        <w:rPr>
          <w:rFonts w:ascii="Century Gothic" w:eastAsia="Century Gothic" w:hAnsi="Century Gothic" w:cs="Century Gothic"/>
          <w:sz w:val="24"/>
          <w:szCs w:val="24"/>
        </w:rPr>
        <w:t xml:space="preserve">: se aceptó la marca </w:t>
      </w:r>
      <w:r w:rsidRPr="00AD0076">
        <w:rPr>
          <w:rFonts w:ascii="Century Gothic" w:eastAsia="Century Gothic" w:hAnsi="Century Gothic" w:cs="Century Gothic"/>
          <w:i/>
          <w:sz w:val="24"/>
          <w:szCs w:val="24"/>
        </w:rPr>
        <w:t>Sigma</w:t>
      </w:r>
      <w:r w:rsidRPr="00AD0076">
        <w:rPr>
          <w:rFonts w:ascii="Century Gothic" w:eastAsia="Century Gothic" w:hAnsi="Century Gothic" w:cs="Century Gothic"/>
          <w:b/>
          <w:sz w:val="24"/>
          <w:szCs w:val="24"/>
        </w:rPr>
        <w:t xml:space="preserve">-Aldrich, </w:t>
      </w:r>
      <w:r w:rsidRPr="00AD0076">
        <w:rPr>
          <w:rFonts w:ascii="Century Gothic" w:eastAsia="Century Gothic" w:hAnsi="Century Gothic" w:cs="Century Gothic"/>
          <w:sz w:val="24"/>
          <w:szCs w:val="24"/>
        </w:rPr>
        <w:t>por favor verificar ya que el producto no es un medio cromogénico tal como lo requiere el laboratorio</w:t>
      </w:r>
      <w:r w:rsidRPr="00AD0076">
        <w:rPr>
          <w:rFonts w:ascii="Century Gothic" w:eastAsia="Century Gothic" w:hAnsi="Century Gothic" w:cs="Century Gothic"/>
          <w:b/>
          <w:sz w:val="24"/>
          <w:szCs w:val="24"/>
        </w:rPr>
        <w:t xml:space="preserve"> </w:t>
      </w:r>
    </w:p>
    <w:p w:rsidR="00675670" w:rsidRPr="00675670" w:rsidRDefault="00675670" w:rsidP="00665141">
      <w:pPr>
        <w:jc w:val="both"/>
        <w:rPr>
          <w:rFonts w:ascii="Century Gothic" w:eastAsia="Century Gothic" w:hAnsi="Century Gothic" w:cs="Century Gothic"/>
          <w:sz w:val="24"/>
          <w:szCs w:val="24"/>
        </w:rPr>
      </w:pPr>
      <w:r w:rsidRPr="00675670">
        <w:rPr>
          <w:rFonts w:ascii="Century Gothic" w:eastAsia="Century Gothic" w:hAnsi="Century Gothic" w:cs="Century Gothic"/>
          <w:b/>
          <w:sz w:val="24"/>
          <w:szCs w:val="24"/>
          <w:u w:val="single"/>
        </w:rPr>
        <w:t>RESPUESTA:</w:t>
      </w:r>
      <w:r w:rsidRPr="00675670">
        <w:rPr>
          <w:rFonts w:ascii="Century Gothic" w:eastAsia="Century Gothic" w:hAnsi="Century Gothic" w:cs="Century Gothic"/>
          <w:sz w:val="24"/>
          <w:szCs w:val="24"/>
        </w:rPr>
        <w:t xml:space="preserve"> La Universidad acepto la marca Sigma-Aldrich, pero sin aceptar una referencia específica. Por tal razón las Empresas que coticen este o cualquier  producto de la Convocatoria Publica deben cumplir con las especificaciones técnicas allí detalladas.</w:t>
      </w:r>
      <w:r w:rsidR="00665141">
        <w:rPr>
          <w:rFonts w:ascii="Century Gothic" w:eastAsia="Century Gothic" w:hAnsi="Century Gothic" w:cs="Century Gothic"/>
          <w:sz w:val="24"/>
          <w:szCs w:val="24"/>
        </w:rPr>
        <w:t xml:space="preserve"> Para el caso concreto del Subítem 193 se hace la salvedad que se requiere un agar cromogénico.</w:t>
      </w:r>
    </w:p>
    <w:p w:rsidR="00675670" w:rsidRDefault="00675670">
      <w:pPr>
        <w:rPr>
          <w:rFonts w:ascii="Century Gothic" w:hAnsi="Century Gothic"/>
          <w:sz w:val="24"/>
          <w:szCs w:val="24"/>
        </w:rPr>
      </w:pPr>
    </w:p>
    <w:p w:rsidR="003D7985" w:rsidRPr="00ED00EA" w:rsidRDefault="003D7985" w:rsidP="003D7985">
      <w:pPr>
        <w:tabs>
          <w:tab w:val="left" w:pos="720"/>
        </w:tabs>
        <w:jc w:val="both"/>
        <w:rPr>
          <w:rFonts w:ascii="Century Gothic" w:eastAsia="Century Gothic" w:hAnsi="Century Gothic" w:cs="Century Gothic"/>
        </w:rPr>
      </w:pPr>
      <w:r w:rsidRPr="00ED00EA">
        <w:rPr>
          <w:rFonts w:ascii="Century Gothic" w:eastAsia="Century Gothic" w:hAnsi="Century Gothic" w:cs="Century Gothic"/>
          <w:b/>
        </w:rPr>
        <w:t>Para recordar:</w:t>
      </w:r>
    </w:p>
    <w:p w:rsidR="003D7985" w:rsidRPr="00ED00EA" w:rsidRDefault="003D7985" w:rsidP="003D7985">
      <w:pPr>
        <w:numPr>
          <w:ilvl w:val="0"/>
          <w:numId w:val="5"/>
        </w:numPr>
        <w:pBdr>
          <w:top w:val="nil"/>
          <w:left w:val="nil"/>
          <w:bottom w:val="nil"/>
          <w:right w:val="nil"/>
          <w:between w:val="nil"/>
        </w:pBdr>
        <w:tabs>
          <w:tab w:val="left" w:pos="720"/>
        </w:tabs>
        <w:spacing w:after="0" w:line="240" w:lineRule="auto"/>
        <w:ind w:hanging="360"/>
        <w:jc w:val="both"/>
        <w:rPr>
          <w:rFonts w:ascii="Century Gothic" w:hAnsi="Century Gothic"/>
        </w:rPr>
      </w:pPr>
      <w:r w:rsidRPr="00ED00EA">
        <w:rPr>
          <w:rFonts w:ascii="Century Gothic" w:eastAsia="Century Gothic" w:hAnsi="Century Gothic" w:cs="Century Gothic"/>
        </w:rPr>
        <w:t>Se recomienda a los participantes, ser muy cuidadosos con la presentación de todos los documentos exigidos y demás condiciones de la Convocatoria.</w:t>
      </w:r>
    </w:p>
    <w:p w:rsidR="003D7985" w:rsidRPr="00ED00EA" w:rsidRDefault="003D7985" w:rsidP="003D7985">
      <w:pPr>
        <w:numPr>
          <w:ilvl w:val="0"/>
          <w:numId w:val="5"/>
        </w:numPr>
        <w:pBdr>
          <w:top w:val="nil"/>
          <w:left w:val="nil"/>
          <w:bottom w:val="nil"/>
          <w:right w:val="nil"/>
          <w:between w:val="nil"/>
        </w:pBdr>
        <w:tabs>
          <w:tab w:val="left" w:pos="720"/>
        </w:tabs>
        <w:spacing w:after="0" w:line="240" w:lineRule="auto"/>
        <w:ind w:hanging="360"/>
        <w:jc w:val="both"/>
        <w:rPr>
          <w:rFonts w:ascii="Century Gothic" w:hAnsi="Century Gothic"/>
        </w:rPr>
      </w:pPr>
      <w:r w:rsidRPr="00ED00EA">
        <w:rPr>
          <w:rFonts w:ascii="Century Gothic" w:eastAsia="Century Gothic" w:hAnsi="Century Gothic" w:cs="Century Gothic"/>
        </w:rPr>
        <w:lastRenderedPageBreak/>
        <w:t xml:space="preserve">Deben ser puntuales con el cronograma propuesto. </w:t>
      </w:r>
    </w:p>
    <w:p w:rsidR="003D7985" w:rsidRPr="00ED00EA" w:rsidRDefault="003D7985" w:rsidP="003D7985">
      <w:pPr>
        <w:numPr>
          <w:ilvl w:val="0"/>
          <w:numId w:val="5"/>
        </w:numPr>
        <w:pBdr>
          <w:top w:val="nil"/>
          <w:left w:val="nil"/>
          <w:bottom w:val="nil"/>
          <w:right w:val="nil"/>
          <w:between w:val="nil"/>
        </w:pBdr>
        <w:tabs>
          <w:tab w:val="left" w:pos="720"/>
        </w:tabs>
        <w:spacing w:after="0" w:line="240" w:lineRule="auto"/>
        <w:ind w:hanging="360"/>
        <w:jc w:val="both"/>
        <w:rPr>
          <w:rFonts w:ascii="Century Gothic" w:hAnsi="Century Gothic"/>
        </w:rPr>
      </w:pPr>
      <w:r w:rsidRPr="00ED00EA">
        <w:rPr>
          <w:rFonts w:ascii="Century Gothic" w:eastAsia="Century Gothic" w:hAnsi="Century Gothic" w:cs="Century Gothic"/>
        </w:rPr>
        <w:t xml:space="preserve">Se recomienda leer detenidamente el contenido total de la Invitación a cotizar, cuyas cláusulas son de estricto cumplimiento,  así como el contenido de las </w:t>
      </w:r>
      <w:r w:rsidRPr="00ED00EA">
        <w:rPr>
          <w:rFonts w:ascii="Century Gothic" w:eastAsia="Century Gothic" w:hAnsi="Century Gothic" w:cs="Century Gothic"/>
          <w:b/>
        </w:rPr>
        <w:t>ADENDAS</w:t>
      </w:r>
      <w:r w:rsidRPr="00ED00EA">
        <w:rPr>
          <w:rFonts w:ascii="Century Gothic" w:eastAsia="Century Gothic" w:hAnsi="Century Gothic" w:cs="Century Gothic"/>
        </w:rPr>
        <w:t xml:space="preserve">.  </w:t>
      </w:r>
    </w:p>
    <w:p w:rsidR="003D7985" w:rsidRPr="00ED00EA" w:rsidRDefault="003D7985" w:rsidP="003D7985">
      <w:pPr>
        <w:numPr>
          <w:ilvl w:val="0"/>
          <w:numId w:val="5"/>
        </w:numPr>
        <w:pBdr>
          <w:top w:val="nil"/>
          <w:left w:val="nil"/>
          <w:bottom w:val="nil"/>
          <w:right w:val="nil"/>
          <w:between w:val="nil"/>
        </w:pBdr>
        <w:tabs>
          <w:tab w:val="left" w:pos="720"/>
        </w:tabs>
        <w:spacing w:after="0" w:line="240" w:lineRule="auto"/>
        <w:ind w:hanging="360"/>
        <w:jc w:val="both"/>
        <w:rPr>
          <w:rFonts w:ascii="Century Gothic" w:hAnsi="Century Gothic"/>
        </w:rPr>
      </w:pPr>
      <w:r w:rsidRPr="00ED00EA">
        <w:rPr>
          <w:rFonts w:ascii="Century Gothic" w:eastAsia="Century Gothic" w:hAnsi="Century Gothic" w:cs="Century Gothic"/>
        </w:rPr>
        <w:t>Para efectos de presentar la oferta, se requiere:   consultar todas las respuestas de la</w:t>
      </w:r>
      <w:r w:rsidR="008631F1">
        <w:rPr>
          <w:rFonts w:ascii="Century Gothic" w:eastAsia="Century Gothic" w:hAnsi="Century Gothic" w:cs="Century Gothic"/>
        </w:rPr>
        <w:t>s</w:t>
      </w:r>
      <w:r w:rsidRPr="00ED00EA">
        <w:rPr>
          <w:rFonts w:ascii="Century Gothic" w:eastAsia="Century Gothic" w:hAnsi="Century Gothic" w:cs="Century Gothic"/>
        </w:rPr>
        <w:t xml:space="preserve"> Adenda</w:t>
      </w:r>
      <w:r w:rsidR="008631F1">
        <w:rPr>
          <w:rFonts w:ascii="Century Gothic" w:eastAsia="Century Gothic" w:hAnsi="Century Gothic" w:cs="Century Gothic"/>
        </w:rPr>
        <w:t>s</w:t>
      </w:r>
      <w:r w:rsidRPr="00ED00EA">
        <w:rPr>
          <w:rFonts w:ascii="Century Gothic" w:eastAsia="Century Gothic" w:hAnsi="Century Gothic" w:cs="Century Gothic"/>
        </w:rPr>
        <w:t>, la oferta económica debe presentarse en</w:t>
      </w:r>
      <w:r w:rsidRPr="00ED00EA">
        <w:rPr>
          <w:rFonts w:ascii="Century Gothic" w:eastAsia="Century Gothic" w:hAnsi="Century Gothic" w:cs="Century Gothic"/>
          <w:b/>
        </w:rPr>
        <w:t xml:space="preserve"> </w:t>
      </w:r>
      <w:r w:rsidRPr="00ED00EA">
        <w:rPr>
          <w:rFonts w:ascii="Century Gothic" w:eastAsia="Century Gothic" w:hAnsi="Century Gothic" w:cs="Century Gothic"/>
        </w:rPr>
        <w:t>el</w:t>
      </w:r>
      <w:r w:rsidRPr="00ED00EA">
        <w:rPr>
          <w:rFonts w:ascii="Century Gothic" w:eastAsia="Century Gothic" w:hAnsi="Century Gothic" w:cs="Century Gothic"/>
          <w:b/>
        </w:rPr>
        <w:t xml:space="preserve"> Anexo 1 Modificado</w:t>
      </w:r>
      <w:r w:rsidRPr="00ED00EA">
        <w:rPr>
          <w:rFonts w:ascii="Century Gothic" w:eastAsia="Century Gothic" w:hAnsi="Century Gothic" w:cs="Century Gothic"/>
        </w:rPr>
        <w:t>.</w:t>
      </w:r>
    </w:p>
    <w:p w:rsidR="003D7985" w:rsidRPr="00ED00EA" w:rsidRDefault="003D7985" w:rsidP="003D7985">
      <w:pPr>
        <w:numPr>
          <w:ilvl w:val="0"/>
          <w:numId w:val="5"/>
        </w:numPr>
        <w:pBdr>
          <w:top w:val="nil"/>
          <w:left w:val="nil"/>
          <w:bottom w:val="nil"/>
          <w:right w:val="nil"/>
          <w:between w:val="nil"/>
        </w:pBdr>
        <w:tabs>
          <w:tab w:val="left" w:pos="720"/>
        </w:tabs>
        <w:spacing w:after="0" w:line="240" w:lineRule="auto"/>
        <w:ind w:hanging="360"/>
        <w:jc w:val="both"/>
        <w:rPr>
          <w:rFonts w:ascii="Century Gothic" w:hAnsi="Century Gothic"/>
        </w:rPr>
      </w:pPr>
      <w:r w:rsidRPr="00ED00EA">
        <w:rPr>
          <w:rFonts w:ascii="Century Gothic" w:eastAsia="Century Gothic" w:hAnsi="Century Gothic" w:cs="Century Gothic"/>
        </w:rPr>
        <w:t xml:space="preserve">Se recomienda además,  consultar permanentemente la Página Web de la Universidad, hasta el día </w:t>
      </w:r>
      <w:r w:rsidR="008631F1">
        <w:rPr>
          <w:rFonts w:ascii="Century Gothic" w:eastAsia="Century Gothic" w:hAnsi="Century Gothic" w:cs="Century Gothic"/>
        </w:rPr>
        <w:t>de cierre de la convocatoria</w:t>
      </w:r>
      <w:r w:rsidRPr="00ED00EA">
        <w:rPr>
          <w:rFonts w:ascii="Century Gothic" w:eastAsia="Century Gothic" w:hAnsi="Century Gothic" w:cs="Century Gothic"/>
        </w:rPr>
        <w:t xml:space="preserve"> a efecto de verificar cualquier información o modificación adicional.</w:t>
      </w:r>
    </w:p>
    <w:p w:rsidR="003D7985" w:rsidRPr="00ED00EA" w:rsidRDefault="003D7985" w:rsidP="003D7985">
      <w:pPr>
        <w:jc w:val="both"/>
        <w:rPr>
          <w:rFonts w:ascii="Century Gothic" w:eastAsia="Century Gothic" w:hAnsi="Century Gothic" w:cs="Century Gothic"/>
        </w:rPr>
      </w:pPr>
    </w:p>
    <w:p w:rsidR="001A7F68" w:rsidRPr="00675670" w:rsidRDefault="001A7F68">
      <w:pPr>
        <w:rPr>
          <w:rFonts w:ascii="Century Gothic" w:hAnsi="Century Gothic"/>
          <w:sz w:val="24"/>
          <w:szCs w:val="24"/>
        </w:rPr>
      </w:pPr>
    </w:p>
    <w:sectPr w:rsidR="001A7F68" w:rsidRPr="0067567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82E" w:rsidRDefault="0055282E" w:rsidP="005960E0">
      <w:pPr>
        <w:spacing w:after="0" w:line="240" w:lineRule="auto"/>
      </w:pPr>
      <w:r>
        <w:separator/>
      </w:r>
    </w:p>
  </w:endnote>
  <w:endnote w:type="continuationSeparator" w:id="0">
    <w:p w:rsidR="0055282E" w:rsidRDefault="0055282E" w:rsidP="0059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82E" w:rsidRDefault="0055282E" w:rsidP="005960E0">
      <w:pPr>
        <w:spacing w:after="0" w:line="240" w:lineRule="auto"/>
      </w:pPr>
      <w:r>
        <w:separator/>
      </w:r>
    </w:p>
  </w:footnote>
  <w:footnote w:type="continuationSeparator" w:id="0">
    <w:p w:rsidR="0055282E" w:rsidRDefault="0055282E" w:rsidP="0059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E0" w:rsidRDefault="005960E0" w:rsidP="005960E0">
    <w:pPr>
      <w:spacing w:after="0" w:line="240" w:lineRule="auto"/>
      <w:jc w:val="center"/>
    </w:pPr>
    <w:r>
      <w:rPr>
        <w:color w:val="222222"/>
      </w:rPr>
      <w:t>UNIVERSIDAD TECNOLÓGICA DE PEREIRA</w:t>
    </w:r>
  </w:p>
  <w:p w:rsidR="005960E0" w:rsidRDefault="005960E0" w:rsidP="005960E0">
    <w:pPr>
      <w:spacing w:after="0" w:line="240" w:lineRule="auto"/>
      <w:jc w:val="center"/>
    </w:pPr>
  </w:p>
  <w:p w:rsidR="005960E0" w:rsidRDefault="005960E0" w:rsidP="005960E0">
    <w:pPr>
      <w:spacing w:after="0" w:line="240" w:lineRule="auto"/>
      <w:jc w:val="center"/>
    </w:pPr>
    <w:r>
      <w:rPr>
        <w:color w:val="222222"/>
      </w:rPr>
      <w:t>CONVOCATORIA PÚBLICA 10 de 2018</w:t>
    </w:r>
  </w:p>
  <w:p w:rsidR="005960E0" w:rsidRDefault="004E0CE6" w:rsidP="005960E0">
    <w:pPr>
      <w:spacing w:after="0" w:line="240" w:lineRule="auto"/>
      <w:jc w:val="center"/>
    </w:pPr>
    <w:r>
      <w:rPr>
        <w:color w:val="222222"/>
      </w:rPr>
      <w:t xml:space="preserve">SUMINISTRO DE </w:t>
    </w:r>
    <w:r w:rsidR="005960E0">
      <w:rPr>
        <w:color w:val="222222"/>
      </w:rPr>
      <w:t>REACTIVOS, MATERIALES PARA LABORATORIO Y REPUESTOS PARA LOS LABORATORIOS DE LA UNIVERSI</w:t>
    </w:r>
    <w:r w:rsidR="00545BEA">
      <w:rPr>
        <w:color w:val="222222"/>
      </w:rPr>
      <w:t>D</w:t>
    </w:r>
    <w:r w:rsidR="005960E0">
      <w:rPr>
        <w:color w:val="222222"/>
      </w:rPr>
      <w:t xml:space="preserve">AD TECNOLÓGICA DE PEREIRA </w:t>
    </w:r>
  </w:p>
  <w:p w:rsidR="005960E0" w:rsidRDefault="005960E0" w:rsidP="005960E0">
    <w:pPr>
      <w:spacing w:after="0" w:line="240" w:lineRule="auto"/>
      <w:jc w:val="center"/>
    </w:pPr>
  </w:p>
  <w:p w:rsidR="005960E0" w:rsidRDefault="00246D28" w:rsidP="005960E0">
    <w:pPr>
      <w:spacing w:after="0" w:line="240" w:lineRule="auto"/>
      <w:jc w:val="center"/>
    </w:pPr>
    <w:r>
      <w:rPr>
        <w:color w:val="222222"/>
      </w:rPr>
      <w:t xml:space="preserve">ADENDA </w:t>
    </w:r>
    <w:r w:rsidR="002F144B">
      <w:rPr>
        <w:color w:val="222222"/>
      </w:rPr>
      <w:t>4</w:t>
    </w:r>
    <w:r>
      <w:rPr>
        <w:color w:val="222222"/>
      </w:rPr>
      <w:t xml:space="preserve"> – ACLARACIONES</w:t>
    </w:r>
  </w:p>
  <w:p w:rsidR="005960E0" w:rsidRDefault="005960E0">
    <w:pPr>
      <w:pStyle w:val="Encabezado"/>
    </w:pPr>
  </w:p>
  <w:p w:rsidR="005960E0" w:rsidRDefault="005960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04D"/>
    <w:multiLevelType w:val="multilevel"/>
    <w:tmpl w:val="D38AEBA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 w15:restartNumberingAfterBreak="0">
    <w:nsid w:val="35FD6595"/>
    <w:multiLevelType w:val="multilevel"/>
    <w:tmpl w:val="ACD62302"/>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1793A9F"/>
    <w:multiLevelType w:val="hybridMultilevel"/>
    <w:tmpl w:val="84C267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2006FD6"/>
    <w:multiLevelType w:val="hybridMultilevel"/>
    <w:tmpl w:val="65C6D86E"/>
    <w:lvl w:ilvl="0" w:tplc="64D842D6">
      <w:start w:val="5"/>
      <w:numFmt w:val="bullet"/>
      <w:lvlText w:val="-"/>
      <w:lvlJc w:val="left"/>
      <w:pPr>
        <w:ind w:left="720" w:hanging="360"/>
      </w:pPr>
      <w:rPr>
        <w:rFonts w:ascii="Century Gothic" w:eastAsia="Calibri"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8611E72"/>
    <w:multiLevelType w:val="hybridMultilevel"/>
    <w:tmpl w:val="898C25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E0"/>
    <w:rsid w:val="00134B02"/>
    <w:rsid w:val="001A7F68"/>
    <w:rsid w:val="00246D28"/>
    <w:rsid w:val="0028406D"/>
    <w:rsid w:val="002854F7"/>
    <w:rsid w:val="002F144B"/>
    <w:rsid w:val="00310D15"/>
    <w:rsid w:val="003D7985"/>
    <w:rsid w:val="004E0CE6"/>
    <w:rsid w:val="00510BAD"/>
    <w:rsid w:val="00545BEA"/>
    <w:rsid w:val="0055282E"/>
    <w:rsid w:val="005960E0"/>
    <w:rsid w:val="005B2421"/>
    <w:rsid w:val="005B5F60"/>
    <w:rsid w:val="005D70E4"/>
    <w:rsid w:val="00665141"/>
    <w:rsid w:val="00675670"/>
    <w:rsid w:val="0068252B"/>
    <w:rsid w:val="006B2349"/>
    <w:rsid w:val="006F19F0"/>
    <w:rsid w:val="008631F1"/>
    <w:rsid w:val="00946616"/>
    <w:rsid w:val="009F7B8C"/>
    <w:rsid w:val="00AB0DD4"/>
    <w:rsid w:val="00AD0076"/>
    <w:rsid w:val="00CF6CFE"/>
    <w:rsid w:val="00EA5E92"/>
    <w:rsid w:val="00EC0295"/>
    <w:rsid w:val="00ED60EB"/>
    <w:rsid w:val="00FB73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A690C-2B3E-4D4C-8426-5D370EFF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60E0"/>
    <w:pPr>
      <w:widowControl w:val="0"/>
    </w:pPr>
    <w:rPr>
      <w:rFonts w:ascii="Calibri" w:eastAsia="Calibri" w:hAnsi="Calibri" w:cs="Calibri"/>
      <w:color w:val="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60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60E0"/>
    <w:rPr>
      <w:rFonts w:ascii="Calibri" w:eastAsia="Calibri" w:hAnsi="Calibri" w:cs="Calibri"/>
      <w:color w:val="000000"/>
      <w:lang w:eastAsia="es-CO"/>
    </w:rPr>
  </w:style>
  <w:style w:type="paragraph" w:styleId="Piedepgina">
    <w:name w:val="footer"/>
    <w:basedOn w:val="Normal"/>
    <w:link w:val="PiedepginaCar"/>
    <w:uiPriority w:val="99"/>
    <w:unhideWhenUsed/>
    <w:rsid w:val="005960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60E0"/>
    <w:rPr>
      <w:rFonts w:ascii="Calibri" w:eastAsia="Calibri" w:hAnsi="Calibri" w:cs="Calibri"/>
      <w:color w:val="000000"/>
      <w:lang w:eastAsia="es-CO"/>
    </w:rPr>
  </w:style>
  <w:style w:type="paragraph" w:styleId="Prrafodelista">
    <w:name w:val="List Paragraph"/>
    <w:basedOn w:val="Normal"/>
    <w:uiPriority w:val="34"/>
    <w:qFormat/>
    <w:rsid w:val="00AB0DD4"/>
    <w:pPr>
      <w:ind w:left="720"/>
      <w:contextualSpacing/>
    </w:pPr>
  </w:style>
  <w:style w:type="paragraph" w:styleId="Textodeglobo">
    <w:name w:val="Balloon Text"/>
    <w:basedOn w:val="Normal"/>
    <w:link w:val="TextodegloboCar"/>
    <w:uiPriority w:val="99"/>
    <w:semiHidden/>
    <w:unhideWhenUsed/>
    <w:rsid w:val="00246D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D28"/>
    <w:rPr>
      <w:rFonts w:ascii="Segoe UI" w:eastAsia="Calibri" w:hAnsi="Segoe UI" w:cs="Segoe UI"/>
      <w:color w:val="000000"/>
      <w:sz w:val="18"/>
      <w:szCs w:val="18"/>
      <w:lang w:eastAsia="es-CO"/>
    </w:rPr>
  </w:style>
  <w:style w:type="paragraph" w:styleId="Sinespaciado">
    <w:name w:val="No Spacing"/>
    <w:uiPriority w:val="1"/>
    <w:qFormat/>
    <w:rsid w:val="00675670"/>
    <w:pPr>
      <w:spacing w:after="0" w:line="240" w:lineRule="auto"/>
    </w:pPr>
    <w:rPr>
      <w:rFonts w:ascii="Calibri" w:eastAsia="Times New Roman" w:hAnsi="Calibri"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8981">
      <w:bodyDiv w:val="1"/>
      <w:marLeft w:val="0"/>
      <w:marRight w:val="0"/>
      <w:marTop w:val="0"/>
      <w:marBottom w:val="0"/>
      <w:divBdr>
        <w:top w:val="none" w:sz="0" w:space="0" w:color="auto"/>
        <w:left w:val="none" w:sz="0" w:space="0" w:color="auto"/>
        <w:bottom w:val="none" w:sz="0" w:space="0" w:color="auto"/>
        <w:right w:val="none" w:sz="0" w:space="0" w:color="auto"/>
      </w:divBdr>
      <w:divsChild>
        <w:div w:id="1672636395">
          <w:marLeft w:val="0"/>
          <w:marRight w:val="0"/>
          <w:marTop w:val="0"/>
          <w:marBottom w:val="0"/>
          <w:divBdr>
            <w:top w:val="none" w:sz="0" w:space="0" w:color="auto"/>
            <w:left w:val="none" w:sz="0" w:space="0" w:color="auto"/>
            <w:bottom w:val="none" w:sz="0" w:space="0" w:color="auto"/>
            <w:right w:val="none" w:sz="0" w:space="0" w:color="auto"/>
          </w:divBdr>
        </w:div>
        <w:div w:id="1120146395">
          <w:marLeft w:val="0"/>
          <w:marRight w:val="0"/>
          <w:marTop w:val="0"/>
          <w:marBottom w:val="0"/>
          <w:divBdr>
            <w:top w:val="none" w:sz="0" w:space="0" w:color="auto"/>
            <w:left w:val="none" w:sz="0" w:space="0" w:color="auto"/>
            <w:bottom w:val="none" w:sz="0" w:space="0" w:color="auto"/>
            <w:right w:val="none" w:sz="0" w:space="0" w:color="auto"/>
          </w:divBdr>
        </w:div>
        <w:div w:id="1341203510">
          <w:marLeft w:val="0"/>
          <w:marRight w:val="0"/>
          <w:marTop w:val="0"/>
          <w:marBottom w:val="0"/>
          <w:divBdr>
            <w:top w:val="none" w:sz="0" w:space="0" w:color="auto"/>
            <w:left w:val="none" w:sz="0" w:space="0" w:color="auto"/>
            <w:bottom w:val="none" w:sz="0" w:space="0" w:color="auto"/>
            <w:right w:val="none" w:sz="0" w:space="0" w:color="auto"/>
          </w:divBdr>
        </w:div>
        <w:div w:id="799810913">
          <w:marLeft w:val="0"/>
          <w:marRight w:val="0"/>
          <w:marTop w:val="0"/>
          <w:marBottom w:val="0"/>
          <w:divBdr>
            <w:top w:val="none" w:sz="0" w:space="0" w:color="auto"/>
            <w:left w:val="none" w:sz="0" w:space="0" w:color="auto"/>
            <w:bottom w:val="none" w:sz="0" w:space="0" w:color="auto"/>
            <w:right w:val="none" w:sz="0" w:space="0" w:color="auto"/>
          </w:divBdr>
        </w:div>
        <w:div w:id="1310092239">
          <w:marLeft w:val="0"/>
          <w:marRight w:val="0"/>
          <w:marTop w:val="0"/>
          <w:marBottom w:val="0"/>
          <w:divBdr>
            <w:top w:val="none" w:sz="0" w:space="0" w:color="auto"/>
            <w:left w:val="none" w:sz="0" w:space="0" w:color="auto"/>
            <w:bottom w:val="none" w:sz="0" w:space="0" w:color="auto"/>
            <w:right w:val="none" w:sz="0" w:space="0" w:color="auto"/>
          </w:divBdr>
          <w:divsChild>
            <w:div w:id="180051831">
              <w:marLeft w:val="0"/>
              <w:marRight w:val="0"/>
              <w:marTop w:val="0"/>
              <w:marBottom w:val="0"/>
              <w:divBdr>
                <w:top w:val="none" w:sz="0" w:space="0" w:color="auto"/>
                <w:left w:val="none" w:sz="0" w:space="0" w:color="auto"/>
                <w:bottom w:val="none" w:sz="0" w:space="0" w:color="auto"/>
                <w:right w:val="none" w:sz="0" w:space="0" w:color="auto"/>
              </w:divBdr>
            </w:div>
            <w:div w:id="18194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4450">
      <w:bodyDiv w:val="1"/>
      <w:marLeft w:val="0"/>
      <w:marRight w:val="0"/>
      <w:marTop w:val="0"/>
      <w:marBottom w:val="0"/>
      <w:divBdr>
        <w:top w:val="none" w:sz="0" w:space="0" w:color="auto"/>
        <w:left w:val="none" w:sz="0" w:space="0" w:color="auto"/>
        <w:bottom w:val="none" w:sz="0" w:space="0" w:color="auto"/>
        <w:right w:val="none" w:sz="0" w:space="0" w:color="auto"/>
      </w:divBdr>
      <w:divsChild>
        <w:div w:id="45489176">
          <w:marLeft w:val="0"/>
          <w:marRight w:val="0"/>
          <w:marTop w:val="0"/>
          <w:marBottom w:val="0"/>
          <w:divBdr>
            <w:top w:val="none" w:sz="0" w:space="0" w:color="auto"/>
            <w:left w:val="none" w:sz="0" w:space="0" w:color="auto"/>
            <w:bottom w:val="none" w:sz="0" w:space="0" w:color="auto"/>
            <w:right w:val="none" w:sz="0" w:space="0" w:color="auto"/>
          </w:divBdr>
        </w:div>
        <w:div w:id="118328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Nueva Aura Li</dc:creator>
  <cp:keywords/>
  <dc:description/>
  <cp:lastModifiedBy>La Nueva Aura Li</cp:lastModifiedBy>
  <cp:revision>3</cp:revision>
  <cp:lastPrinted>2018-02-20T13:09:00Z</cp:lastPrinted>
  <dcterms:created xsi:type="dcterms:W3CDTF">2018-03-05T22:44:00Z</dcterms:created>
  <dcterms:modified xsi:type="dcterms:W3CDTF">2018-03-05T22:49:00Z</dcterms:modified>
</cp:coreProperties>
</file>