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Con el fin de tener una mayor claridad para la entrega de las ofertas, la Universidad Tecnológica se permite aclarar y recordar: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proveedor debe entregar cada paquete de documentos (Jurídicos, financiero y técnico) debidamente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foliado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360" w:firstLine="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 Proveedor debe presentar la Oferta Económica en el Anexo1 Modificado (pdf). Además esta misma información debe entregarla en formato Excel en una memoria USB anexa a los documentos Técnicos. </w:t>
      </w:r>
    </w:p>
    <w:p w:rsidR="00000000" w:rsidDel="00000000" w:rsidP="00000000" w:rsidRDefault="00000000" w:rsidRPr="00000000" w14:paraId="00000005">
      <w:pPr>
        <w:ind w:left="567" w:firstLine="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memoria USB debe contener toda la información enviada en físico debidamente organizada por paquete: Documentos Jurídicos, Financieros y Técnicos.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 como lo entrega en físico, es decir cada documento escaneado por separado.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Ítem 1 subítems 112, 210, 212, 213, 214, 215, 220, 230, la Universidad solicita marc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 Axigen.  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cambia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marca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inicialmente solicitada ya que no es adecuada para las micropipetas existentes en el laboratorio. Ver Anexo 1 Modificado 2.</w:t>
      </w:r>
    </w:p>
    <w:p w:rsidR="00000000" w:rsidDel="00000000" w:rsidP="00000000" w:rsidRDefault="00000000" w:rsidRPr="00000000" w14:paraId="00000009">
      <w:pPr>
        <w:contextualSpacing w:val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PREGUNTA PROVEEDOR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RESPUESTAS A OBSERVACIONES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Solicitamos a la Universidad  de  manera  atenta y en pro de la pluralidad de oferentes nos argumenten la no aceptación de las marcas Axygen y Corning  sugeridas para los subitems (109,110,111,112,197,198,199,201,285,286,287,288,289,290,291,292,302) del grupo de Ciencias de la Salud, estos consumibles como  Puntas, Tubos, Frascos para Cultivo Celular y Frasco de Vidrio y demás plásticos, se han ofertado en invitaciones anteriores donde la respuesta a las observaciones han sido aceptadas ya que estas marcas cumplen con las especificaciones  técnicas requeridas.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 a lo anterior adjuntamos órdenes de compra donde se puede evidenciar los productos que han sido adjudicadas con las marcas que estamos solicitando se han incluidas en  este proceso. </w:t>
      </w:r>
    </w:p>
    <w:p w:rsidR="00000000" w:rsidDel="00000000" w:rsidP="00000000" w:rsidRDefault="00000000" w:rsidRPr="00000000" w14:paraId="00000011">
      <w:pPr>
        <w:ind w:left="1080" w:firstLine="30"/>
        <w:contextualSpacing w:val="0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Respuesta: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Se acepta la marca sugerida para los ítems 292, 285, 286, 287, 288, 289, 290, 291 y no se acepta la marca sugerida para los demás ítems, debido a que se han tenido inconvenientes en los procesos, con el uso de esta marca (CORNING).</w:t>
      </w:r>
    </w:p>
    <w:p w:rsidR="00000000" w:rsidDel="00000000" w:rsidP="00000000" w:rsidRDefault="00000000" w:rsidRPr="00000000" w14:paraId="00000012">
      <w:pPr>
        <w:ind w:left="1080" w:firstLine="0"/>
        <w:contextualSpacing w:val="0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Solicitamos a la Universidad permitir ofertar la marca Axygen para el Ítem 3 - Sub Ítem 25, esta marca cumple con las especificaciones técnicas requeridas. </w:t>
      </w:r>
    </w:p>
    <w:p w:rsidR="00000000" w:rsidDel="00000000" w:rsidP="00000000" w:rsidRDefault="00000000" w:rsidRPr="00000000" w14:paraId="00000014">
      <w:pPr>
        <w:ind w:left="1080" w:firstLine="0"/>
        <w:contextualSpacing w:val="0"/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Respuesta: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  <w:rtl w:val="0"/>
        </w:rPr>
        <w:t xml:space="preserve">Se acepta la marca propuesta</w:t>
      </w:r>
    </w:p>
    <w:p w:rsidR="00000000" w:rsidDel="00000000" w:rsidP="00000000" w:rsidRDefault="00000000" w:rsidRPr="00000000" w14:paraId="00000015">
      <w:pPr>
        <w:contextualSpacing w:val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Y ENTREGA</w:t>
      </w:r>
    </w:p>
    <w:p w:rsidR="00000000" w:rsidDel="00000000" w:rsidP="00000000" w:rsidRDefault="00000000" w:rsidRPr="00000000" w14:paraId="00000017">
      <w:pPr>
        <w:spacing w:after="28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Fecha de entrega de la oferta: 15 de marzo de 2018, hora 3:00 pm</w:t>
      </w:r>
    </w:p>
    <w:p w:rsidR="00000000" w:rsidDel="00000000" w:rsidP="00000000" w:rsidRDefault="00000000" w:rsidRPr="00000000" w14:paraId="00000019">
      <w:pPr>
        <w:spacing w:after="28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 sobre que contiene la propuesta, debe llevar la siguiente información:</w:t>
      </w:r>
    </w:p>
    <w:p w:rsidR="00000000" w:rsidDel="00000000" w:rsidP="00000000" w:rsidRDefault="00000000" w:rsidRPr="00000000" w14:paraId="0000001A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Señores</w:t>
      </w:r>
    </w:p>
    <w:p w:rsidR="00000000" w:rsidDel="00000000" w:rsidP="00000000" w:rsidRDefault="00000000" w:rsidRPr="00000000" w14:paraId="0000001B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UNIVERSIDAD TECNOLÓGICA DE PEREIRA</w:t>
      </w:r>
    </w:p>
    <w:p w:rsidR="00000000" w:rsidDel="00000000" w:rsidP="00000000" w:rsidRDefault="00000000" w:rsidRPr="00000000" w14:paraId="0000001C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Cra. 27 No 10-02 Barrio Álamos</w:t>
      </w:r>
    </w:p>
    <w:p w:rsidR="00000000" w:rsidDel="00000000" w:rsidP="00000000" w:rsidRDefault="00000000" w:rsidRPr="00000000" w14:paraId="0000001D">
      <w:pPr>
        <w:contextualSpacing w:val="0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DIVISIÓN FINANCIERA</w:t>
      </w:r>
    </w:p>
    <w:p w:rsidR="00000000" w:rsidDel="00000000" w:rsidP="00000000" w:rsidRDefault="00000000" w:rsidRPr="00000000" w14:paraId="0000001E">
      <w:pPr>
        <w:contextualSpacing w:val="0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COMPRA DE BIENES Y SUMINISTROS</w:t>
      </w:r>
    </w:p>
    <w:p w:rsidR="00000000" w:rsidDel="00000000" w:rsidP="00000000" w:rsidRDefault="00000000" w:rsidRPr="00000000" w14:paraId="0000001F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Edificio 1 Bloque A Piso 1</w:t>
      </w:r>
    </w:p>
    <w:p w:rsidR="00000000" w:rsidDel="00000000" w:rsidP="00000000" w:rsidRDefault="00000000" w:rsidRPr="00000000" w14:paraId="00000020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Nombre del proponente: XXXX</w:t>
      </w:r>
    </w:p>
    <w:p w:rsidR="00000000" w:rsidDel="00000000" w:rsidP="00000000" w:rsidRDefault="00000000" w:rsidRPr="00000000" w14:paraId="00000021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Domicilio y teléfono: XXXXXXX</w:t>
      </w:r>
    </w:p>
    <w:p w:rsidR="00000000" w:rsidDel="00000000" w:rsidP="00000000" w:rsidRDefault="00000000" w:rsidRPr="00000000" w14:paraId="00000022">
      <w:pPr>
        <w:spacing w:line="276" w:lineRule="auto"/>
        <w:contextualSpacing w:val="0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CONVOCATORIA PÚBLICA No. 09 DE 2018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COMPRA DE REACTIVOS Y MATERIALES DE LABORATORIO – RECURSOS DEL SISTEMA GENERAL DE REGALÍAS DEL DEPARTAMENTO DE RISARALDA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”</w:t>
      </w:r>
    </w:p>
    <w:p w:rsidR="00000000" w:rsidDel="00000000" w:rsidP="00000000" w:rsidRDefault="00000000" w:rsidRPr="00000000" w14:paraId="00000023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"/>
        </w:tabs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Para recordar: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line="240" w:lineRule="auto"/>
        <w:ind w:left="1428" w:hanging="360"/>
        <w:contextualSpacing w:val="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 recomienda a los participantes, ser muy cuidadosos con la presentación de todos los documentos exigidos y demás condiciones de la Convocatoria.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line="240" w:lineRule="auto"/>
        <w:ind w:left="1428" w:hanging="360"/>
        <w:contextualSpacing w:val="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Deben ser puntuales con el cronograma propuesto.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line="240" w:lineRule="auto"/>
        <w:ind w:left="1428" w:hanging="360"/>
        <w:contextualSpacing w:val="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 recomienda leer detenidamente el contenido total de la Invitación a cotizar, cuyas cláusulas son de estricto cumplimiento,  así como el contenido de las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ADENDAS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line="240" w:lineRule="auto"/>
        <w:ind w:left="1428" w:hanging="360"/>
        <w:contextualSpacing w:val="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Para efectos de presentar la oferta, se requiere:   consultar todas las respuestas de la Adenda, la oferta económica debe presentarse en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Anexo 1 Modificado 2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que se publican con la presente Adenda.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line="240" w:lineRule="auto"/>
        <w:ind w:left="1428" w:hanging="360"/>
        <w:contextualSpacing w:val="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 recomienda además,  consultar permanentemente la Página Web de la Universidad, hasta el día de la Invitación a cotizar a efecto de verificar cualquier información o modificación adicional.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after="0" w:line="240" w:lineRule="auto"/>
      <w:contextualSpacing w:val="0"/>
      <w:jc w:val="center"/>
      <w:rPr/>
    </w:pPr>
    <w:r w:rsidDel="00000000" w:rsidR="00000000" w:rsidRPr="00000000">
      <w:rPr>
        <w:color w:val="222222"/>
        <w:rtl w:val="0"/>
      </w:rPr>
      <w:t xml:space="preserve">UNIVERSIDAD TECNOLÓGICA DE PEREIRA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40" w:lineRule="auto"/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contextualSpacing w:val="0"/>
      <w:jc w:val="center"/>
      <w:rPr/>
    </w:pPr>
    <w:r w:rsidDel="00000000" w:rsidR="00000000" w:rsidRPr="00000000">
      <w:rPr>
        <w:color w:val="222222"/>
        <w:rtl w:val="0"/>
      </w:rPr>
      <w:t xml:space="preserve">CONVOCATORIA PÚBLICA 09 de 2018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="240" w:lineRule="auto"/>
      <w:contextualSpacing w:val="0"/>
      <w:jc w:val="center"/>
      <w:rPr/>
    </w:pPr>
    <w:r w:rsidDel="00000000" w:rsidR="00000000" w:rsidRPr="00000000">
      <w:rPr>
        <w:color w:val="222222"/>
        <w:rtl w:val="0"/>
      </w:rPr>
      <w:t xml:space="preserve">COMPRA DE REACTIVOS, MATERIALES PARA LABORATORIO Y REPUESTOS PARA LABORATORIOS  - SISTEMA GENERAL DE REGALÍAS DEL DEPARTAMENTO DE RISARALDA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240" w:lineRule="auto"/>
      <w:contextualSpacing w:val="0"/>
      <w:jc w:val="center"/>
      <w:rPr/>
    </w:pPr>
    <w:r w:rsidDel="00000000" w:rsidR="00000000" w:rsidRPr="00000000">
      <w:rPr>
        <w:color w:val="222222"/>
        <w:rtl w:val="0"/>
      </w:rPr>
      <w:t xml:space="preserve">ADENDA 3 – ACLARACIONES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firstLine="1068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cs="Arial" w:eastAsia="Arial" w:hAnsi="Arial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-CO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