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408" w:rsidRPr="007620F1" w:rsidRDefault="00B37408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B37408" w:rsidRPr="007620F1" w:rsidRDefault="00D30BDB">
      <w:pPr>
        <w:widowControl/>
        <w:numPr>
          <w:ilvl w:val="0"/>
          <w:numId w:val="1"/>
        </w:numPr>
        <w:spacing w:before="100" w:after="100" w:line="240" w:lineRule="auto"/>
        <w:jc w:val="both"/>
        <w:rPr>
          <w:rFonts w:asciiTheme="majorHAnsi" w:hAnsiTheme="majorHAnsi"/>
          <w:sz w:val="20"/>
          <w:szCs w:val="20"/>
        </w:rPr>
      </w:pPr>
      <w:bookmarkStart w:id="0" w:name="_gjdgxs" w:colFirst="0" w:colLast="0"/>
      <w:bookmarkEnd w:id="0"/>
      <w:r w:rsidRPr="007620F1">
        <w:rPr>
          <w:rFonts w:asciiTheme="majorHAnsi" w:hAnsiTheme="majorHAnsi"/>
          <w:sz w:val="20"/>
          <w:szCs w:val="20"/>
        </w:rPr>
        <w:t xml:space="preserve">Con el ánimo de presentar una propuesta adecuada, dentro de la cual se pueda contemplar de forma cierta y exacta los valores referentes a impuestos de orden territorial aplicables, comedidamente solicito a la Entidad tenga a bien informar cuáles son, y </w:t>
      </w:r>
      <w:r w:rsidRPr="007620F1">
        <w:rPr>
          <w:rFonts w:asciiTheme="majorHAnsi" w:hAnsiTheme="majorHAnsi"/>
          <w:sz w:val="20"/>
          <w:szCs w:val="20"/>
        </w:rPr>
        <w:t>cuál</w:t>
      </w:r>
      <w:r w:rsidRPr="007620F1">
        <w:rPr>
          <w:rFonts w:asciiTheme="majorHAnsi" w:hAnsiTheme="majorHAnsi"/>
          <w:sz w:val="20"/>
          <w:szCs w:val="20"/>
        </w:rPr>
        <w:t xml:space="preserve"> su valor de las estampillas de orden departamental y / o municipal, con las que se </w:t>
      </w:r>
      <w:r w:rsidRPr="007620F1">
        <w:rPr>
          <w:rFonts w:asciiTheme="majorHAnsi" w:hAnsiTheme="majorHAnsi"/>
          <w:sz w:val="20"/>
          <w:szCs w:val="20"/>
        </w:rPr>
        <w:t>grabará</w:t>
      </w:r>
      <w:r w:rsidRPr="007620F1">
        <w:rPr>
          <w:rFonts w:asciiTheme="majorHAnsi" w:hAnsiTheme="majorHAnsi"/>
          <w:sz w:val="20"/>
          <w:szCs w:val="20"/>
        </w:rPr>
        <w:t xml:space="preserve"> en el futuro contrato.</w:t>
      </w:r>
    </w:p>
    <w:p w:rsidR="00B37408" w:rsidRPr="007620F1" w:rsidRDefault="00D30BDB">
      <w:pPr>
        <w:widowControl/>
        <w:spacing w:before="100" w:after="100" w:line="240" w:lineRule="auto"/>
        <w:ind w:left="567"/>
        <w:jc w:val="both"/>
        <w:rPr>
          <w:rFonts w:asciiTheme="majorHAnsi" w:hAnsiTheme="majorHAnsi"/>
          <w:b/>
          <w:sz w:val="20"/>
          <w:szCs w:val="20"/>
        </w:rPr>
      </w:pPr>
      <w:r w:rsidRPr="007620F1">
        <w:rPr>
          <w:rFonts w:asciiTheme="majorHAnsi" w:hAnsiTheme="majorHAnsi"/>
          <w:b/>
          <w:sz w:val="20"/>
          <w:szCs w:val="20"/>
        </w:rPr>
        <w:t>RESPUESTA: La Universidad no tiene cobro por estampillas.</w:t>
      </w:r>
    </w:p>
    <w:p w:rsidR="00B37408" w:rsidRPr="007620F1" w:rsidRDefault="00B37408">
      <w:pPr>
        <w:widowControl/>
        <w:spacing w:before="100" w:after="10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</w:p>
    <w:p w:rsidR="00B37408" w:rsidRPr="007620F1" w:rsidRDefault="00D30BDB">
      <w:pPr>
        <w:widowControl/>
        <w:spacing w:before="100" w:after="10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r w:rsidRPr="007620F1">
        <w:rPr>
          <w:rFonts w:asciiTheme="majorHAnsi" w:hAnsiTheme="majorHAnsi"/>
          <w:b/>
          <w:sz w:val="20"/>
          <w:szCs w:val="20"/>
        </w:rPr>
        <w:t xml:space="preserve">2.       </w:t>
      </w:r>
      <w:r w:rsidRPr="007620F1">
        <w:rPr>
          <w:rFonts w:asciiTheme="majorHAnsi" w:hAnsiTheme="majorHAnsi"/>
          <w:sz w:val="20"/>
          <w:szCs w:val="20"/>
        </w:rPr>
        <w:t xml:space="preserve">Se solicita a la entidad NO exigir  a los proponentes el certificado </w:t>
      </w:r>
      <w:r w:rsidRPr="007620F1">
        <w:rPr>
          <w:rFonts w:asciiTheme="majorHAnsi" w:hAnsiTheme="majorHAnsi"/>
          <w:sz w:val="20"/>
          <w:szCs w:val="20"/>
        </w:rPr>
        <w:t>de distribuidor autorizado por el fabricante de la marca NUUO como REQUISITO HABILITANTE ya que esto cierra el proceso a un número limitado de proponentes en el cual no tendrá una pluralidad de oferentes y las opciones de que la entidad no encuentre la mej</w:t>
      </w:r>
      <w:r w:rsidRPr="007620F1">
        <w:rPr>
          <w:rFonts w:asciiTheme="majorHAnsi" w:hAnsiTheme="majorHAnsi"/>
          <w:sz w:val="20"/>
          <w:szCs w:val="20"/>
        </w:rPr>
        <w:t>or opción en cuanto a valor menor. Si la entidad desea tener un respaldo de que los equipos suministrados son de buena calidad se puede presentar una documento de Calidad y correcto funcionamiento de los equipos a suministrar firmado por el representante l</w:t>
      </w:r>
      <w:r w:rsidRPr="007620F1">
        <w:rPr>
          <w:rFonts w:asciiTheme="majorHAnsi" w:hAnsiTheme="majorHAnsi"/>
          <w:sz w:val="20"/>
          <w:szCs w:val="20"/>
        </w:rPr>
        <w:t>egal.</w:t>
      </w:r>
    </w:p>
    <w:p w:rsidR="00B37408" w:rsidRPr="007620F1" w:rsidRDefault="00B37408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B37408" w:rsidRPr="007620F1" w:rsidRDefault="00D30BDB">
      <w:pPr>
        <w:widowControl/>
        <w:spacing w:before="100" w:after="100" w:line="240" w:lineRule="auto"/>
        <w:ind w:left="567"/>
        <w:jc w:val="both"/>
        <w:rPr>
          <w:rFonts w:asciiTheme="majorHAnsi" w:hAnsiTheme="majorHAnsi"/>
          <w:b/>
          <w:sz w:val="20"/>
          <w:szCs w:val="20"/>
        </w:rPr>
      </w:pPr>
      <w:r w:rsidRPr="007620F1">
        <w:rPr>
          <w:rFonts w:asciiTheme="majorHAnsi" w:hAnsiTheme="majorHAnsi"/>
          <w:b/>
          <w:sz w:val="20"/>
          <w:szCs w:val="20"/>
        </w:rPr>
        <w:t xml:space="preserve">RESPUESTA: </w:t>
      </w:r>
    </w:p>
    <w:p w:rsidR="00B37408" w:rsidRPr="007620F1" w:rsidRDefault="00D30BDB">
      <w:pPr>
        <w:widowControl/>
        <w:spacing w:before="100" w:after="100" w:line="240" w:lineRule="auto"/>
        <w:ind w:left="567"/>
        <w:jc w:val="both"/>
        <w:rPr>
          <w:rFonts w:asciiTheme="majorHAnsi" w:hAnsiTheme="majorHAnsi"/>
          <w:b/>
          <w:sz w:val="20"/>
          <w:szCs w:val="20"/>
        </w:rPr>
      </w:pPr>
      <w:r w:rsidRPr="007620F1">
        <w:rPr>
          <w:rFonts w:asciiTheme="majorHAnsi" w:hAnsiTheme="majorHAnsi"/>
          <w:b/>
          <w:sz w:val="20"/>
          <w:szCs w:val="20"/>
        </w:rPr>
        <w:t>La Universidad re</w:t>
      </w:r>
      <w:r w:rsidRPr="007620F1">
        <w:rPr>
          <w:rFonts w:asciiTheme="majorHAnsi" w:hAnsiTheme="majorHAnsi"/>
          <w:b/>
          <w:sz w:val="20"/>
          <w:szCs w:val="20"/>
        </w:rPr>
        <w:t xml:space="preserve">quiere tener respaldo del fabricante para contar con servicios post-venta y además estar seguros que la empresa o persona natural que suministre los equipos cuenta con todo el </w:t>
      </w:r>
      <w:r w:rsidRPr="007620F1">
        <w:rPr>
          <w:rFonts w:asciiTheme="majorHAnsi" w:hAnsiTheme="majorHAnsi"/>
          <w:b/>
          <w:sz w:val="20"/>
          <w:szCs w:val="20"/>
        </w:rPr>
        <w:t>apoyo</w:t>
      </w:r>
      <w:r w:rsidRPr="007620F1">
        <w:rPr>
          <w:rFonts w:asciiTheme="majorHAnsi" w:hAnsiTheme="majorHAnsi"/>
          <w:b/>
          <w:sz w:val="20"/>
          <w:szCs w:val="20"/>
        </w:rPr>
        <w:t xml:space="preserve"> del fabricante. </w:t>
      </w:r>
    </w:p>
    <w:p w:rsidR="00B37408" w:rsidRPr="007620F1" w:rsidRDefault="00D30BDB">
      <w:pPr>
        <w:widowControl/>
        <w:spacing w:before="100" w:after="100" w:line="240" w:lineRule="auto"/>
        <w:ind w:left="567"/>
        <w:jc w:val="both"/>
        <w:rPr>
          <w:rFonts w:asciiTheme="majorHAnsi" w:hAnsiTheme="majorHAnsi"/>
          <w:b/>
          <w:sz w:val="20"/>
          <w:szCs w:val="20"/>
        </w:rPr>
      </w:pPr>
      <w:r w:rsidRPr="007620F1">
        <w:rPr>
          <w:rFonts w:asciiTheme="majorHAnsi" w:hAnsiTheme="majorHAnsi"/>
          <w:b/>
          <w:sz w:val="20"/>
          <w:szCs w:val="20"/>
        </w:rPr>
        <w:t xml:space="preserve">Por tal motivo todos </w:t>
      </w:r>
      <w:r w:rsidRPr="007620F1">
        <w:rPr>
          <w:rFonts w:asciiTheme="majorHAnsi" w:hAnsiTheme="majorHAnsi"/>
          <w:b/>
          <w:sz w:val="20"/>
          <w:szCs w:val="20"/>
        </w:rPr>
        <w:t xml:space="preserve">los proponentes deben presentar certificado emitido por el fabricante NUUO, donde indique claramente que es un distribuidor o comercializador autorizado de la marca y está en capacidad de prestar servicios post-venta. </w:t>
      </w:r>
    </w:p>
    <w:p w:rsidR="00B37408" w:rsidRPr="007620F1" w:rsidRDefault="00B37408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7620F1" w:rsidRPr="007620F1" w:rsidRDefault="007620F1" w:rsidP="007620F1">
      <w:pPr>
        <w:tabs>
          <w:tab w:val="left" w:pos="720"/>
        </w:tabs>
        <w:jc w:val="both"/>
        <w:rPr>
          <w:rFonts w:asciiTheme="majorHAnsi" w:eastAsia="Century Gothic" w:hAnsiTheme="majorHAnsi" w:cs="Century Gothic"/>
          <w:sz w:val="20"/>
          <w:szCs w:val="20"/>
        </w:rPr>
      </w:pPr>
      <w:r w:rsidRPr="007620F1">
        <w:rPr>
          <w:rFonts w:asciiTheme="majorHAnsi" w:eastAsia="Century Gothic" w:hAnsiTheme="majorHAnsi" w:cs="Century Gothic"/>
          <w:b/>
          <w:sz w:val="20"/>
          <w:szCs w:val="20"/>
        </w:rPr>
        <w:t>Para recordar:</w:t>
      </w:r>
    </w:p>
    <w:p w:rsidR="007620F1" w:rsidRPr="007620F1" w:rsidRDefault="007620F1" w:rsidP="007620F1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jc w:val="both"/>
        <w:rPr>
          <w:rFonts w:asciiTheme="majorHAnsi" w:hAnsiTheme="majorHAnsi"/>
          <w:sz w:val="20"/>
          <w:szCs w:val="20"/>
        </w:rPr>
      </w:pPr>
      <w:r w:rsidRPr="007620F1">
        <w:rPr>
          <w:rFonts w:asciiTheme="majorHAnsi" w:eastAsia="Century Gothic" w:hAnsiTheme="majorHAnsi" w:cs="Century Gothic"/>
          <w:sz w:val="20"/>
          <w:szCs w:val="20"/>
        </w:rPr>
        <w:t>Se recomienda a los participantes, ser muy cuidadosos con la presentación de todos los documentos exigidos y demás condiciones de la Convocatoria.</w:t>
      </w:r>
    </w:p>
    <w:p w:rsidR="007620F1" w:rsidRPr="007620F1" w:rsidRDefault="007620F1" w:rsidP="007620F1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jc w:val="both"/>
        <w:rPr>
          <w:rFonts w:asciiTheme="majorHAnsi" w:hAnsiTheme="majorHAnsi"/>
          <w:sz w:val="20"/>
          <w:szCs w:val="20"/>
        </w:rPr>
      </w:pPr>
      <w:r w:rsidRPr="007620F1">
        <w:rPr>
          <w:rFonts w:asciiTheme="majorHAnsi" w:eastAsia="Century Gothic" w:hAnsiTheme="majorHAnsi" w:cs="Century Gothic"/>
          <w:sz w:val="20"/>
          <w:szCs w:val="20"/>
        </w:rPr>
        <w:t xml:space="preserve">Deben ser puntuales con el cronograma propuesto. </w:t>
      </w:r>
    </w:p>
    <w:p w:rsidR="007620F1" w:rsidRPr="007620F1" w:rsidRDefault="007620F1" w:rsidP="007620F1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jc w:val="both"/>
        <w:rPr>
          <w:rFonts w:asciiTheme="majorHAnsi" w:hAnsiTheme="majorHAnsi"/>
          <w:sz w:val="20"/>
          <w:szCs w:val="20"/>
        </w:rPr>
      </w:pPr>
      <w:r w:rsidRPr="007620F1">
        <w:rPr>
          <w:rFonts w:asciiTheme="majorHAnsi" w:eastAsia="Century Gothic" w:hAnsiTheme="majorHAnsi" w:cs="Century Gothic"/>
          <w:sz w:val="20"/>
          <w:szCs w:val="20"/>
        </w:rPr>
        <w:t>Se recomienda leer detenidamente el contenido to</w:t>
      </w:r>
      <w:bookmarkStart w:id="1" w:name="_GoBack"/>
      <w:bookmarkEnd w:id="1"/>
      <w:r w:rsidRPr="007620F1">
        <w:rPr>
          <w:rFonts w:asciiTheme="majorHAnsi" w:eastAsia="Century Gothic" w:hAnsiTheme="majorHAnsi" w:cs="Century Gothic"/>
          <w:sz w:val="20"/>
          <w:szCs w:val="20"/>
        </w:rPr>
        <w:t xml:space="preserve">tal de la Invitación a cotizar, cuyas cláusulas son de estricto cumplimiento,  así como el contenido de las </w:t>
      </w:r>
      <w:r>
        <w:rPr>
          <w:rFonts w:asciiTheme="majorHAnsi" w:eastAsia="Century Gothic" w:hAnsiTheme="majorHAnsi" w:cs="Century Gothic"/>
          <w:b/>
          <w:sz w:val="20"/>
          <w:szCs w:val="20"/>
        </w:rPr>
        <w:t>ADENDA</w:t>
      </w:r>
      <w:r w:rsidRPr="007620F1">
        <w:rPr>
          <w:rFonts w:asciiTheme="majorHAnsi" w:eastAsia="Century Gothic" w:hAnsiTheme="majorHAnsi" w:cs="Century Gothic"/>
          <w:sz w:val="20"/>
          <w:szCs w:val="20"/>
        </w:rPr>
        <w:t xml:space="preserve">.  </w:t>
      </w:r>
    </w:p>
    <w:p w:rsidR="007620F1" w:rsidRPr="007620F1" w:rsidRDefault="007620F1" w:rsidP="007620F1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jc w:val="both"/>
        <w:rPr>
          <w:rFonts w:asciiTheme="majorHAnsi" w:hAnsiTheme="majorHAnsi"/>
          <w:sz w:val="20"/>
          <w:szCs w:val="20"/>
        </w:rPr>
      </w:pPr>
      <w:r w:rsidRPr="007620F1">
        <w:rPr>
          <w:rFonts w:asciiTheme="majorHAnsi" w:eastAsia="Century Gothic" w:hAnsiTheme="majorHAnsi" w:cs="Century Gothic"/>
          <w:sz w:val="20"/>
          <w:szCs w:val="20"/>
        </w:rPr>
        <w:t>Para efectos de presentar la oferta, se requiere:   consultar todas las respuestas de la Adenda, la oferta económica debe presentarse en</w:t>
      </w:r>
      <w:r w:rsidRPr="007620F1">
        <w:rPr>
          <w:rFonts w:asciiTheme="majorHAnsi" w:eastAsia="Century Gothic" w:hAnsiTheme="majorHAnsi" w:cs="Century Gothic"/>
          <w:b/>
          <w:sz w:val="20"/>
          <w:szCs w:val="20"/>
        </w:rPr>
        <w:t xml:space="preserve"> </w:t>
      </w:r>
      <w:r w:rsidRPr="007620F1">
        <w:rPr>
          <w:rFonts w:asciiTheme="majorHAnsi" w:eastAsia="Century Gothic" w:hAnsiTheme="majorHAnsi" w:cs="Century Gothic"/>
          <w:sz w:val="20"/>
          <w:szCs w:val="20"/>
        </w:rPr>
        <w:t>el</w:t>
      </w:r>
      <w:r>
        <w:rPr>
          <w:rFonts w:asciiTheme="majorHAnsi" w:eastAsia="Century Gothic" w:hAnsiTheme="majorHAnsi" w:cs="Century Gothic"/>
          <w:b/>
          <w:sz w:val="20"/>
          <w:szCs w:val="20"/>
        </w:rPr>
        <w:t xml:space="preserve"> Anexo 1</w:t>
      </w:r>
      <w:r w:rsidRPr="007620F1">
        <w:rPr>
          <w:rFonts w:asciiTheme="majorHAnsi" w:eastAsia="Century Gothic" w:hAnsiTheme="majorHAnsi" w:cs="Century Gothic"/>
          <w:sz w:val="20"/>
          <w:szCs w:val="20"/>
        </w:rPr>
        <w:t>.</w:t>
      </w:r>
    </w:p>
    <w:p w:rsidR="00B37408" w:rsidRPr="007620F1" w:rsidRDefault="007620F1" w:rsidP="007620F1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jc w:val="both"/>
        <w:rPr>
          <w:rFonts w:asciiTheme="majorHAnsi" w:hAnsiTheme="majorHAnsi"/>
          <w:sz w:val="20"/>
          <w:szCs w:val="20"/>
        </w:rPr>
      </w:pPr>
      <w:r w:rsidRPr="007620F1">
        <w:rPr>
          <w:rFonts w:asciiTheme="majorHAnsi" w:eastAsia="Century Gothic" w:hAnsiTheme="majorHAnsi" w:cs="Century Gothic"/>
          <w:sz w:val="20"/>
          <w:szCs w:val="20"/>
        </w:rPr>
        <w:t>Se recomienda además,  consultar permanentemente la Página Web de la Universidad, hasta el día de cierre de la convocatoria a efecto de verificar cualquier información o modificación adicional.</w:t>
      </w:r>
    </w:p>
    <w:p w:rsidR="00B37408" w:rsidRPr="007620F1" w:rsidRDefault="00B37408">
      <w:pPr>
        <w:rPr>
          <w:rFonts w:asciiTheme="majorHAnsi" w:hAnsiTheme="majorHAnsi"/>
          <w:sz w:val="20"/>
          <w:szCs w:val="20"/>
        </w:rPr>
      </w:pPr>
    </w:p>
    <w:p w:rsidR="00B37408" w:rsidRPr="007620F1" w:rsidRDefault="00B37408">
      <w:pPr>
        <w:rPr>
          <w:rFonts w:asciiTheme="majorHAnsi" w:hAnsiTheme="majorHAnsi"/>
          <w:sz w:val="20"/>
          <w:szCs w:val="20"/>
        </w:rPr>
      </w:pPr>
    </w:p>
    <w:sectPr w:rsidR="00B37408" w:rsidRPr="007620F1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BDB" w:rsidRDefault="00D30BDB">
      <w:pPr>
        <w:spacing w:after="0" w:line="240" w:lineRule="auto"/>
      </w:pPr>
      <w:r>
        <w:separator/>
      </w:r>
    </w:p>
  </w:endnote>
  <w:endnote w:type="continuationSeparator" w:id="0">
    <w:p w:rsidR="00D30BDB" w:rsidRDefault="00D3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BDB" w:rsidRDefault="00D30BDB">
      <w:pPr>
        <w:spacing w:after="0" w:line="240" w:lineRule="auto"/>
      </w:pPr>
      <w:r>
        <w:separator/>
      </w:r>
    </w:p>
  </w:footnote>
  <w:footnote w:type="continuationSeparator" w:id="0">
    <w:p w:rsidR="00D30BDB" w:rsidRDefault="00D30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408" w:rsidRDefault="00D30BDB">
    <w:pPr>
      <w:spacing w:after="0" w:line="240" w:lineRule="auto"/>
      <w:jc w:val="center"/>
      <w:rPr>
        <w:sz w:val="20"/>
        <w:szCs w:val="20"/>
      </w:rPr>
    </w:pPr>
    <w:r>
      <w:rPr>
        <w:color w:val="222222"/>
        <w:sz w:val="20"/>
        <w:szCs w:val="20"/>
      </w:rPr>
      <w:t>UNIVERSIDAD TECNOLÓGICA DE PEREIRA</w:t>
    </w:r>
  </w:p>
  <w:p w:rsidR="00B37408" w:rsidRDefault="00B37408">
    <w:pPr>
      <w:spacing w:after="0" w:line="240" w:lineRule="auto"/>
      <w:jc w:val="center"/>
      <w:rPr>
        <w:sz w:val="20"/>
        <w:szCs w:val="20"/>
      </w:rPr>
    </w:pPr>
  </w:p>
  <w:p w:rsidR="00B37408" w:rsidRDefault="00D30BDB">
    <w:pPr>
      <w:spacing w:after="0" w:line="240" w:lineRule="auto"/>
      <w:jc w:val="center"/>
      <w:rPr>
        <w:sz w:val="20"/>
        <w:szCs w:val="20"/>
      </w:rPr>
    </w:pPr>
    <w:r>
      <w:rPr>
        <w:color w:val="222222"/>
        <w:sz w:val="20"/>
        <w:szCs w:val="20"/>
      </w:rPr>
      <w:t>CONVOCATORIA PÚBLICA 48 de 2018</w:t>
    </w:r>
  </w:p>
  <w:p w:rsidR="00B37408" w:rsidRDefault="00D30BDB">
    <w:pPr>
      <w:spacing w:after="0" w:line="240" w:lineRule="auto"/>
      <w:jc w:val="center"/>
      <w:rPr>
        <w:sz w:val="20"/>
        <w:szCs w:val="20"/>
      </w:rPr>
    </w:pPr>
    <w:r>
      <w:rPr>
        <w:color w:val="222222"/>
        <w:sz w:val="20"/>
        <w:szCs w:val="20"/>
      </w:rPr>
      <w:t>COMPRA DE EQUIPOS Y LICENCIAS PARA CIRCUITO CERRADO  DE TV</w:t>
    </w:r>
  </w:p>
  <w:p w:rsidR="00B37408" w:rsidRDefault="00B37408">
    <w:pPr>
      <w:spacing w:after="0" w:line="240" w:lineRule="auto"/>
      <w:jc w:val="center"/>
      <w:rPr>
        <w:sz w:val="20"/>
        <w:szCs w:val="20"/>
      </w:rPr>
    </w:pPr>
  </w:p>
  <w:p w:rsidR="00B37408" w:rsidRDefault="00D30BDB">
    <w:pPr>
      <w:spacing w:after="0" w:line="240" w:lineRule="auto"/>
      <w:jc w:val="center"/>
      <w:rPr>
        <w:sz w:val="20"/>
        <w:szCs w:val="20"/>
      </w:rPr>
    </w:pPr>
    <w:r>
      <w:rPr>
        <w:color w:val="222222"/>
        <w:sz w:val="20"/>
        <w:szCs w:val="20"/>
      </w:rPr>
      <w:t>ADENDA 1 – ACLARACIÓN DE DUDAS</w:t>
    </w:r>
  </w:p>
  <w:p w:rsidR="00B37408" w:rsidRDefault="00B37408">
    <w:pPr>
      <w:tabs>
        <w:tab w:val="center" w:pos="4419"/>
        <w:tab w:val="right" w:pos="8838"/>
      </w:tabs>
      <w:spacing w:after="0" w:line="240" w:lineRule="auto"/>
      <w:rPr>
        <w:sz w:val="20"/>
        <w:szCs w:val="20"/>
      </w:rPr>
    </w:pPr>
  </w:p>
  <w:p w:rsidR="00B37408" w:rsidRDefault="00B37408">
    <w:pPr>
      <w:tabs>
        <w:tab w:val="center" w:pos="4419"/>
        <w:tab w:val="right" w:pos="88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6504D"/>
    <w:multiLevelType w:val="multilevel"/>
    <w:tmpl w:val="D38AEBAE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</w:rPr>
    </w:lvl>
  </w:abstractNum>
  <w:abstractNum w:abstractNumId="1" w15:restartNumberingAfterBreak="0">
    <w:nsid w:val="27A355CB"/>
    <w:multiLevelType w:val="multilevel"/>
    <w:tmpl w:val="19A2CB76"/>
    <w:lvl w:ilvl="0">
      <w:start w:val="1"/>
      <w:numFmt w:val="decimal"/>
      <w:lvlText w:val="%1."/>
      <w:lvlJc w:val="left"/>
      <w:pPr>
        <w:ind w:left="1002" w:hanging="435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37408"/>
    <w:rsid w:val="007620F1"/>
    <w:rsid w:val="00B37408"/>
    <w:rsid w:val="00D3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BA4363-DB19-42C3-929A-F9F79C4D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CO" w:eastAsia="es-CO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1880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 Nueva Aura Li</cp:lastModifiedBy>
  <cp:revision>2</cp:revision>
  <dcterms:created xsi:type="dcterms:W3CDTF">2018-03-22T22:05:00Z</dcterms:created>
  <dcterms:modified xsi:type="dcterms:W3CDTF">2018-03-22T22:09:00Z</dcterms:modified>
</cp:coreProperties>
</file>