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9A" w:rsidRPr="00083194" w:rsidRDefault="000C619A" w:rsidP="00083194">
      <w:pPr>
        <w:spacing w:line="240" w:lineRule="auto"/>
        <w:rPr>
          <w:rFonts w:asciiTheme="majorHAnsi" w:hAnsiTheme="majorHAnsi" w:cstheme="majorHAnsi"/>
        </w:rPr>
      </w:pPr>
      <w:r w:rsidRPr="00083194">
        <w:rPr>
          <w:rFonts w:asciiTheme="majorHAnsi" w:hAnsiTheme="majorHAnsi" w:cstheme="majorHAnsi"/>
        </w:rPr>
        <w:t>La Universidad Tecnológica se permite aclarar que:</w:t>
      </w:r>
    </w:p>
    <w:p w:rsidR="000C619A" w:rsidRPr="00083194" w:rsidRDefault="000C619A" w:rsidP="00083194">
      <w:pPr>
        <w:spacing w:line="240" w:lineRule="auto"/>
        <w:rPr>
          <w:rFonts w:asciiTheme="majorHAnsi" w:hAnsiTheme="majorHAnsi" w:cstheme="majorHAnsi"/>
          <w:b/>
        </w:rPr>
      </w:pPr>
    </w:p>
    <w:p w:rsidR="000C619A" w:rsidRPr="00083194" w:rsidRDefault="000C619A" w:rsidP="00083194">
      <w:pPr>
        <w:spacing w:line="240" w:lineRule="auto"/>
        <w:rPr>
          <w:rFonts w:asciiTheme="majorHAnsi" w:hAnsiTheme="majorHAnsi" w:cstheme="majorHAnsi"/>
          <w:color w:val="FF0000"/>
        </w:rPr>
      </w:pPr>
      <w:r w:rsidRPr="00083194">
        <w:rPr>
          <w:rFonts w:asciiTheme="majorHAnsi" w:hAnsiTheme="majorHAnsi" w:cstheme="majorHAnsi"/>
        </w:rPr>
        <w:t>La cantidad del Ítem 1 Subítem 20 Disco duro de 3 TB es uno (1)</w:t>
      </w:r>
    </w:p>
    <w:tbl>
      <w:tblPr>
        <w:tblW w:w="64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435"/>
        <w:gridCol w:w="2431"/>
        <w:gridCol w:w="945"/>
        <w:gridCol w:w="963"/>
        <w:gridCol w:w="335"/>
      </w:tblGrid>
      <w:tr w:rsidR="000C619A" w:rsidRPr="00083194" w:rsidTr="000C619A">
        <w:trPr>
          <w:trHeight w:val="344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19A" w:rsidRPr="00083194" w:rsidRDefault="000C619A" w:rsidP="0008319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083194">
              <w:rPr>
                <w:rFonts w:asciiTheme="majorHAnsi" w:eastAsia="Times New Roman" w:hAnsiTheme="majorHAnsi" w:cstheme="majorHAnsi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19A" w:rsidRPr="00083194" w:rsidRDefault="000C619A" w:rsidP="0008319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083194">
              <w:rPr>
                <w:rFonts w:asciiTheme="majorHAnsi" w:eastAsia="Times New Roman" w:hAnsiTheme="majorHAnsi" w:cstheme="majorHAnsi"/>
                <w:color w:val="auto"/>
              </w:rPr>
              <w:t>DISCO DURO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19A" w:rsidRPr="00083194" w:rsidRDefault="000C619A" w:rsidP="0008319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083194">
              <w:rPr>
                <w:rFonts w:asciiTheme="majorHAnsi" w:eastAsia="Times New Roman" w:hAnsiTheme="majorHAnsi" w:cstheme="majorHAnsi"/>
                <w:color w:val="auto"/>
              </w:rPr>
              <w:t>DISCO DURO EXTERNO 3 TB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C619A" w:rsidRPr="00083194" w:rsidRDefault="000C619A" w:rsidP="0008319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19A" w:rsidRPr="00083194" w:rsidRDefault="000C619A" w:rsidP="0008319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083194">
              <w:rPr>
                <w:rFonts w:asciiTheme="majorHAnsi" w:eastAsia="Times New Roman" w:hAnsiTheme="majorHAnsi" w:cstheme="majorHAnsi"/>
                <w:color w:val="auto"/>
              </w:rPr>
              <w:t>Toshiba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19A" w:rsidRPr="00083194" w:rsidRDefault="000C619A" w:rsidP="0008319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083194">
              <w:rPr>
                <w:rFonts w:asciiTheme="majorHAnsi" w:eastAsia="Times New Roman" w:hAnsiTheme="majorHAnsi" w:cstheme="majorHAnsi"/>
                <w:color w:val="auto"/>
              </w:rPr>
              <w:t>1</w:t>
            </w:r>
          </w:p>
        </w:tc>
      </w:tr>
    </w:tbl>
    <w:p w:rsidR="00001D3B" w:rsidRPr="00083194" w:rsidRDefault="00001D3B" w:rsidP="00083194">
      <w:pPr>
        <w:spacing w:line="240" w:lineRule="auto"/>
        <w:rPr>
          <w:rFonts w:asciiTheme="majorHAnsi" w:hAnsiTheme="majorHAnsi" w:cstheme="majorHAnsi"/>
          <w:color w:val="FF0000"/>
        </w:rPr>
      </w:pP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  <w:color w:val="auto"/>
        </w:rPr>
      </w:pPr>
      <w:r w:rsidRPr="00083194">
        <w:rPr>
          <w:rFonts w:asciiTheme="majorHAnsi" w:hAnsiTheme="majorHAnsi" w:cstheme="majorHAnsi"/>
          <w:color w:val="auto"/>
        </w:rPr>
        <w:t>OBSERVACIÓN No. 1: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  <w:color w:val="auto"/>
        </w:rPr>
      </w:pPr>
      <w:r w:rsidRPr="00083194">
        <w:rPr>
          <w:rFonts w:asciiTheme="majorHAnsi" w:hAnsiTheme="majorHAnsi" w:cstheme="majorHAnsi"/>
          <w:color w:val="auto"/>
        </w:rPr>
        <w:t xml:space="preserve">Para el computador </w:t>
      </w:r>
      <w:proofErr w:type="spellStart"/>
      <w:r w:rsidRPr="00083194">
        <w:rPr>
          <w:rFonts w:asciiTheme="majorHAnsi" w:hAnsiTheme="majorHAnsi" w:cstheme="majorHAnsi"/>
          <w:color w:val="auto"/>
        </w:rPr>
        <w:t>Subitem</w:t>
      </w:r>
      <w:proofErr w:type="spellEnd"/>
      <w:r w:rsidRPr="00083194">
        <w:rPr>
          <w:rFonts w:asciiTheme="majorHAnsi" w:hAnsiTheme="majorHAnsi" w:cstheme="majorHAnsi"/>
          <w:color w:val="auto"/>
        </w:rPr>
        <w:t xml:space="preserve"> 1 nos permitimos solicitar a la entidad acepten un equipo Lenovo V520, esto en pro de la pluralidad de oferentes principio de la contratación estatal, ya que actualmente referencias como esta pueden presentar características iguales o superiores y con mejor rendimiento en diversos aspectos, ya que actualmente existen múltiples soluciones compatibles y que permiten un excelente desarrollo de trabajo.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  <w:color w:val="4472C4"/>
        </w:rPr>
      </w:pP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  <w:proofErr w:type="gramStart"/>
      <w:r w:rsidRPr="00083194">
        <w:rPr>
          <w:rFonts w:asciiTheme="majorHAnsi" w:hAnsiTheme="majorHAnsi" w:cstheme="majorHAnsi"/>
          <w:color w:val="FF0000"/>
        </w:rPr>
        <w:t>R./</w:t>
      </w:r>
      <w:proofErr w:type="gramEnd"/>
      <w:r w:rsidRPr="00083194">
        <w:rPr>
          <w:rFonts w:asciiTheme="majorHAnsi" w:hAnsiTheme="majorHAnsi" w:cstheme="majorHAnsi"/>
          <w:color w:val="FF0000"/>
        </w:rPr>
        <w:t xml:space="preserve"> No se acepta la sugerencia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  <w:r w:rsidRPr="00083194">
        <w:rPr>
          <w:rFonts w:asciiTheme="majorHAnsi" w:hAnsiTheme="majorHAnsi" w:cstheme="majorHAnsi"/>
          <w:color w:val="4472C4"/>
        </w:rPr>
        <w:t> 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  <w:color w:val="auto"/>
        </w:rPr>
      </w:pPr>
      <w:r w:rsidRPr="00083194">
        <w:rPr>
          <w:rFonts w:asciiTheme="majorHAnsi" w:hAnsiTheme="majorHAnsi" w:cstheme="majorHAnsi"/>
          <w:color w:val="auto"/>
        </w:rPr>
        <w:t>OBSERVACIÓN No. 2: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  <w:color w:val="auto"/>
        </w:rPr>
      </w:pPr>
      <w:r w:rsidRPr="00083194">
        <w:rPr>
          <w:rFonts w:asciiTheme="majorHAnsi" w:hAnsiTheme="majorHAnsi" w:cstheme="majorHAnsi"/>
          <w:color w:val="auto"/>
        </w:rPr>
        <w:t xml:space="preserve">Para el computador </w:t>
      </w:r>
      <w:proofErr w:type="spellStart"/>
      <w:r w:rsidRPr="00083194">
        <w:rPr>
          <w:rFonts w:asciiTheme="majorHAnsi" w:hAnsiTheme="majorHAnsi" w:cstheme="majorHAnsi"/>
          <w:color w:val="auto"/>
        </w:rPr>
        <w:t>Subitem</w:t>
      </w:r>
      <w:proofErr w:type="spellEnd"/>
      <w:r w:rsidRPr="00083194">
        <w:rPr>
          <w:rFonts w:asciiTheme="majorHAnsi" w:hAnsiTheme="majorHAnsi" w:cstheme="majorHAnsi"/>
          <w:color w:val="auto"/>
        </w:rPr>
        <w:t xml:space="preserve"> 1 nos permitimos solicitar no se realice la exigencia que la pantalla tenga conectores: VGA - DVI-D - HDMI ya que actualmente el equipo que la Entidad pide exige solo VGA, nos permitimos recomendar a la Entidad solo se </w:t>
      </w:r>
      <w:proofErr w:type="spellStart"/>
      <w:r w:rsidRPr="00083194">
        <w:rPr>
          <w:rFonts w:asciiTheme="majorHAnsi" w:hAnsiTheme="majorHAnsi" w:cstheme="majorHAnsi"/>
          <w:color w:val="auto"/>
        </w:rPr>
        <w:t>exiga</w:t>
      </w:r>
      <w:proofErr w:type="spellEnd"/>
      <w:r w:rsidRPr="00083194">
        <w:rPr>
          <w:rFonts w:asciiTheme="majorHAnsi" w:hAnsiTheme="majorHAnsi" w:cstheme="majorHAnsi"/>
          <w:color w:val="auto"/>
        </w:rPr>
        <w:t xml:space="preserve"> un puerto VGA y un puerto </w:t>
      </w:r>
      <w:proofErr w:type="spellStart"/>
      <w:r w:rsidRPr="00083194">
        <w:rPr>
          <w:rFonts w:asciiTheme="majorHAnsi" w:hAnsiTheme="majorHAnsi" w:cstheme="majorHAnsi"/>
          <w:color w:val="auto"/>
        </w:rPr>
        <w:t>Display</w:t>
      </w:r>
      <w:proofErr w:type="spellEnd"/>
      <w:r w:rsidRPr="00083194">
        <w:rPr>
          <w:rFonts w:asciiTheme="majorHAnsi" w:hAnsiTheme="majorHAnsi" w:cstheme="majorHAnsi"/>
          <w:color w:val="auto"/>
        </w:rPr>
        <w:t xml:space="preserve"> Port   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  <w:r w:rsidRPr="00083194">
        <w:rPr>
          <w:rFonts w:asciiTheme="majorHAnsi" w:hAnsiTheme="majorHAnsi" w:cstheme="majorHAnsi"/>
          <w:color w:val="4472C4"/>
        </w:rPr>
        <w:t> </w:t>
      </w:r>
      <w:r w:rsidRPr="00083194">
        <w:rPr>
          <w:rFonts w:asciiTheme="majorHAnsi" w:hAnsiTheme="majorHAnsi" w:cstheme="majorHAnsi"/>
        </w:rPr>
        <w:t> 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  <w:proofErr w:type="gramStart"/>
      <w:r w:rsidRPr="00083194">
        <w:rPr>
          <w:rFonts w:asciiTheme="majorHAnsi" w:hAnsiTheme="majorHAnsi" w:cstheme="majorHAnsi"/>
          <w:color w:val="FF0000"/>
        </w:rPr>
        <w:t>R./</w:t>
      </w:r>
      <w:proofErr w:type="gramEnd"/>
      <w:r w:rsidRPr="00083194">
        <w:rPr>
          <w:rFonts w:asciiTheme="majorHAnsi" w:hAnsiTheme="majorHAnsi" w:cstheme="majorHAnsi"/>
          <w:color w:val="FF0000"/>
        </w:rPr>
        <w:t xml:space="preserve"> Se acepta la sugerencia. Las pantallas deben tener un conector VGA y un conector DP / HDMI / DVI, estas pantallas deben poder conectarse a los equipos que se </w:t>
      </w:r>
      <w:proofErr w:type="spellStart"/>
      <w:r w:rsidRPr="00083194">
        <w:rPr>
          <w:rFonts w:asciiTheme="majorHAnsi" w:hAnsiTheme="majorHAnsi" w:cstheme="majorHAnsi"/>
          <w:color w:val="FF0000"/>
        </w:rPr>
        <w:t>estan</w:t>
      </w:r>
      <w:proofErr w:type="spellEnd"/>
      <w:r w:rsidRPr="00083194">
        <w:rPr>
          <w:rFonts w:asciiTheme="majorHAnsi" w:hAnsiTheme="majorHAnsi" w:cstheme="majorHAnsi"/>
          <w:color w:val="FF0000"/>
        </w:rPr>
        <w:t xml:space="preserve"> adquiriendo.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  <w:r w:rsidRPr="00083194">
        <w:rPr>
          <w:rFonts w:asciiTheme="majorHAnsi" w:hAnsiTheme="majorHAnsi" w:cstheme="majorHAnsi"/>
        </w:rPr>
        <w:t>Nos permitimos solicitar se puedan ofertar para los equipos portátiles de los</w:t>
      </w:r>
      <w:r w:rsidRPr="00083194">
        <w:rPr>
          <w:rStyle w:val="apple-converted-space"/>
          <w:rFonts w:asciiTheme="majorHAnsi" w:hAnsiTheme="majorHAnsi" w:cstheme="majorHAnsi"/>
        </w:rPr>
        <w:t> </w:t>
      </w:r>
      <w:proofErr w:type="spellStart"/>
      <w:r w:rsidRPr="00083194">
        <w:rPr>
          <w:rFonts w:asciiTheme="majorHAnsi" w:hAnsiTheme="majorHAnsi" w:cstheme="majorHAnsi"/>
          <w:b/>
          <w:bCs/>
        </w:rPr>
        <w:t>subitems</w:t>
      </w:r>
      <w:proofErr w:type="spellEnd"/>
      <w:r w:rsidRPr="00083194">
        <w:rPr>
          <w:rFonts w:asciiTheme="majorHAnsi" w:hAnsiTheme="majorHAnsi" w:cstheme="majorHAnsi"/>
          <w:b/>
          <w:bCs/>
        </w:rPr>
        <w:t xml:space="preserve"> 3 - 4 - 5 - 6</w:t>
      </w:r>
      <w:r w:rsidRPr="00083194">
        <w:rPr>
          <w:rStyle w:val="apple-converted-space"/>
          <w:rFonts w:asciiTheme="majorHAnsi" w:hAnsiTheme="majorHAnsi" w:cstheme="majorHAnsi"/>
        </w:rPr>
        <w:t> </w:t>
      </w:r>
      <w:r w:rsidRPr="00083194">
        <w:rPr>
          <w:rFonts w:asciiTheme="majorHAnsi" w:hAnsiTheme="majorHAnsi" w:cstheme="majorHAnsi"/>
        </w:rPr>
        <w:t>y para los equipos Workstation</w:t>
      </w:r>
      <w:r w:rsidRPr="00083194">
        <w:rPr>
          <w:rStyle w:val="apple-converted-space"/>
          <w:rFonts w:asciiTheme="majorHAnsi" w:hAnsiTheme="majorHAnsi" w:cstheme="majorHAnsi"/>
        </w:rPr>
        <w:t> </w:t>
      </w:r>
      <w:proofErr w:type="spellStart"/>
      <w:r w:rsidRPr="00083194">
        <w:rPr>
          <w:rFonts w:asciiTheme="majorHAnsi" w:hAnsiTheme="majorHAnsi" w:cstheme="majorHAnsi"/>
          <w:b/>
          <w:bCs/>
        </w:rPr>
        <w:t>subitems</w:t>
      </w:r>
      <w:proofErr w:type="spellEnd"/>
      <w:r w:rsidRPr="00083194">
        <w:rPr>
          <w:rFonts w:asciiTheme="majorHAnsi" w:hAnsiTheme="majorHAnsi" w:cstheme="majorHAnsi"/>
          <w:b/>
          <w:bCs/>
        </w:rPr>
        <w:t xml:space="preserve"> 7 - 8 - 9</w:t>
      </w:r>
      <w:r w:rsidRPr="00083194">
        <w:rPr>
          <w:rStyle w:val="apple-converted-space"/>
          <w:rFonts w:asciiTheme="majorHAnsi" w:hAnsiTheme="majorHAnsi" w:cstheme="majorHAnsi"/>
          <w:b/>
          <w:bCs/>
        </w:rPr>
        <w:t> </w:t>
      </w:r>
      <w:r w:rsidRPr="00083194">
        <w:rPr>
          <w:rFonts w:asciiTheme="majorHAnsi" w:hAnsiTheme="majorHAnsi" w:cstheme="majorHAnsi"/>
        </w:rPr>
        <w:t>equipos de marcas como Lenovo ya que actualmente referencias como esta pueden presentar características iguales o superiores y con mejor rendimiento en diversos aspectos, esto ya que actualmente existen múltiples soluciones compatibles y que permiten un excelente desarrollo de trabajo.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  <w:color w:val="FF0000"/>
        </w:rPr>
      </w:pPr>
      <w:proofErr w:type="gramStart"/>
      <w:r w:rsidRPr="00083194">
        <w:rPr>
          <w:rFonts w:asciiTheme="majorHAnsi" w:hAnsiTheme="majorHAnsi" w:cstheme="majorHAnsi"/>
          <w:color w:val="FF0000"/>
        </w:rPr>
        <w:t>R./</w:t>
      </w:r>
      <w:proofErr w:type="gramEnd"/>
      <w:r w:rsidRPr="00083194">
        <w:rPr>
          <w:rFonts w:asciiTheme="majorHAnsi" w:hAnsiTheme="majorHAnsi" w:cstheme="majorHAnsi"/>
          <w:color w:val="FF0000"/>
        </w:rPr>
        <w:t xml:space="preserve"> No se acepta la sugerencia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lastRenderedPageBreak/>
        <w:t>OBSERVACIÓN 3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  <w:color w:val="222222"/>
        </w:rPr>
      </w:pPr>
      <w:r w:rsidRPr="00083194">
        <w:rPr>
          <w:rFonts w:asciiTheme="majorHAnsi" w:hAnsiTheme="majorHAnsi" w:cstheme="majorHAnsi"/>
          <w:color w:val="222222"/>
        </w:rPr>
        <w:t xml:space="preserve">Por medio de la presente, le solicitamos a la entidad aclarar el ítem 11, Impresora tipo 2, ya que el equipo que sugiere la entidad HP </w:t>
      </w:r>
      <w:proofErr w:type="spellStart"/>
      <w:r w:rsidRPr="00083194">
        <w:rPr>
          <w:rFonts w:asciiTheme="majorHAnsi" w:hAnsiTheme="majorHAnsi" w:cstheme="majorHAnsi"/>
          <w:color w:val="222222"/>
        </w:rPr>
        <w:t>Printer</w:t>
      </w:r>
      <w:proofErr w:type="spellEnd"/>
      <w:r w:rsidRPr="00083194">
        <w:rPr>
          <w:rFonts w:asciiTheme="majorHAnsi" w:hAnsiTheme="majorHAnsi" w:cstheme="majorHAnsi"/>
          <w:color w:val="222222"/>
        </w:rPr>
        <w:t xml:space="preserve"> </w:t>
      </w:r>
      <w:proofErr w:type="spellStart"/>
      <w:r w:rsidRPr="00083194">
        <w:rPr>
          <w:rFonts w:asciiTheme="majorHAnsi" w:hAnsiTheme="majorHAnsi" w:cstheme="majorHAnsi"/>
          <w:color w:val="222222"/>
        </w:rPr>
        <w:t>Laserjet</w:t>
      </w:r>
      <w:proofErr w:type="spellEnd"/>
      <w:r w:rsidRPr="00083194">
        <w:rPr>
          <w:rFonts w:asciiTheme="majorHAnsi" w:hAnsiTheme="majorHAnsi" w:cstheme="majorHAnsi"/>
          <w:color w:val="222222"/>
        </w:rPr>
        <w:t xml:space="preserve"> P1102W, la bandeja de salida de papel es de 100 hojas, en las fichas técnicas que se tienen del equipo y no de 150 como lo requiere la entidad, así mismo la familia de la impresora con otra referencia presenta la misma cantidad de hojas de salida 100.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  <w:color w:val="222222"/>
        </w:rPr>
      </w:pP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  <w:color w:val="222222"/>
        </w:rPr>
      </w:pPr>
      <w:r w:rsidRPr="00083194">
        <w:rPr>
          <w:rFonts w:asciiTheme="majorHAnsi" w:hAnsiTheme="majorHAnsi" w:cstheme="majorHAnsi"/>
          <w:color w:val="222222"/>
        </w:rPr>
        <w:t>Por lo tanto le solicitamos a la entidad, aclarar o modificar dicha numeración.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  <w:color w:val="FF0000"/>
        </w:rPr>
      </w:pPr>
      <w:proofErr w:type="gramStart"/>
      <w:r w:rsidRPr="00083194">
        <w:rPr>
          <w:rFonts w:asciiTheme="majorHAnsi" w:hAnsiTheme="majorHAnsi" w:cstheme="majorHAnsi"/>
          <w:color w:val="FF0000"/>
        </w:rPr>
        <w:t>R./</w:t>
      </w:r>
      <w:proofErr w:type="gramEnd"/>
      <w:r w:rsidRPr="00083194">
        <w:rPr>
          <w:rFonts w:asciiTheme="majorHAnsi" w:hAnsiTheme="majorHAnsi" w:cstheme="majorHAnsi"/>
          <w:color w:val="FF0000"/>
        </w:rPr>
        <w:t xml:space="preserve"> Se acepta la sugerencia.  No se acepta otro modelo ni marca.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  <w:r w:rsidRPr="00083194">
        <w:rPr>
          <w:rFonts w:asciiTheme="majorHAnsi" w:hAnsiTheme="majorHAnsi" w:cstheme="majorHAnsi"/>
        </w:rPr>
        <w:t>Por medio de la presente le solicitamos a la Universidad, aclarar el ítem 17, multifuncional HP MFP M281 FDW, ya que el monitor LED que presenta este equipo y los relacionados a su familia son de 2.7" y la entidad requiere que el mismo sea de 3".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  <w:r w:rsidRPr="00083194">
        <w:rPr>
          <w:rFonts w:asciiTheme="majorHAnsi" w:hAnsiTheme="majorHAnsi" w:cstheme="majorHAnsi"/>
        </w:rPr>
        <w:t>Por lo anterior le solicitamos a la entidad, aclarar o modificar dicho ítem.</w:t>
      </w: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</w:p>
    <w:p w:rsidR="00083194" w:rsidRPr="00083194" w:rsidRDefault="00083194" w:rsidP="00083194">
      <w:pPr>
        <w:spacing w:line="240" w:lineRule="auto"/>
        <w:rPr>
          <w:rFonts w:asciiTheme="majorHAnsi" w:hAnsiTheme="majorHAnsi" w:cstheme="majorHAnsi"/>
        </w:rPr>
      </w:pPr>
      <w:proofErr w:type="gramStart"/>
      <w:r w:rsidRPr="00083194">
        <w:rPr>
          <w:rFonts w:asciiTheme="majorHAnsi" w:hAnsiTheme="majorHAnsi" w:cstheme="majorHAnsi"/>
          <w:color w:val="FF0000"/>
        </w:rPr>
        <w:t>R./</w:t>
      </w:r>
      <w:proofErr w:type="gramEnd"/>
      <w:r w:rsidRPr="00083194">
        <w:rPr>
          <w:rFonts w:asciiTheme="majorHAnsi" w:hAnsiTheme="majorHAnsi" w:cstheme="majorHAnsi"/>
          <w:color w:val="FF0000"/>
        </w:rPr>
        <w:t xml:space="preserve"> Se corrige </w:t>
      </w:r>
      <w:r w:rsidRPr="00083194">
        <w:rPr>
          <w:rFonts w:asciiTheme="majorHAnsi" w:hAnsiTheme="majorHAnsi" w:cstheme="majorHAnsi"/>
          <w:color w:val="FF0000"/>
        </w:rPr>
        <w:t>información</w:t>
      </w:r>
      <w:r w:rsidRPr="00083194">
        <w:rPr>
          <w:rFonts w:asciiTheme="majorHAnsi" w:hAnsiTheme="majorHAnsi" w:cstheme="majorHAnsi"/>
          <w:color w:val="FF0000"/>
        </w:rPr>
        <w:t xml:space="preserve"> con respecto al tamaño del panel LCD a 2.7”</w:t>
      </w:r>
    </w:p>
    <w:p w:rsidR="000C619A" w:rsidRPr="00083194" w:rsidRDefault="000C619A" w:rsidP="00083194">
      <w:pPr>
        <w:spacing w:line="240" w:lineRule="auto"/>
        <w:rPr>
          <w:rFonts w:asciiTheme="majorHAnsi" w:hAnsiTheme="majorHAnsi" w:cstheme="majorHAnsi"/>
        </w:rPr>
      </w:pPr>
    </w:p>
    <w:p w:rsidR="000C619A" w:rsidRPr="00083194" w:rsidRDefault="000C619A" w:rsidP="00083194">
      <w:pPr>
        <w:spacing w:line="240" w:lineRule="auto"/>
        <w:rPr>
          <w:rFonts w:asciiTheme="majorHAnsi" w:hAnsiTheme="majorHAnsi" w:cstheme="majorHAnsi"/>
        </w:rPr>
      </w:pPr>
    </w:p>
    <w:p w:rsidR="00001D3B" w:rsidRPr="00083194" w:rsidRDefault="00001D3B" w:rsidP="00083194">
      <w:pPr>
        <w:spacing w:line="240" w:lineRule="auto"/>
        <w:ind w:left="360"/>
        <w:rPr>
          <w:rFonts w:asciiTheme="majorHAnsi" w:hAnsiTheme="majorHAnsi" w:cstheme="majorHAnsi"/>
        </w:rPr>
      </w:pPr>
    </w:p>
    <w:p w:rsidR="00001D3B" w:rsidRPr="00083194" w:rsidRDefault="00024096" w:rsidP="00083194">
      <w:pPr>
        <w:tabs>
          <w:tab w:val="left" w:pos="720"/>
        </w:tabs>
        <w:spacing w:line="240" w:lineRule="auto"/>
        <w:rPr>
          <w:rFonts w:asciiTheme="majorHAnsi" w:hAnsiTheme="majorHAnsi" w:cstheme="majorHAnsi"/>
        </w:rPr>
      </w:pPr>
      <w:r w:rsidRPr="00083194">
        <w:rPr>
          <w:rFonts w:asciiTheme="majorHAnsi" w:hAnsiTheme="majorHAnsi" w:cstheme="majorHAnsi"/>
          <w:b/>
        </w:rPr>
        <w:t>Para recordar:</w:t>
      </w:r>
    </w:p>
    <w:p w:rsidR="00001D3B" w:rsidRPr="00083194" w:rsidRDefault="00024096" w:rsidP="00083194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Theme="majorHAnsi" w:hAnsiTheme="majorHAnsi" w:cstheme="majorHAnsi"/>
        </w:rPr>
      </w:pPr>
      <w:r w:rsidRPr="00083194">
        <w:rPr>
          <w:rFonts w:asciiTheme="majorHAnsi" w:hAnsiTheme="majorHAnsi" w:cstheme="majorHAnsi"/>
        </w:rPr>
        <w:t>Se recomienda a los participantes, ser muy cuidadosos con la presentación de todos los documentos exigidos y demás condiciones de la Convocatoria.</w:t>
      </w:r>
    </w:p>
    <w:p w:rsidR="00001D3B" w:rsidRPr="00083194" w:rsidRDefault="00024096" w:rsidP="00083194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Theme="majorHAnsi" w:hAnsiTheme="majorHAnsi" w:cstheme="majorHAnsi"/>
        </w:rPr>
      </w:pPr>
      <w:r w:rsidRPr="00083194">
        <w:rPr>
          <w:rFonts w:asciiTheme="majorHAnsi" w:hAnsiTheme="majorHAnsi" w:cstheme="majorHAnsi"/>
        </w:rPr>
        <w:t xml:space="preserve">Deben ser puntuales con el cronograma propuesto. </w:t>
      </w:r>
    </w:p>
    <w:p w:rsidR="00001D3B" w:rsidRPr="00083194" w:rsidRDefault="00024096" w:rsidP="00083194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Theme="majorHAnsi" w:hAnsiTheme="majorHAnsi" w:cstheme="majorHAnsi"/>
        </w:rPr>
      </w:pPr>
      <w:r w:rsidRPr="00083194">
        <w:rPr>
          <w:rFonts w:asciiTheme="majorHAnsi" w:hAnsiTheme="majorHAnsi" w:cstheme="majorHAnsi"/>
        </w:rPr>
        <w:t xml:space="preserve">Se recomienda leer detenidamente el contenido total de la Convocatoria, cuyas cláusulas son de estricto cumplimiento,  así como el contenido de las </w:t>
      </w:r>
      <w:r w:rsidRPr="00083194">
        <w:rPr>
          <w:rFonts w:asciiTheme="majorHAnsi" w:hAnsiTheme="majorHAnsi" w:cstheme="majorHAnsi"/>
          <w:b/>
        </w:rPr>
        <w:t>ADENDAS</w:t>
      </w:r>
      <w:r w:rsidRPr="00083194">
        <w:rPr>
          <w:rFonts w:asciiTheme="majorHAnsi" w:hAnsiTheme="majorHAnsi" w:cstheme="majorHAnsi"/>
        </w:rPr>
        <w:t xml:space="preserve">.  </w:t>
      </w:r>
    </w:p>
    <w:p w:rsidR="00001D3B" w:rsidRPr="00083194" w:rsidRDefault="00024096" w:rsidP="00083194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Theme="majorHAnsi" w:hAnsiTheme="majorHAnsi" w:cstheme="majorHAnsi"/>
        </w:rPr>
      </w:pPr>
      <w:r w:rsidRPr="00083194">
        <w:rPr>
          <w:rFonts w:asciiTheme="majorHAnsi" w:hAnsiTheme="majorHAnsi" w:cstheme="majorHAnsi"/>
        </w:rPr>
        <w:t>Para efectos de presentar la oferta, se requiere:   consultar todas las respuestas de las Adendas, la oferta económica debe presentarse en</w:t>
      </w:r>
      <w:r w:rsidRPr="00083194">
        <w:rPr>
          <w:rFonts w:asciiTheme="majorHAnsi" w:hAnsiTheme="majorHAnsi" w:cstheme="majorHAnsi"/>
          <w:b/>
        </w:rPr>
        <w:t xml:space="preserve"> </w:t>
      </w:r>
      <w:r w:rsidRPr="00083194">
        <w:rPr>
          <w:rFonts w:asciiTheme="majorHAnsi" w:hAnsiTheme="majorHAnsi" w:cstheme="majorHAnsi"/>
        </w:rPr>
        <w:t>el</w:t>
      </w:r>
      <w:r w:rsidR="00820175" w:rsidRPr="00083194">
        <w:rPr>
          <w:rFonts w:asciiTheme="majorHAnsi" w:hAnsiTheme="majorHAnsi" w:cstheme="majorHAnsi"/>
          <w:b/>
        </w:rPr>
        <w:t xml:space="preserve"> Anexo 1 </w:t>
      </w:r>
      <w:r w:rsidR="00083194">
        <w:rPr>
          <w:rFonts w:asciiTheme="majorHAnsi" w:hAnsiTheme="majorHAnsi" w:cstheme="majorHAnsi"/>
          <w:b/>
        </w:rPr>
        <w:t>Tercera</w:t>
      </w:r>
      <w:r w:rsidR="00820175" w:rsidRPr="00083194">
        <w:rPr>
          <w:rFonts w:asciiTheme="majorHAnsi" w:hAnsiTheme="majorHAnsi" w:cstheme="majorHAnsi"/>
          <w:b/>
        </w:rPr>
        <w:t xml:space="preserve"> Modificación</w:t>
      </w:r>
      <w:r w:rsidRPr="00083194">
        <w:rPr>
          <w:rFonts w:asciiTheme="majorHAnsi" w:hAnsiTheme="majorHAnsi" w:cstheme="majorHAnsi"/>
          <w:b/>
        </w:rPr>
        <w:t xml:space="preserve">, </w:t>
      </w:r>
      <w:r w:rsidRPr="00083194">
        <w:rPr>
          <w:rStyle w:val="Referenciasutil"/>
          <w:rFonts w:asciiTheme="majorHAnsi" w:hAnsiTheme="majorHAnsi" w:cstheme="majorHAnsi"/>
          <w:b/>
          <w:color w:val="auto"/>
        </w:rPr>
        <w:t>Insubsanable</w:t>
      </w:r>
      <w:r w:rsidRPr="00083194">
        <w:rPr>
          <w:rFonts w:asciiTheme="majorHAnsi" w:hAnsiTheme="majorHAnsi" w:cstheme="majorHAnsi"/>
          <w:b/>
        </w:rPr>
        <w:t xml:space="preserve"> </w:t>
      </w:r>
      <w:r w:rsidRPr="00083194">
        <w:rPr>
          <w:rFonts w:asciiTheme="majorHAnsi" w:hAnsiTheme="majorHAnsi" w:cstheme="majorHAnsi"/>
        </w:rPr>
        <w:t>por tratarse de la Presentación de la Oferta.</w:t>
      </w:r>
    </w:p>
    <w:p w:rsidR="00820175" w:rsidRPr="00083194" w:rsidRDefault="00820175" w:rsidP="00083194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Theme="majorHAnsi" w:hAnsiTheme="majorHAnsi" w:cstheme="majorHAnsi"/>
        </w:rPr>
      </w:pPr>
      <w:r w:rsidRPr="00083194">
        <w:rPr>
          <w:rFonts w:asciiTheme="majorHAnsi" w:hAnsiTheme="majorHAnsi" w:cstheme="majorHAnsi"/>
        </w:rPr>
        <w:t xml:space="preserve">Presentar el resumen de la oferta en </w:t>
      </w:r>
      <w:r w:rsidRPr="00083194">
        <w:rPr>
          <w:rFonts w:asciiTheme="majorHAnsi" w:hAnsiTheme="majorHAnsi" w:cstheme="majorHAnsi"/>
          <w:b/>
        </w:rPr>
        <w:t>el Anexo 2 Modifi</w:t>
      </w:r>
      <w:bookmarkStart w:id="0" w:name="_GoBack"/>
      <w:bookmarkEnd w:id="0"/>
      <w:r w:rsidRPr="00083194">
        <w:rPr>
          <w:rFonts w:asciiTheme="majorHAnsi" w:hAnsiTheme="majorHAnsi" w:cstheme="majorHAnsi"/>
          <w:b/>
        </w:rPr>
        <w:t>cado</w:t>
      </w:r>
      <w:r w:rsidRPr="00083194">
        <w:rPr>
          <w:rFonts w:asciiTheme="majorHAnsi" w:hAnsiTheme="majorHAnsi" w:cstheme="majorHAnsi"/>
        </w:rPr>
        <w:t>.</w:t>
      </w:r>
    </w:p>
    <w:p w:rsidR="00001D3B" w:rsidRPr="00083194" w:rsidRDefault="00024096" w:rsidP="00083194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Theme="majorHAnsi" w:hAnsiTheme="majorHAnsi" w:cstheme="majorHAnsi"/>
        </w:rPr>
      </w:pPr>
      <w:r w:rsidRPr="00083194">
        <w:rPr>
          <w:rFonts w:asciiTheme="majorHAnsi" w:hAnsiTheme="majorHAnsi" w:cstheme="majorHAnsi"/>
        </w:rPr>
        <w:lastRenderedPageBreak/>
        <w:t>Se recomienda además,  consultar permanentemente la Página Web de la Universidad, hasta el día de cierre de la Convocatoria a efecto de verificar cualquier información o modificación adicional.</w:t>
      </w:r>
    </w:p>
    <w:p w:rsidR="00001D3B" w:rsidRPr="00083194" w:rsidRDefault="00001D3B" w:rsidP="00083194">
      <w:pPr>
        <w:spacing w:line="240" w:lineRule="auto"/>
        <w:rPr>
          <w:rFonts w:asciiTheme="majorHAnsi" w:hAnsiTheme="majorHAnsi" w:cstheme="majorHAnsi"/>
        </w:rPr>
      </w:pPr>
    </w:p>
    <w:p w:rsidR="00083194" w:rsidRPr="00083194" w:rsidRDefault="00083194">
      <w:pPr>
        <w:spacing w:line="240" w:lineRule="auto"/>
        <w:rPr>
          <w:rFonts w:asciiTheme="majorHAnsi" w:hAnsiTheme="majorHAnsi" w:cstheme="majorHAnsi"/>
        </w:rPr>
      </w:pPr>
    </w:p>
    <w:sectPr w:rsidR="00083194" w:rsidRPr="0008319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DE1" w:rsidRDefault="003C6DE1">
      <w:pPr>
        <w:spacing w:after="0" w:line="240" w:lineRule="auto"/>
      </w:pPr>
      <w:r>
        <w:separator/>
      </w:r>
    </w:p>
  </w:endnote>
  <w:endnote w:type="continuationSeparator" w:id="0">
    <w:p w:rsidR="003C6DE1" w:rsidRDefault="003C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DE1" w:rsidRDefault="003C6DE1">
      <w:pPr>
        <w:spacing w:after="0" w:line="240" w:lineRule="auto"/>
      </w:pPr>
      <w:r>
        <w:separator/>
      </w:r>
    </w:p>
  </w:footnote>
  <w:footnote w:type="continuationSeparator" w:id="0">
    <w:p w:rsidR="003C6DE1" w:rsidRDefault="003C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3B" w:rsidRDefault="00024096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>UNIVERSIDAD TECNOLÓGICA DE PEREIRA</w:t>
    </w:r>
  </w:p>
  <w:p w:rsidR="00001D3B" w:rsidRDefault="00001D3B">
    <w:pPr>
      <w:spacing w:after="0" w:line="240" w:lineRule="auto"/>
      <w:jc w:val="center"/>
      <w:rPr>
        <w:b/>
        <w:sz w:val="20"/>
        <w:szCs w:val="20"/>
      </w:rPr>
    </w:pPr>
  </w:p>
  <w:p w:rsidR="00001D3B" w:rsidRDefault="00024096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>CONVOCATORIA PÚBLICA 34 de 2018</w:t>
    </w:r>
  </w:p>
  <w:p w:rsidR="00001D3B" w:rsidRDefault="00024096">
    <w:pPr>
      <w:jc w:val="center"/>
      <w:rPr>
        <w:b/>
      </w:rPr>
    </w:pPr>
    <w:r>
      <w:rPr>
        <w:b/>
      </w:rPr>
      <w:t>COMPRA DE EQUIPOS, PERIFÉRICOS, ACCESORIOS DE CÓMPUTO Y CONECTIVIDAD</w:t>
    </w:r>
  </w:p>
  <w:p w:rsidR="00001D3B" w:rsidRDefault="00001D3B">
    <w:pPr>
      <w:spacing w:after="0" w:line="240" w:lineRule="auto"/>
      <w:jc w:val="center"/>
      <w:rPr>
        <w:b/>
        <w:sz w:val="20"/>
        <w:szCs w:val="20"/>
      </w:rPr>
    </w:pPr>
  </w:p>
  <w:p w:rsidR="00001D3B" w:rsidRDefault="00024096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 xml:space="preserve">ADENDA </w:t>
    </w:r>
    <w:r w:rsidR="000C619A">
      <w:rPr>
        <w:b/>
        <w:color w:val="222222"/>
        <w:sz w:val="20"/>
        <w:szCs w:val="20"/>
      </w:rPr>
      <w:t>4</w:t>
    </w:r>
    <w:r>
      <w:rPr>
        <w:b/>
        <w:color w:val="222222"/>
        <w:sz w:val="20"/>
        <w:szCs w:val="20"/>
      </w:rPr>
      <w:t xml:space="preserve"> – </w:t>
    </w:r>
    <w:r w:rsidR="000C619A">
      <w:rPr>
        <w:b/>
        <w:color w:val="222222"/>
        <w:sz w:val="20"/>
        <w:szCs w:val="20"/>
      </w:rPr>
      <w:t>ACLARACIÓN</w:t>
    </w:r>
  </w:p>
  <w:p w:rsidR="00001D3B" w:rsidRDefault="00001D3B">
    <w:pPr>
      <w:tabs>
        <w:tab w:val="center" w:pos="4419"/>
        <w:tab w:val="right" w:pos="8838"/>
      </w:tabs>
      <w:spacing w:after="0" w:line="240" w:lineRule="auto"/>
      <w:rPr>
        <w:b/>
        <w:sz w:val="20"/>
        <w:szCs w:val="20"/>
      </w:rPr>
    </w:pPr>
  </w:p>
  <w:p w:rsidR="00001D3B" w:rsidRDefault="00001D3B">
    <w:pPr>
      <w:tabs>
        <w:tab w:val="center" w:pos="4419"/>
        <w:tab w:val="right" w:pos="8838"/>
      </w:tabs>
      <w:spacing w:after="0" w:line="240" w:lineRule="auto"/>
      <w:rPr>
        <w:b/>
      </w:rPr>
    </w:pPr>
  </w:p>
  <w:p w:rsidR="00001D3B" w:rsidRDefault="00001D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2F3"/>
    <w:multiLevelType w:val="multilevel"/>
    <w:tmpl w:val="664A9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4376"/>
    <w:multiLevelType w:val="multilevel"/>
    <w:tmpl w:val="8CFC3A34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2" w15:restartNumberingAfterBreak="0">
    <w:nsid w:val="21EE61AB"/>
    <w:multiLevelType w:val="multilevel"/>
    <w:tmpl w:val="7252555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71441F"/>
    <w:multiLevelType w:val="multilevel"/>
    <w:tmpl w:val="5C8834D6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565BCF"/>
    <w:multiLevelType w:val="multilevel"/>
    <w:tmpl w:val="C93A6D52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CB95736"/>
    <w:multiLevelType w:val="multilevel"/>
    <w:tmpl w:val="E4841836"/>
    <w:lvl w:ilvl="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5A7275"/>
    <w:multiLevelType w:val="multilevel"/>
    <w:tmpl w:val="92BA8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32B51"/>
    <w:multiLevelType w:val="multilevel"/>
    <w:tmpl w:val="00004E4C"/>
    <w:lvl w:ilvl="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3B"/>
    <w:rsid w:val="00001D3B"/>
    <w:rsid w:val="00024096"/>
    <w:rsid w:val="000801E1"/>
    <w:rsid w:val="00083194"/>
    <w:rsid w:val="000C619A"/>
    <w:rsid w:val="001576EF"/>
    <w:rsid w:val="00252D3C"/>
    <w:rsid w:val="002C20D8"/>
    <w:rsid w:val="003551A2"/>
    <w:rsid w:val="003C6DE1"/>
    <w:rsid w:val="004205C1"/>
    <w:rsid w:val="00582AEE"/>
    <w:rsid w:val="006638FE"/>
    <w:rsid w:val="0069692F"/>
    <w:rsid w:val="00735239"/>
    <w:rsid w:val="00820175"/>
    <w:rsid w:val="009F3EBB"/>
    <w:rsid w:val="00A11FF8"/>
    <w:rsid w:val="00A94558"/>
    <w:rsid w:val="00B20C20"/>
    <w:rsid w:val="00B60C80"/>
    <w:rsid w:val="00D9102E"/>
    <w:rsid w:val="00E43498"/>
    <w:rsid w:val="00F56CC6"/>
    <w:rsid w:val="00F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19151DE-7584-461B-8A5D-3134CAE5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F3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EBB"/>
  </w:style>
  <w:style w:type="paragraph" w:styleId="Piedepgina">
    <w:name w:val="footer"/>
    <w:basedOn w:val="Normal"/>
    <w:link w:val="PiedepginaCar"/>
    <w:uiPriority w:val="99"/>
    <w:unhideWhenUsed/>
    <w:rsid w:val="009F3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EBB"/>
  </w:style>
  <w:style w:type="character" w:styleId="Referenciasutil">
    <w:name w:val="Subtle Reference"/>
    <w:basedOn w:val="Fuentedeprrafopredeter"/>
    <w:uiPriority w:val="31"/>
    <w:qFormat/>
    <w:rsid w:val="00820175"/>
    <w:rPr>
      <w:smallCaps/>
      <w:color w:val="5A5A5A" w:themeColor="text1" w:themeTint="A5"/>
    </w:rPr>
  </w:style>
  <w:style w:type="character" w:customStyle="1" w:styleId="apple-converted-space">
    <w:name w:val="apple-converted-space"/>
    <w:basedOn w:val="Fuentedeprrafopredeter"/>
    <w:rsid w:val="00083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Nueva Aura Li</dc:creator>
  <cp:lastModifiedBy>Usuarios invitados</cp:lastModifiedBy>
  <cp:revision>2</cp:revision>
  <dcterms:created xsi:type="dcterms:W3CDTF">2018-04-19T01:46:00Z</dcterms:created>
  <dcterms:modified xsi:type="dcterms:W3CDTF">2018-04-19T01:46:00Z</dcterms:modified>
</cp:coreProperties>
</file>