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FB" w:rsidRPr="00905EFB" w:rsidRDefault="00905EFB" w:rsidP="00252D3C">
      <w:pPr>
        <w:rPr>
          <w:sz w:val="20"/>
          <w:szCs w:val="20"/>
        </w:rPr>
      </w:pPr>
      <w:r w:rsidRPr="00905EFB">
        <w:rPr>
          <w:sz w:val="20"/>
          <w:szCs w:val="20"/>
        </w:rPr>
        <w:t>La Universidad T</w:t>
      </w:r>
      <w:bookmarkStart w:id="0" w:name="_GoBack"/>
      <w:bookmarkEnd w:id="0"/>
      <w:r w:rsidRPr="00905EFB">
        <w:rPr>
          <w:sz w:val="20"/>
          <w:szCs w:val="20"/>
        </w:rPr>
        <w:t>ecnológica de Pereira, da respuesta a las dudas presentadas frente a la Convocatoria Pública 68 de 2018.</w:t>
      </w:r>
    </w:p>
    <w:p w:rsidR="00905EFB" w:rsidRDefault="00905EFB" w:rsidP="00252D3C">
      <w:pPr>
        <w:rPr>
          <w:b/>
          <w:sz w:val="20"/>
          <w:szCs w:val="20"/>
        </w:rPr>
      </w:pPr>
    </w:p>
    <w:p w:rsidR="00001D3B" w:rsidRDefault="00024096" w:rsidP="00252D3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OBSERVACIÓN 1</w:t>
      </w:r>
    </w:p>
    <w:p w:rsidR="00905EFB" w:rsidRDefault="00905EFB" w:rsidP="00905EFB">
      <w:r>
        <w:t xml:space="preserve">  1.  Por favor informar si la Universidad cuenta con licenciamiento adobe en Uso en este </w:t>
      </w:r>
      <w:proofErr w:type="gramStart"/>
      <w:r>
        <w:t>momento.?</w:t>
      </w:r>
      <w:proofErr w:type="gramEnd"/>
    </w:p>
    <w:p w:rsidR="00905EFB" w:rsidRPr="00EB5142" w:rsidRDefault="00905EFB" w:rsidP="00905EFB">
      <w:pPr>
        <w:rPr>
          <w:color w:val="FF0000"/>
        </w:rPr>
      </w:pPr>
      <w:proofErr w:type="gramStart"/>
      <w:r>
        <w:rPr>
          <w:color w:val="FF0000"/>
        </w:rPr>
        <w:t>R./</w:t>
      </w:r>
      <w:proofErr w:type="gramEnd"/>
      <w:r>
        <w:rPr>
          <w:color w:val="FF0000"/>
        </w:rPr>
        <w:t xml:space="preserve"> Sí. La Universidad cuenta con licenciamiento Adobe en uso en este momento.</w:t>
      </w:r>
    </w:p>
    <w:p w:rsidR="00905EFB" w:rsidRDefault="00905EFB" w:rsidP="00905EFB">
      <w:r>
        <w:br/>
        <w:t>  2.  Si la respuesta es positiva por favor enviar el Número de Contrato VIP que se tiene con Adobe.</w:t>
      </w:r>
    </w:p>
    <w:p w:rsidR="00905EFB" w:rsidRDefault="00905EFB" w:rsidP="00905EFB">
      <w:proofErr w:type="gramStart"/>
      <w:r>
        <w:t>R./</w:t>
      </w:r>
      <w:proofErr w:type="gramEnd"/>
      <w:r>
        <w:t xml:space="preserve"> Los contratos VIP con la UTP son:</w:t>
      </w:r>
    </w:p>
    <w:p w:rsidR="00905EFB" w:rsidRPr="00EB5142" w:rsidRDefault="00905EFB" w:rsidP="00905EFB">
      <w:pPr>
        <w:rPr>
          <w:color w:val="FF0000"/>
        </w:rPr>
      </w:pPr>
      <w:r w:rsidRPr="00C919FE">
        <w:rPr>
          <w:color w:val="FF0000"/>
        </w:rPr>
        <w:t>A24CB769820DE8736D7A</w:t>
      </w:r>
    </w:p>
    <w:p w:rsidR="00905EFB" w:rsidRPr="00EB5142" w:rsidRDefault="00905EFB" w:rsidP="00905EFB">
      <w:pPr>
        <w:rPr>
          <w:color w:val="FF0000"/>
        </w:rPr>
      </w:pPr>
      <w:r w:rsidRPr="00C919FE">
        <w:rPr>
          <w:color w:val="FF0000"/>
        </w:rPr>
        <w:t>939E041EE4928FB491BA</w:t>
      </w:r>
    </w:p>
    <w:p w:rsidR="00905EFB" w:rsidRPr="00EB5142" w:rsidRDefault="00905EFB" w:rsidP="00905EFB">
      <w:pPr>
        <w:rPr>
          <w:color w:val="FF0000"/>
        </w:rPr>
      </w:pPr>
      <w:r w:rsidRPr="00C919FE">
        <w:rPr>
          <w:color w:val="FF0000"/>
        </w:rPr>
        <w:t>BCAE444C7FE52E7471CA</w:t>
      </w:r>
    </w:p>
    <w:p w:rsidR="00905EFB" w:rsidRPr="00EB5142" w:rsidRDefault="00905EFB" w:rsidP="00905EFB">
      <w:pPr>
        <w:rPr>
          <w:color w:val="FF0000"/>
        </w:rPr>
      </w:pPr>
      <w:r w:rsidRPr="00C919FE">
        <w:rPr>
          <w:color w:val="FF0000"/>
        </w:rPr>
        <w:t>FF39B9D6A601DB30321A</w:t>
      </w:r>
    </w:p>
    <w:p w:rsidR="00905EFB" w:rsidRPr="00EB5142" w:rsidRDefault="00905EFB" w:rsidP="00905EFB">
      <w:pPr>
        <w:rPr>
          <w:color w:val="FF0000"/>
        </w:rPr>
      </w:pPr>
      <w:r w:rsidRPr="00C919FE">
        <w:rPr>
          <w:color w:val="FF0000"/>
        </w:rPr>
        <w:t>6FC8C6FD57C5C6D4919A</w:t>
      </w:r>
    </w:p>
    <w:p w:rsidR="00905EFB" w:rsidRPr="00EB5142" w:rsidRDefault="00905EFB" w:rsidP="00905EFB">
      <w:pPr>
        <w:rPr>
          <w:color w:val="FF0000"/>
        </w:rPr>
      </w:pPr>
      <w:r w:rsidRPr="00C919FE">
        <w:rPr>
          <w:color w:val="FF0000"/>
        </w:rPr>
        <w:t>DC56B34B3471B84395BA</w:t>
      </w:r>
    </w:p>
    <w:p w:rsidR="00905EFB" w:rsidRPr="005A2907" w:rsidRDefault="00905EFB" w:rsidP="00905EFB">
      <w:pPr>
        <w:rPr>
          <w:color w:val="FF0000"/>
          <w:lang w:val="en-US"/>
        </w:rPr>
      </w:pPr>
      <w:r w:rsidRPr="005A2907">
        <w:rPr>
          <w:color w:val="FF0000"/>
          <w:lang w:val="en-US"/>
        </w:rPr>
        <w:t>0505BCB695B261EA571A</w:t>
      </w:r>
    </w:p>
    <w:p w:rsidR="00905EFB" w:rsidRPr="005A2907" w:rsidRDefault="00905EFB" w:rsidP="00905EFB">
      <w:pPr>
        <w:rPr>
          <w:color w:val="FF0000"/>
          <w:lang w:val="en-US"/>
        </w:rPr>
      </w:pPr>
      <w:r w:rsidRPr="005A2907">
        <w:rPr>
          <w:color w:val="FF0000"/>
          <w:lang w:val="en-US"/>
        </w:rPr>
        <w:t>28555C0B03591ADFA3BA</w:t>
      </w:r>
    </w:p>
    <w:p w:rsidR="00905EFB" w:rsidRPr="005A2907" w:rsidRDefault="00905EFB" w:rsidP="00905EFB">
      <w:pPr>
        <w:rPr>
          <w:color w:val="FF0000"/>
          <w:lang w:val="en-US"/>
        </w:rPr>
      </w:pPr>
      <w:r w:rsidRPr="005A2907">
        <w:rPr>
          <w:color w:val="FF0000"/>
          <w:lang w:val="en-US"/>
        </w:rPr>
        <w:t>233DD80267CE82732A6A</w:t>
      </w:r>
    </w:p>
    <w:p w:rsidR="00905EFB" w:rsidRPr="005A2907" w:rsidRDefault="00905EFB" w:rsidP="00905EFB">
      <w:pPr>
        <w:rPr>
          <w:color w:val="FF0000"/>
          <w:lang w:val="en-US"/>
        </w:rPr>
      </w:pPr>
      <w:r w:rsidRPr="005A2907">
        <w:rPr>
          <w:color w:val="FF0000"/>
          <w:lang w:val="en-US"/>
        </w:rPr>
        <w:t>6A56D401A6F2375550AA</w:t>
      </w:r>
    </w:p>
    <w:p w:rsidR="00905EFB" w:rsidRPr="005A2907" w:rsidRDefault="00905EFB" w:rsidP="00905EFB">
      <w:pPr>
        <w:rPr>
          <w:color w:val="FF0000"/>
          <w:lang w:val="en-US"/>
        </w:rPr>
      </w:pPr>
      <w:r w:rsidRPr="005A2907">
        <w:rPr>
          <w:color w:val="FF0000"/>
          <w:lang w:val="en-US"/>
        </w:rPr>
        <w:t>C79F2914897108B0C55A</w:t>
      </w:r>
    </w:p>
    <w:p w:rsidR="00905EFB" w:rsidRPr="005A2907" w:rsidRDefault="00905EFB" w:rsidP="00905EFB">
      <w:pPr>
        <w:rPr>
          <w:color w:val="FF0000"/>
          <w:lang w:val="en-US"/>
        </w:rPr>
      </w:pPr>
      <w:r w:rsidRPr="005A2907">
        <w:rPr>
          <w:color w:val="FF0000"/>
          <w:lang w:val="en-US"/>
        </w:rPr>
        <w:t>18CF0FAB870D590BF76A</w:t>
      </w:r>
    </w:p>
    <w:p w:rsidR="00905EFB" w:rsidRPr="00EB5142" w:rsidRDefault="00905EFB" w:rsidP="00905EFB">
      <w:pPr>
        <w:rPr>
          <w:color w:val="FF0000"/>
        </w:rPr>
      </w:pPr>
      <w:r w:rsidRPr="00C919FE">
        <w:rPr>
          <w:color w:val="FF0000"/>
        </w:rPr>
        <w:t>A2836B43BB6BFCD760AA</w:t>
      </w:r>
    </w:p>
    <w:p w:rsidR="00905EFB" w:rsidRDefault="00905EFB" w:rsidP="00905EFB">
      <w:r>
        <w:br/>
        <w:t>  3.  Si la Universidad ya tienen licencias Adobe en Uso.  Las que van a adquirir son todas nuevas o hay licencias para renovación</w:t>
      </w:r>
      <w:proofErr w:type="gramStart"/>
      <w:r>
        <w:t>?.</w:t>
      </w:r>
      <w:proofErr w:type="gramEnd"/>
      <w:r>
        <w:t xml:space="preserve"> </w:t>
      </w:r>
      <w:r w:rsidR="00613773">
        <w:t>Cuáles</w:t>
      </w:r>
      <w:r>
        <w:t xml:space="preserve"> son</w:t>
      </w:r>
      <w:proofErr w:type="gramStart"/>
      <w:r>
        <w:t>?.</w:t>
      </w:r>
      <w:proofErr w:type="gramEnd"/>
    </w:p>
    <w:p w:rsidR="00905EFB" w:rsidRPr="00EB5142" w:rsidRDefault="00905EFB" w:rsidP="00905EFB">
      <w:pPr>
        <w:rPr>
          <w:color w:val="FF0000"/>
        </w:rPr>
      </w:pPr>
      <w:proofErr w:type="gramStart"/>
      <w:r>
        <w:rPr>
          <w:color w:val="FF0000"/>
        </w:rPr>
        <w:t>R./</w:t>
      </w:r>
      <w:proofErr w:type="gramEnd"/>
      <w:r>
        <w:rPr>
          <w:color w:val="FF0000"/>
        </w:rPr>
        <w:t xml:space="preserve">  Las Licencias a comprar s</w:t>
      </w:r>
      <w:r w:rsidRPr="00EB5142">
        <w:rPr>
          <w:color w:val="FF0000"/>
        </w:rPr>
        <w:t>on todas nuevas</w:t>
      </w:r>
      <w:r>
        <w:rPr>
          <w:color w:val="FF0000"/>
        </w:rPr>
        <w:t>.</w:t>
      </w:r>
    </w:p>
    <w:p w:rsidR="00905EFB" w:rsidRDefault="00905EFB" w:rsidP="00905EFB">
      <w:r>
        <w:lastRenderedPageBreak/>
        <w:br/>
        <w:t xml:space="preserve">  4.  Favor indicar si las </w:t>
      </w:r>
      <w:r>
        <w:t>licencias</w:t>
      </w:r>
      <w:r>
        <w:t xml:space="preserve"> del ITEM 3.  Son por 1 año o por 2 años como lo indica los </w:t>
      </w:r>
      <w:proofErr w:type="spellStart"/>
      <w:r>
        <w:t>item</w:t>
      </w:r>
      <w:proofErr w:type="spellEnd"/>
      <w:r>
        <w:t xml:space="preserve"> 4 y 5</w:t>
      </w:r>
    </w:p>
    <w:p w:rsidR="00905EFB" w:rsidRPr="00EB5142" w:rsidRDefault="00905EFB" w:rsidP="00905EFB">
      <w:pPr>
        <w:rPr>
          <w:color w:val="FF0000"/>
        </w:rPr>
      </w:pPr>
      <w:proofErr w:type="gramStart"/>
      <w:r w:rsidRPr="00EB5142">
        <w:rPr>
          <w:color w:val="FF0000"/>
        </w:rPr>
        <w:t>R./</w:t>
      </w:r>
      <w:proofErr w:type="gramEnd"/>
      <w:r w:rsidRPr="00EB5142">
        <w:rPr>
          <w:color w:val="FF0000"/>
        </w:rPr>
        <w:t xml:space="preserve"> </w:t>
      </w:r>
      <w:r>
        <w:rPr>
          <w:color w:val="FF0000"/>
        </w:rPr>
        <w:t xml:space="preserve">Se corrige </w:t>
      </w:r>
      <w:r>
        <w:rPr>
          <w:color w:val="FF0000"/>
        </w:rPr>
        <w:t>información</w:t>
      </w:r>
      <w:r>
        <w:rPr>
          <w:color w:val="FF0000"/>
        </w:rPr>
        <w:t>.</w:t>
      </w:r>
      <w:r>
        <w:rPr>
          <w:color w:val="FF0000"/>
        </w:rPr>
        <w:t xml:space="preserve"> </w:t>
      </w:r>
      <w:r w:rsidRPr="00EB5142">
        <w:rPr>
          <w:color w:val="FF0000"/>
        </w:rPr>
        <w:t>Son por un año</w:t>
      </w:r>
      <w:r>
        <w:rPr>
          <w:color w:val="FF0000"/>
        </w:rPr>
        <w:t>.</w:t>
      </w:r>
      <w:r>
        <w:rPr>
          <w:color w:val="FF0000"/>
        </w:rPr>
        <w:t xml:space="preserve"> Ver Anexo 1 Modificado.</w:t>
      </w:r>
    </w:p>
    <w:p w:rsidR="00905EFB" w:rsidRDefault="00905EFB" w:rsidP="00905EFB">
      <w:r>
        <w:br/>
        <w:t xml:space="preserve">  5.  Comedidamente solicitamos informar porque la entidad va a comprar 3 Licencias comerciales ITEM 4.  Si estas son </w:t>
      </w:r>
      <w:r>
        <w:t>más</w:t>
      </w:r>
      <w:r>
        <w:t xml:space="preserve"> costosas pudiendo comprar 5 Licencias Educativas en el </w:t>
      </w:r>
      <w:proofErr w:type="spellStart"/>
      <w:r>
        <w:t>Item</w:t>
      </w:r>
      <w:proofErr w:type="spellEnd"/>
      <w:r>
        <w:t xml:space="preserve"> No. 5  (Nota. Son las mismas licencias, la </w:t>
      </w:r>
      <w:r>
        <w:t>única</w:t>
      </w:r>
      <w:r>
        <w:t xml:space="preserve"> diferencia es el precio y las Instituciones de Educación las pueden comprar para su personal </w:t>
      </w:r>
      <w:proofErr w:type="spellStart"/>
      <w:r>
        <w:t>Administativo</w:t>
      </w:r>
      <w:proofErr w:type="spellEnd"/>
      <w:r>
        <w:t>).</w:t>
      </w:r>
    </w:p>
    <w:p w:rsidR="00905EFB" w:rsidRPr="00EB5142" w:rsidRDefault="00905EFB" w:rsidP="00905EFB">
      <w:pPr>
        <w:rPr>
          <w:color w:val="FF0000"/>
        </w:rPr>
      </w:pPr>
      <w:proofErr w:type="gramStart"/>
      <w:r w:rsidRPr="00EB5142">
        <w:rPr>
          <w:color w:val="FF0000"/>
        </w:rPr>
        <w:t>R./</w:t>
      </w:r>
      <w:proofErr w:type="gramEnd"/>
      <w:r w:rsidRPr="00EB5142">
        <w:rPr>
          <w:color w:val="FF0000"/>
        </w:rPr>
        <w:t xml:space="preserve"> Estas licencias son para ofrecer productos </w:t>
      </w:r>
      <w:r>
        <w:rPr>
          <w:color w:val="FF0000"/>
        </w:rPr>
        <w:t xml:space="preserve">y servicios </w:t>
      </w:r>
      <w:r w:rsidRPr="00EB5142">
        <w:rPr>
          <w:color w:val="FF0000"/>
        </w:rPr>
        <w:t>comerciales</w:t>
      </w:r>
      <w:r>
        <w:rPr>
          <w:color w:val="FF0000"/>
        </w:rPr>
        <w:t>.</w:t>
      </w:r>
    </w:p>
    <w:p w:rsidR="00905EFB" w:rsidRDefault="00905EFB" w:rsidP="00905EFB">
      <w:r>
        <w:br/>
        <w:t xml:space="preserve">  6.  Indicar si las licencias del </w:t>
      </w:r>
      <w:proofErr w:type="spellStart"/>
      <w:r>
        <w:t>Item</w:t>
      </w:r>
      <w:proofErr w:type="spellEnd"/>
      <w:r>
        <w:t xml:space="preserve"> 7 son Licencias Perpetuas o Licencias Cloud.  Ya que esta es la </w:t>
      </w:r>
      <w:r>
        <w:t>única</w:t>
      </w:r>
      <w:r>
        <w:t xml:space="preserve"> licencia que tiene estas 2 Opciones. </w:t>
      </w:r>
      <w:proofErr w:type="gramStart"/>
      <w:r>
        <w:t>y</w:t>
      </w:r>
      <w:proofErr w:type="gramEnd"/>
      <w:r>
        <w:t xml:space="preserve"> si es Cloud a que tiempo (1 año, 2, Años o 3 años).</w:t>
      </w:r>
      <w:r>
        <w:br/>
        <w:t xml:space="preserve">7 LICENCIAS ACADEMICAS ADOBE ACROBAT PRO DC. ADOBE </w:t>
      </w:r>
    </w:p>
    <w:p w:rsidR="00905EFB" w:rsidRPr="00EB5142" w:rsidRDefault="00905EFB" w:rsidP="00905EFB">
      <w:pPr>
        <w:rPr>
          <w:color w:val="FF0000"/>
        </w:rPr>
      </w:pPr>
      <w:proofErr w:type="gramStart"/>
      <w:r w:rsidRPr="00EB5142">
        <w:rPr>
          <w:color w:val="FF0000"/>
        </w:rPr>
        <w:t>R./</w:t>
      </w:r>
      <w:proofErr w:type="gramEnd"/>
      <w:r w:rsidRPr="00EB5142">
        <w:rPr>
          <w:color w:val="FF0000"/>
        </w:rPr>
        <w:t xml:space="preserve"> </w:t>
      </w:r>
      <w:r>
        <w:rPr>
          <w:color w:val="FF0000"/>
        </w:rPr>
        <w:t>La licencias s</w:t>
      </w:r>
      <w:r w:rsidRPr="00EB5142">
        <w:rPr>
          <w:color w:val="FF0000"/>
        </w:rPr>
        <w:t>on perpetuas</w:t>
      </w:r>
      <w:r>
        <w:rPr>
          <w:color w:val="FF0000"/>
        </w:rPr>
        <w:t>.</w:t>
      </w:r>
    </w:p>
    <w:p w:rsidR="00905EFB" w:rsidRDefault="00905EFB" w:rsidP="00905EFB">
      <w:r>
        <w:br/>
        <w:t xml:space="preserve">  7.  Favor indicar el </w:t>
      </w:r>
      <w:r>
        <w:t>número</w:t>
      </w:r>
      <w:r>
        <w:t xml:space="preserve"> de parte requerido para </w:t>
      </w:r>
      <w:proofErr w:type="spellStart"/>
      <w:r>
        <w:t>Item</w:t>
      </w:r>
      <w:proofErr w:type="spellEnd"/>
      <w:r>
        <w:t xml:space="preserve"> No. 1.  Ya que existen 2 tipos de licencias para escritorios Virtuales. VDA - VDI.  Esto con el fin de poder ofrecer la licencia y el precio </w:t>
      </w:r>
      <w:r>
        <w:t>correcto</w:t>
      </w:r>
      <w:r>
        <w:t>.</w:t>
      </w:r>
    </w:p>
    <w:p w:rsidR="00905EFB" w:rsidRPr="005A2907" w:rsidRDefault="00905EFB" w:rsidP="00905EFB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gramStart"/>
      <w:r w:rsidRPr="00EB5142">
        <w:rPr>
          <w:color w:val="FF0000"/>
        </w:rPr>
        <w:t>R./</w:t>
      </w:r>
      <w:proofErr w:type="gramEnd"/>
      <w:r w:rsidRPr="00EB5142">
        <w:rPr>
          <w:color w:val="FF0000"/>
        </w:rPr>
        <w:t xml:space="preserve"> El </w:t>
      </w:r>
      <w:r w:rsidRPr="00EB5142">
        <w:rPr>
          <w:color w:val="FF0000"/>
        </w:rPr>
        <w:t>número</w:t>
      </w:r>
      <w:r w:rsidRPr="00EB5142">
        <w:rPr>
          <w:color w:val="FF0000"/>
        </w:rPr>
        <w:t xml:space="preserve"> de parte del producto es</w:t>
      </w:r>
      <w:r>
        <w:rPr>
          <w:color w:val="FF0000"/>
        </w:rPr>
        <w:t>:</w:t>
      </w:r>
      <w:r w:rsidRPr="00EB5142">
        <w:rPr>
          <w:color w:val="FF0000"/>
        </w:rPr>
        <w:t xml:space="preserve"> </w:t>
      </w:r>
      <w:r w:rsidRPr="005A2907">
        <w:rPr>
          <w:rFonts w:ascii="Segoe UI" w:eastAsia="Times New Roman" w:hAnsi="Segoe UI" w:cs="Segoe UI"/>
          <w:color w:val="FF0000"/>
          <w:sz w:val="18"/>
          <w:szCs w:val="18"/>
          <w:shd w:val="clear" w:color="auto" w:fill="FFFFFF"/>
        </w:rPr>
        <w:t>4ZF-00014</w:t>
      </w:r>
    </w:p>
    <w:p w:rsidR="00905EFB" w:rsidRDefault="00905EFB" w:rsidP="00905EFB">
      <w:r>
        <w:br/>
        <w:t xml:space="preserve">  8.  Para licencias </w:t>
      </w:r>
      <w:proofErr w:type="spellStart"/>
      <w:r>
        <w:t>Microsfot</w:t>
      </w:r>
      <w:proofErr w:type="spellEnd"/>
      <w:r>
        <w:t xml:space="preserve"> y Adobe </w:t>
      </w:r>
      <w:r>
        <w:t>solicitamos</w:t>
      </w:r>
      <w:r>
        <w:t xml:space="preserve"> que se pida que los oferentes presenten una </w:t>
      </w:r>
      <w:r>
        <w:t>certificación</w:t>
      </w:r>
      <w:r>
        <w:t xml:space="preserve"> expedida por los fabricantes como distribuidores autorizados.  Esto con el fin de que se pueda dar un correcto asesoramiento en temas de licenciamiento de estos productos.</w:t>
      </w:r>
    </w:p>
    <w:p w:rsidR="00905EFB" w:rsidRDefault="00905EFB" w:rsidP="00905EFB">
      <w:pPr>
        <w:rPr>
          <w:color w:val="FF0000"/>
        </w:rPr>
      </w:pPr>
      <w:proofErr w:type="gramStart"/>
      <w:r w:rsidRPr="003B1BBE">
        <w:rPr>
          <w:color w:val="FF0000"/>
        </w:rPr>
        <w:t>R./</w:t>
      </w:r>
      <w:proofErr w:type="gramEnd"/>
      <w:r w:rsidRPr="003B1BBE">
        <w:rPr>
          <w:color w:val="FF0000"/>
        </w:rPr>
        <w:t xml:space="preserve"> No se acepta</w:t>
      </w:r>
      <w:r>
        <w:rPr>
          <w:color w:val="FF0000"/>
        </w:rPr>
        <w:t>.</w:t>
      </w:r>
    </w:p>
    <w:p w:rsidR="00905EFB" w:rsidRDefault="00905EFB" w:rsidP="00905EFB">
      <w:pPr>
        <w:rPr>
          <w:color w:val="FF0000"/>
        </w:rPr>
      </w:pPr>
    </w:p>
    <w:p w:rsidR="00905EFB" w:rsidRDefault="00905EFB" w:rsidP="00905EFB">
      <w:r>
        <w:rPr>
          <w:color w:val="FF0000"/>
        </w:rPr>
        <w:t xml:space="preserve">Nota: El </w:t>
      </w:r>
      <w:proofErr w:type="spellStart"/>
      <w:r>
        <w:rPr>
          <w:color w:val="FF0000"/>
        </w:rPr>
        <w:t>item</w:t>
      </w:r>
      <w:proofErr w:type="spellEnd"/>
      <w:r>
        <w:rPr>
          <w:color w:val="FF0000"/>
        </w:rPr>
        <w:t xml:space="preserve"> 2 se modifica a: </w:t>
      </w:r>
      <w:r w:rsidRPr="003B1BBE">
        <w:rPr>
          <w:color w:val="FF0000"/>
        </w:rPr>
        <w:t>LICENCIA NETWORK INVENTORY ADVISOR.  NODOS ILIMITADOS. ACTUALIZACIONES DE POR VIDA</w:t>
      </w:r>
      <w:r>
        <w:rPr>
          <w:color w:val="FF0000"/>
        </w:rPr>
        <w:t>.  Ver Anexo 1 Modificado.</w:t>
      </w:r>
    </w:p>
    <w:p w:rsidR="00905EFB" w:rsidRPr="003B1BBE" w:rsidRDefault="00905EFB" w:rsidP="00905EFB">
      <w:pPr>
        <w:rPr>
          <w:color w:val="FF0000"/>
        </w:rPr>
      </w:pPr>
    </w:p>
    <w:p w:rsidR="00001D3B" w:rsidRDefault="00001D3B" w:rsidP="00252D3C">
      <w:pPr>
        <w:ind w:left="360"/>
        <w:rPr>
          <w:sz w:val="20"/>
          <w:szCs w:val="20"/>
        </w:rPr>
      </w:pPr>
    </w:p>
    <w:p w:rsidR="00001D3B" w:rsidRPr="00905EFB" w:rsidRDefault="00024096" w:rsidP="00252D3C">
      <w:pPr>
        <w:tabs>
          <w:tab w:val="left" w:pos="720"/>
        </w:tabs>
      </w:pPr>
      <w:r w:rsidRPr="00905EFB">
        <w:rPr>
          <w:b/>
        </w:rPr>
        <w:lastRenderedPageBreak/>
        <w:t>Para recordar:</w:t>
      </w:r>
    </w:p>
    <w:p w:rsidR="00001D3B" w:rsidRPr="00905EFB" w:rsidRDefault="00024096" w:rsidP="00252D3C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</w:pPr>
      <w:r w:rsidRPr="00905EFB">
        <w:t>Se recomienda a los participantes, ser muy cuidadosos con la presentación de todos los documentos exigidos y demás condiciones de la Convocatoria.</w:t>
      </w:r>
    </w:p>
    <w:p w:rsidR="00001D3B" w:rsidRPr="00905EFB" w:rsidRDefault="00024096" w:rsidP="00252D3C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</w:pPr>
      <w:r w:rsidRPr="00905EFB">
        <w:t xml:space="preserve">Deben ser puntuales con el cronograma propuesto. </w:t>
      </w:r>
    </w:p>
    <w:p w:rsidR="00001D3B" w:rsidRPr="00905EFB" w:rsidRDefault="00024096" w:rsidP="00252D3C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</w:pPr>
      <w:r w:rsidRPr="00905EFB">
        <w:t xml:space="preserve">Se recomienda leer detenidamente el contenido total de la Convocatoria, cuyas cláusulas son de estricto cumplimiento,  así como el contenido de las </w:t>
      </w:r>
      <w:r w:rsidRPr="00905EFB">
        <w:rPr>
          <w:b/>
        </w:rPr>
        <w:t>ADENDAS</w:t>
      </w:r>
      <w:r w:rsidRPr="00905EFB">
        <w:t xml:space="preserve">.  </w:t>
      </w:r>
    </w:p>
    <w:p w:rsidR="00001D3B" w:rsidRPr="00905EFB" w:rsidRDefault="00024096" w:rsidP="00252D3C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</w:pPr>
      <w:r w:rsidRPr="00905EFB">
        <w:t>Para efectos de presentar la oferta, se requiere:   consultar todas las respuestas de las Adendas, la oferta económica debe presentarse en</w:t>
      </w:r>
      <w:r w:rsidRPr="00905EFB">
        <w:rPr>
          <w:b/>
        </w:rPr>
        <w:t xml:space="preserve"> </w:t>
      </w:r>
      <w:r w:rsidRPr="00905EFB">
        <w:t>el</w:t>
      </w:r>
      <w:r w:rsidRPr="00905EFB">
        <w:rPr>
          <w:b/>
        </w:rPr>
        <w:t xml:space="preserve"> </w:t>
      </w:r>
      <w:r w:rsidRPr="00905EFB">
        <w:rPr>
          <w:b/>
          <w:sz w:val="24"/>
          <w:szCs w:val="24"/>
        </w:rPr>
        <w:t>Anexo 1 Modificado, Insubsanable</w:t>
      </w:r>
      <w:r w:rsidRPr="00905EFB">
        <w:t xml:space="preserve"> por tratarse de la Presentación de la Oferta.</w:t>
      </w:r>
    </w:p>
    <w:p w:rsidR="00001D3B" w:rsidRPr="00905EFB" w:rsidRDefault="00024096" w:rsidP="00252D3C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</w:pPr>
      <w:r w:rsidRPr="00905EFB">
        <w:t>Se recomienda además,  consultar permanentemente la Página Web de la Universidad, hasta el día de cierre de la Convocatoria a efecto de verificar cualquier información o modificación adicional.</w:t>
      </w:r>
    </w:p>
    <w:p w:rsidR="00001D3B" w:rsidRDefault="00001D3B" w:rsidP="00252D3C">
      <w:pPr>
        <w:rPr>
          <w:sz w:val="20"/>
          <w:szCs w:val="20"/>
        </w:rPr>
      </w:pPr>
    </w:p>
    <w:sectPr w:rsidR="00001D3B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BC" w:rsidRDefault="002C1CBC">
      <w:pPr>
        <w:spacing w:after="0" w:line="240" w:lineRule="auto"/>
      </w:pPr>
      <w:r>
        <w:separator/>
      </w:r>
    </w:p>
  </w:endnote>
  <w:endnote w:type="continuationSeparator" w:id="0">
    <w:p w:rsidR="002C1CBC" w:rsidRDefault="002C1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BC" w:rsidRDefault="002C1CBC">
      <w:pPr>
        <w:spacing w:after="0" w:line="240" w:lineRule="auto"/>
      </w:pPr>
      <w:r>
        <w:separator/>
      </w:r>
    </w:p>
  </w:footnote>
  <w:footnote w:type="continuationSeparator" w:id="0">
    <w:p w:rsidR="002C1CBC" w:rsidRDefault="002C1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D3B" w:rsidRDefault="00024096">
    <w:pPr>
      <w:spacing w:after="0" w:line="240" w:lineRule="auto"/>
      <w:jc w:val="center"/>
      <w:rPr>
        <w:b/>
        <w:sz w:val="20"/>
        <w:szCs w:val="20"/>
      </w:rPr>
    </w:pPr>
    <w:r>
      <w:rPr>
        <w:b/>
        <w:color w:val="222222"/>
        <w:sz w:val="20"/>
        <w:szCs w:val="20"/>
      </w:rPr>
      <w:t>UNIVERSIDAD TECNOLÓGICA DE PEREIRA</w:t>
    </w:r>
  </w:p>
  <w:p w:rsidR="00001D3B" w:rsidRDefault="00001D3B">
    <w:pPr>
      <w:spacing w:after="0" w:line="240" w:lineRule="auto"/>
      <w:jc w:val="center"/>
      <w:rPr>
        <w:b/>
        <w:sz w:val="20"/>
        <w:szCs w:val="20"/>
      </w:rPr>
    </w:pPr>
  </w:p>
  <w:p w:rsidR="00001D3B" w:rsidRDefault="00024096">
    <w:pPr>
      <w:spacing w:after="0" w:line="240" w:lineRule="auto"/>
      <w:jc w:val="center"/>
      <w:rPr>
        <w:b/>
        <w:sz w:val="20"/>
        <w:szCs w:val="20"/>
      </w:rPr>
    </w:pPr>
    <w:r>
      <w:rPr>
        <w:b/>
        <w:color w:val="222222"/>
        <w:sz w:val="20"/>
        <w:szCs w:val="20"/>
      </w:rPr>
      <w:t xml:space="preserve">CONVOCATORIA PÚBLICA </w:t>
    </w:r>
    <w:r w:rsidR="001263B5">
      <w:rPr>
        <w:b/>
        <w:color w:val="222222"/>
        <w:sz w:val="20"/>
        <w:szCs w:val="20"/>
      </w:rPr>
      <w:t>68</w:t>
    </w:r>
    <w:r>
      <w:rPr>
        <w:b/>
        <w:color w:val="222222"/>
        <w:sz w:val="20"/>
        <w:szCs w:val="20"/>
      </w:rPr>
      <w:t xml:space="preserve"> de 2018</w:t>
    </w:r>
  </w:p>
  <w:p w:rsidR="00001D3B" w:rsidRDefault="00024096">
    <w:pPr>
      <w:jc w:val="center"/>
      <w:rPr>
        <w:b/>
      </w:rPr>
    </w:pPr>
    <w:r>
      <w:rPr>
        <w:b/>
      </w:rPr>
      <w:t xml:space="preserve">COMPRA DE </w:t>
    </w:r>
    <w:r w:rsidR="001263B5">
      <w:rPr>
        <w:b/>
      </w:rPr>
      <w:t>LICENCIAS PARA SOFTWARE</w:t>
    </w:r>
  </w:p>
  <w:p w:rsidR="00001D3B" w:rsidRDefault="00001D3B">
    <w:pPr>
      <w:spacing w:after="0" w:line="240" w:lineRule="auto"/>
      <w:jc w:val="center"/>
      <w:rPr>
        <w:b/>
        <w:sz w:val="20"/>
        <w:szCs w:val="20"/>
      </w:rPr>
    </w:pPr>
  </w:p>
  <w:p w:rsidR="00001D3B" w:rsidRDefault="00024096">
    <w:pPr>
      <w:spacing w:after="0" w:line="240" w:lineRule="auto"/>
      <w:jc w:val="center"/>
      <w:rPr>
        <w:b/>
        <w:sz w:val="20"/>
        <w:szCs w:val="20"/>
      </w:rPr>
    </w:pPr>
    <w:r>
      <w:rPr>
        <w:b/>
        <w:color w:val="222222"/>
        <w:sz w:val="20"/>
        <w:szCs w:val="20"/>
      </w:rPr>
      <w:t xml:space="preserve">ADENDA </w:t>
    </w:r>
    <w:r w:rsidR="001263B5">
      <w:rPr>
        <w:b/>
        <w:color w:val="222222"/>
        <w:sz w:val="20"/>
        <w:szCs w:val="20"/>
      </w:rPr>
      <w:t>1</w:t>
    </w:r>
    <w:r>
      <w:rPr>
        <w:b/>
        <w:color w:val="222222"/>
        <w:sz w:val="20"/>
        <w:szCs w:val="20"/>
      </w:rPr>
      <w:t xml:space="preserve"> – ACLARACIÓN DE DUDAS</w:t>
    </w:r>
  </w:p>
  <w:p w:rsidR="00001D3B" w:rsidRDefault="00001D3B">
    <w:pPr>
      <w:tabs>
        <w:tab w:val="center" w:pos="4419"/>
        <w:tab w:val="right" w:pos="8838"/>
      </w:tabs>
      <w:spacing w:after="0" w:line="240" w:lineRule="auto"/>
      <w:rPr>
        <w:b/>
        <w:sz w:val="20"/>
        <w:szCs w:val="20"/>
      </w:rPr>
    </w:pPr>
  </w:p>
  <w:p w:rsidR="00001D3B" w:rsidRDefault="00001D3B">
    <w:pPr>
      <w:tabs>
        <w:tab w:val="center" w:pos="4419"/>
        <w:tab w:val="right" w:pos="8838"/>
      </w:tabs>
      <w:spacing w:after="0" w:line="240" w:lineRule="auto"/>
      <w:rPr>
        <w:b/>
      </w:rPr>
    </w:pPr>
  </w:p>
  <w:p w:rsidR="00001D3B" w:rsidRDefault="00001D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12F3"/>
    <w:multiLevelType w:val="multilevel"/>
    <w:tmpl w:val="664A9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4376"/>
    <w:multiLevelType w:val="multilevel"/>
    <w:tmpl w:val="8CFC3A34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2" w15:restartNumberingAfterBreak="0">
    <w:nsid w:val="21EE61AB"/>
    <w:multiLevelType w:val="multilevel"/>
    <w:tmpl w:val="72525550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71441F"/>
    <w:multiLevelType w:val="multilevel"/>
    <w:tmpl w:val="5C8834D6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565BCF"/>
    <w:multiLevelType w:val="multilevel"/>
    <w:tmpl w:val="C93A6D52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CB95736"/>
    <w:multiLevelType w:val="multilevel"/>
    <w:tmpl w:val="E4841836"/>
    <w:lvl w:ilvl="0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5A7275"/>
    <w:multiLevelType w:val="multilevel"/>
    <w:tmpl w:val="92BA8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32B51"/>
    <w:multiLevelType w:val="multilevel"/>
    <w:tmpl w:val="00004E4C"/>
    <w:lvl w:ilvl="0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3B"/>
    <w:rsid w:val="00001D3B"/>
    <w:rsid w:val="00024096"/>
    <w:rsid w:val="001263B5"/>
    <w:rsid w:val="001576EF"/>
    <w:rsid w:val="00252D3C"/>
    <w:rsid w:val="002C1CBC"/>
    <w:rsid w:val="002C20D8"/>
    <w:rsid w:val="003551A2"/>
    <w:rsid w:val="004205C1"/>
    <w:rsid w:val="00582AEE"/>
    <w:rsid w:val="00613773"/>
    <w:rsid w:val="006638FE"/>
    <w:rsid w:val="00735239"/>
    <w:rsid w:val="00905EFB"/>
    <w:rsid w:val="00B20C20"/>
    <w:rsid w:val="00B60C80"/>
    <w:rsid w:val="00E43498"/>
    <w:rsid w:val="00F5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9151DE-7584-461B-8A5D-3134CAE5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CO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126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63B5"/>
  </w:style>
  <w:style w:type="paragraph" w:styleId="Piedepgina">
    <w:name w:val="footer"/>
    <w:basedOn w:val="Normal"/>
    <w:link w:val="PiedepginaCar"/>
    <w:uiPriority w:val="99"/>
    <w:unhideWhenUsed/>
    <w:rsid w:val="001263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Nueva Aura Li</dc:creator>
  <cp:lastModifiedBy>La Nueva Aura Li</cp:lastModifiedBy>
  <cp:revision>4</cp:revision>
  <dcterms:created xsi:type="dcterms:W3CDTF">2018-04-20T20:49:00Z</dcterms:created>
  <dcterms:modified xsi:type="dcterms:W3CDTF">2018-04-20T20:58:00Z</dcterms:modified>
</cp:coreProperties>
</file>